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952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sz w:val="44"/>
        </w:rPr>
        <mc:AlternateContent>
          <mc:Choice Requires="wps">
            <w:drawing>
              <wp:anchor distT="0" distB="0" distL="114300" distR="114300" simplePos="0" relativeHeight="251659264" behindDoc="1" locked="0" layoutInCell="1" allowOverlap="1">
                <wp:simplePos x="0" y="0"/>
                <wp:positionH relativeFrom="column">
                  <wp:posOffset>-13970</wp:posOffset>
                </wp:positionH>
                <wp:positionV relativeFrom="page">
                  <wp:posOffset>1905000</wp:posOffset>
                </wp:positionV>
                <wp:extent cx="1629410" cy="487045"/>
                <wp:effectExtent l="0" t="0" r="8890" b="8255"/>
                <wp:wrapNone/>
                <wp:docPr id="2" name="文本框 3"/>
                <wp:cNvGraphicFramePr/>
                <a:graphic xmlns:a="http://schemas.openxmlformats.org/drawingml/2006/main">
                  <a:graphicData uri="http://schemas.microsoft.com/office/word/2010/wordprocessingShape">
                    <wps:wsp>
                      <wps:cNvSpPr txBox="1"/>
                      <wps:spPr>
                        <a:xfrm>
                          <a:off x="0" y="0"/>
                          <a:ext cx="1629410" cy="487045"/>
                        </a:xfrm>
                        <a:prstGeom prst="rect">
                          <a:avLst/>
                        </a:prstGeom>
                        <a:solidFill>
                          <a:srgbClr val="FFFFFF"/>
                        </a:solidFill>
                        <a:ln>
                          <a:noFill/>
                        </a:ln>
                      </wps:spPr>
                      <wps:txbx>
                        <w:txbxContent>
                          <w:p w14:paraId="7153B63E">
                            <w:pPr>
                              <w:rPr>
                                <w:rFonts w:hint="eastAsia" w:ascii="黑体" w:hAnsi="黑体" w:eastAsia="黑体" w:cs="黑体"/>
                                <w:sz w:val="32"/>
                                <w:szCs w:val="32"/>
                              </w:rPr>
                            </w:pPr>
                            <w:bookmarkStart w:id="1297" w:name="instantLevel"/>
                            <w:bookmarkEnd w:id="1297"/>
                          </w:p>
                        </w:txbxContent>
                      </wps:txbx>
                      <wps:bodyPr vert="horz" wrap="square" anchor="t" anchorCtr="0" upright="1"/>
                    </wps:wsp>
                  </a:graphicData>
                </a:graphic>
              </wp:anchor>
            </w:drawing>
          </mc:Choice>
          <mc:Fallback>
            <w:pict>
              <v:shape id="文本框 3" o:spid="_x0000_s1026" o:spt="202" type="#_x0000_t202" style="position:absolute;left:0pt;margin-left:-1.1pt;margin-top:150pt;height:38.35pt;width:128.3pt;mso-position-vertical-relative:page;z-index:-251657216;mso-width-relative:page;mso-height-relative:page;" fillcolor="#FFFFFF" filled="t" stroked="f" coordsize="21600,21600" o:gfxdata="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a/VBfYAAAACgEAAA8A&#10;AAAAAAAAAQAgAAAAIgAAAGRycy9kb3ducmV2LnhtbFBLAQIUABQAAAAIAIdO4kBlIBny3gEAAKoD&#10;AAAOAAAAAAAAAAEAIAAAACcBAABkcnMvZTJvRG9jLnhtbFBLBQYAAAAABgAGAFkBAAB3BQAAAAA=&#10;">
                <v:fill on="t" focussize="0,0"/>
                <v:stroke on="f"/>
                <v:imagedata o:title=""/>
                <o:lock v:ext="edit" aspectratio="f"/>
                <v:textbox>
                  <w:txbxContent>
                    <w:p w14:paraId="7153B63E">
                      <w:pPr>
                        <w:rPr>
                          <w:rFonts w:hint="eastAsia" w:ascii="黑体" w:hAnsi="黑体" w:eastAsia="黑体" w:cs="黑体"/>
                          <w:sz w:val="32"/>
                          <w:szCs w:val="32"/>
                        </w:rPr>
                      </w:pPr>
                      <w:bookmarkStart w:id="1297" w:name="instantLevel"/>
                      <w:bookmarkEnd w:id="1297"/>
                    </w:p>
                  </w:txbxContent>
                </v:textbox>
              </v:shape>
            </w:pict>
          </mc:Fallback>
        </mc:AlternateContent>
      </w:r>
    </w:p>
    <w:p w14:paraId="50FCE497">
      <w:pPr>
        <w:jc w:val="center"/>
        <w:rPr>
          <w:rFonts w:hint="eastAsia" w:ascii="方正小标宋简体" w:hAnsi="方正小标宋简体" w:eastAsia="方正小标宋简体" w:cs="方正小标宋简体"/>
          <w:b w:val="0"/>
          <w:bCs w:val="0"/>
          <w:sz w:val="52"/>
          <w:szCs w:val="52"/>
          <w:highlight w:val="none"/>
          <w:lang w:val="en-US" w:eastAsia="zh-CN"/>
        </w:rPr>
      </w:pPr>
      <w:bookmarkStart w:id="1298" w:name="_GoBack"/>
      <w:r>
        <w:rPr>
          <w:rFonts w:hint="eastAsia" w:ascii="方正小标宋简体" w:hAnsi="方正小标宋简体" w:eastAsia="方正小标宋简体" w:cs="方正小标宋简体"/>
          <w:b w:val="0"/>
          <w:bCs w:val="0"/>
          <w:sz w:val="52"/>
          <w:szCs w:val="52"/>
          <w:highlight w:val="none"/>
        </w:rPr>
        <w:t>赤峰市</w:t>
      </w:r>
      <w:r>
        <w:rPr>
          <w:rFonts w:hint="eastAsia" w:ascii="方正小标宋简体" w:hAnsi="方正小标宋简体" w:eastAsia="方正小标宋简体" w:cs="方正小标宋简体"/>
          <w:b w:val="0"/>
          <w:bCs w:val="0"/>
          <w:sz w:val="52"/>
          <w:szCs w:val="52"/>
          <w:highlight w:val="none"/>
          <w:lang w:val="en-US" w:eastAsia="zh-CN"/>
        </w:rPr>
        <w:t>国民经济和社会发展</w:t>
      </w:r>
    </w:p>
    <w:p w14:paraId="7DB498DE">
      <w:pPr>
        <w:jc w:val="center"/>
        <w:rPr>
          <w:rFonts w:hint="eastAsia" w:ascii="Times New Roman" w:hAnsi="Times New Roman" w:eastAsia="方正小标宋_GBK" w:cs="方正小标宋_GBK"/>
          <w:b w:val="0"/>
          <w:bCs w:val="0"/>
          <w:sz w:val="40"/>
          <w:szCs w:val="40"/>
          <w:highlight w:val="none"/>
          <w:lang w:val="en-US" w:eastAsia="zh-CN"/>
        </w:rPr>
      </w:pPr>
      <w:r>
        <w:rPr>
          <w:rFonts w:hint="eastAsia" w:ascii="方正小标宋简体" w:hAnsi="方正小标宋简体" w:eastAsia="方正小标宋简体" w:cs="方正小标宋简体"/>
          <w:b w:val="0"/>
          <w:bCs w:val="0"/>
          <w:sz w:val="52"/>
          <w:szCs w:val="52"/>
          <w:highlight w:val="none"/>
          <w:lang w:val="en-US" w:eastAsia="zh-CN"/>
        </w:rPr>
        <w:t>第十五个五年规划纲要</w:t>
      </w:r>
    </w:p>
    <w:bookmarkEnd w:id="1298"/>
    <w:p w14:paraId="3385680D">
      <w:pPr>
        <w:jc w:val="center"/>
        <w:rPr>
          <w:rFonts w:hint="eastAsia" w:ascii="Times New Roman" w:hAnsi="Times New Roman" w:eastAsia="方正小标宋_GBK" w:cs="方正小标宋_GBK"/>
          <w:b w:val="0"/>
          <w:bCs w:val="0"/>
          <w:sz w:val="44"/>
          <w:szCs w:val="44"/>
          <w:highlight w:val="none"/>
          <w:lang w:val="en-US" w:eastAsia="zh-CN"/>
        </w:rPr>
      </w:pPr>
    </w:p>
    <w:p w14:paraId="7E3997D4">
      <w:pPr>
        <w:jc w:val="both"/>
        <w:rPr>
          <w:rFonts w:hint="eastAsia" w:ascii="Times New Roman" w:hAnsi="Times New Roman" w:eastAsia="方正小标宋_GBK" w:cs="方正小标宋_GBK"/>
          <w:b w:val="0"/>
          <w:bCs w:val="0"/>
          <w:sz w:val="44"/>
          <w:szCs w:val="44"/>
          <w:highlight w:val="none"/>
          <w:lang w:val="en-US" w:eastAsia="zh-CN"/>
        </w:rPr>
      </w:pPr>
    </w:p>
    <w:p w14:paraId="4FB4A54B">
      <w:pPr>
        <w:jc w:val="center"/>
        <w:rPr>
          <w:rFonts w:hint="eastAsia" w:ascii="Times New Roman" w:hAnsi="Times New Roman" w:eastAsia="方正小标宋_GBK" w:cs="方正小标宋_GBK"/>
          <w:b w:val="0"/>
          <w:bCs w:val="0"/>
          <w:sz w:val="44"/>
          <w:szCs w:val="44"/>
          <w:highlight w:val="none"/>
          <w:lang w:val="en-US" w:eastAsia="zh-CN"/>
        </w:rPr>
      </w:pPr>
    </w:p>
    <w:p w14:paraId="78EA6F27">
      <w:pPr>
        <w:jc w:val="center"/>
        <w:rPr>
          <w:rFonts w:hint="eastAsia" w:ascii="Times New Roman" w:hAnsi="Times New Roman" w:eastAsia="方正小标宋_GBK" w:cs="方正小标宋_GBK"/>
          <w:b w:val="0"/>
          <w:bCs w:val="0"/>
          <w:sz w:val="44"/>
          <w:szCs w:val="44"/>
          <w:highlight w:val="none"/>
          <w:lang w:val="en-US" w:eastAsia="zh-CN"/>
        </w:rPr>
      </w:pPr>
    </w:p>
    <w:p w14:paraId="37216BE6">
      <w:pPr>
        <w:jc w:val="center"/>
        <w:rPr>
          <w:rFonts w:hint="eastAsia" w:ascii="Times New Roman" w:hAnsi="Times New Roman" w:eastAsia="方正小标宋_GBK" w:cs="方正小标宋_GBK"/>
          <w:b w:val="0"/>
          <w:bCs w:val="0"/>
          <w:sz w:val="44"/>
          <w:szCs w:val="44"/>
          <w:highlight w:val="none"/>
          <w:lang w:val="en-US" w:eastAsia="zh-CN"/>
        </w:rPr>
      </w:pPr>
    </w:p>
    <w:p w14:paraId="07329547">
      <w:pPr>
        <w:jc w:val="center"/>
        <w:rPr>
          <w:rFonts w:hint="eastAsia" w:ascii="Times New Roman" w:hAnsi="Times New Roman" w:eastAsia="方正小标宋_GBK" w:cs="方正小标宋_GBK"/>
          <w:b w:val="0"/>
          <w:bCs w:val="0"/>
          <w:sz w:val="44"/>
          <w:szCs w:val="44"/>
          <w:highlight w:val="none"/>
          <w:lang w:val="en-US" w:eastAsia="zh-CN"/>
        </w:rPr>
      </w:pPr>
    </w:p>
    <w:p w14:paraId="0511B438">
      <w:pPr>
        <w:jc w:val="center"/>
        <w:rPr>
          <w:rFonts w:hint="eastAsia" w:ascii="Times New Roman" w:hAnsi="Times New Roman" w:eastAsia="方正小标宋_GBK" w:cs="方正小标宋_GBK"/>
          <w:b w:val="0"/>
          <w:bCs w:val="0"/>
          <w:sz w:val="44"/>
          <w:szCs w:val="44"/>
          <w:highlight w:val="none"/>
          <w:lang w:val="en-US" w:eastAsia="zh-CN"/>
        </w:rPr>
      </w:pPr>
    </w:p>
    <w:p w14:paraId="1B27ABA0">
      <w:pPr>
        <w:jc w:val="center"/>
        <w:rPr>
          <w:rFonts w:hint="eastAsia" w:ascii="Times New Roman" w:hAnsi="Times New Roman" w:eastAsia="楷体_GB2312" w:cs="方正楷体_GBK"/>
          <w:b w:val="0"/>
          <w:bCs w:val="0"/>
          <w:sz w:val="36"/>
          <w:szCs w:val="36"/>
          <w:highlight w:val="none"/>
          <w:lang w:val="en-US" w:eastAsia="zh-CN"/>
        </w:rPr>
      </w:pPr>
    </w:p>
    <w:p w14:paraId="250EFEE6">
      <w:pPr>
        <w:jc w:val="center"/>
        <w:rPr>
          <w:rFonts w:hint="eastAsia" w:ascii="Times New Roman" w:hAnsi="Times New Roman" w:eastAsia="楷体_GB2312" w:cs="方正楷体_GBK"/>
          <w:b w:val="0"/>
          <w:bCs w:val="0"/>
          <w:sz w:val="36"/>
          <w:szCs w:val="36"/>
          <w:highlight w:val="none"/>
          <w:lang w:val="en-US" w:eastAsia="zh-CN"/>
        </w:rPr>
      </w:pPr>
    </w:p>
    <w:p w14:paraId="6F823500">
      <w:pPr>
        <w:jc w:val="center"/>
        <w:rPr>
          <w:rFonts w:hint="eastAsia" w:ascii="Times New Roman" w:hAnsi="Times New Roman" w:eastAsia="楷体_GB2312" w:cs="方正楷体_GBK"/>
          <w:b w:val="0"/>
          <w:bCs w:val="0"/>
          <w:sz w:val="36"/>
          <w:szCs w:val="36"/>
          <w:highlight w:val="none"/>
          <w:lang w:val="en-US" w:eastAsia="zh-CN"/>
        </w:rPr>
      </w:pPr>
    </w:p>
    <w:p w14:paraId="4DDD1611">
      <w:pPr>
        <w:jc w:val="center"/>
        <w:rPr>
          <w:rFonts w:hint="eastAsia" w:ascii="Times New Roman" w:hAnsi="Times New Roman" w:eastAsia="楷体_GB2312" w:cs="方正楷体_GBK"/>
          <w:b w:val="0"/>
          <w:bCs w:val="0"/>
          <w:sz w:val="36"/>
          <w:szCs w:val="36"/>
          <w:highlight w:val="none"/>
          <w:lang w:val="en-US" w:eastAsia="zh-CN"/>
        </w:rPr>
      </w:pPr>
      <w:r>
        <w:rPr>
          <w:rFonts w:hint="eastAsia" w:ascii="Times New Roman" w:hAnsi="Times New Roman" w:eastAsia="楷体_GB2312" w:cs="方正楷体_GBK"/>
          <w:b w:val="0"/>
          <w:bCs w:val="0"/>
          <w:sz w:val="36"/>
          <w:szCs w:val="36"/>
          <w:highlight w:val="none"/>
          <w:lang w:val="en-US" w:eastAsia="zh-CN"/>
        </w:rPr>
        <w:t>2026年5月</w:t>
      </w:r>
    </w:p>
    <w:p w14:paraId="13634EF7">
      <w:pPr>
        <w:keepNext w:val="0"/>
        <w:keepLines w:val="0"/>
        <w:pageBreakBefore w:val="0"/>
        <w:widowControl w:val="0"/>
        <w:kinsoku/>
        <w:wordWrap/>
        <w:overflowPunct/>
        <w:topLinePunct w:val="0"/>
        <w:autoSpaceDE/>
        <w:autoSpaceDN/>
        <w:bidi w:val="0"/>
        <w:adjustRightInd/>
        <w:snapToGrid/>
        <w:jc w:val="both"/>
        <w:textAlignment w:val="auto"/>
        <w:outlineLvl w:val="0"/>
        <w:rPr>
          <w:rFonts w:hint="eastAsia" w:ascii="Times New Roman" w:hAnsi="Times New Roman" w:eastAsia="方正黑体_GBK" w:cs="方正黑体_GBK"/>
          <w:b w:val="0"/>
          <w:bCs w:val="0"/>
          <w:sz w:val="32"/>
          <w:szCs w:val="32"/>
          <w:highlight w:val="none"/>
          <w:lang w:val="en-US" w:eastAsia="zh-CN"/>
        </w:rPr>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pPr>
    </w:p>
    <w:p w14:paraId="00351202">
      <w:pPr>
        <w:pStyle w:val="44"/>
        <w:shd w:val="clear" w:color="auto" w:fill="auto"/>
        <w:tabs>
          <w:tab w:val="left" w:pos="1840"/>
          <w:tab w:val="center" w:pos="4153"/>
        </w:tabs>
        <w:rPr>
          <w:rFonts w:hint="default" w:ascii="Times New Roman" w:hAnsi="Times New Roman" w:eastAsia="黑体" w:cs="Times New Roman"/>
          <w:b w:val="0"/>
          <w:bCs w:val="0"/>
          <w:sz w:val="36"/>
          <w:szCs w:val="36"/>
          <w:highlight w:val="none"/>
          <w:lang w:val="en-US" w:eastAsia="zh-CN"/>
        </w:rPr>
      </w:pPr>
      <w:r>
        <w:rPr>
          <w:rFonts w:hint="default" w:ascii="Times New Roman" w:hAnsi="Times New Roman" w:eastAsia="黑体" w:cs="Times New Roman"/>
          <w:b w:val="0"/>
          <w:bCs w:val="0"/>
          <w:color w:val="auto"/>
          <w:kern w:val="2"/>
          <w:sz w:val="36"/>
          <w:szCs w:val="36"/>
          <w:highlight w:val="none"/>
          <w:lang w:val="zh-CN"/>
        </w:rPr>
        <w:tab/>
      </w:r>
      <w:r>
        <w:rPr>
          <w:rFonts w:hint="default" w:ascii="Times New Roman" w:hAnsi="Times New Roman" w:eastAsia="黑体" w:cs="Times New Roman"/>
          <w:b w:val="0"/>
          <w:bCs w:val="0"/>
          <w:color w:val="auto"/>
          <w:kern w:val="2"/>
          <w:sz w:val="36"/>
          <w:szCs w:val="36"/>
          <w:highlight w:val="none"/>
          <w:lang w:val="zh-CN"/>
        </w:rPr>
        <w:tab/>
      </w:r>
      <w:r>
        <w:rPr>
          <w:rFonts w:hint="default" w:ascii="Times New Roman" w:hAnsi="Times New Roman" w:eastAsia="黑体" w:cs="Times New Roman"/>
          <w:b w:val="0"/>
          <w:bCs w:val="0"/>
          <w:color w:val="auto"/>
          <w:sz w:val="48"/>
          <w:szCs w:val="48"/>
          <w:highlight w:val="none"/>
          <w:lang w:val="zh-CN"/>
        </w:rPr>
        <w:t>目 录</w:t>
      </w:r>
    </w:p>
    <w:p w14:paraId="090BBE6B">
      <w:pPr>
        <w:pStyle w:val="17"/>
        <w:tabs>
          <w:tab w:val="right" w:leader="dot" w:pos="8306"/>
          <w:tab w:val="clear" w:pos="8296"/>
        </w:tabs>
        <w:rPr>
          <w:rFonts w:hint="default" w:ascii="Times New Roman" w:hAnsi="Times New Roman" w:cs="Times New Roman"/>
          <w:b w:val="0"/>
          <w:bCs w:val="0"/>
          <w:smallCaps w:val="0"/>
          <w:spacing w:val="0"/>
          <w:sz w:val="28"/>
          <w:szCs w:val="28"/>
        </w:rPr>
      </w:pPr>
      <w:r>
        <w:rPr>
          <w:rFonts w:hint="default" w:ascii="Times New Roman" w:hAnsi="Times New Roman" w:eastAsia="仿宋" w:cs="Times New Roman"/>
          <w:b w:val="0"/>
          <w:bCs w:val="0"/>
          <w:smallCaps w:val="0"/>
          <w:spacing w:val="0"/>
          <w:sz w:val="28"/>
          <w:szCs w:val="28"/>
          <w:highlight w:val="none"/>
        </w:rPr>
        <w:fldChar w:fldCharType="begin"/>
      </w:r>
      <w:r>
        <w:rPr>
          <w:rFonts w:hint="default" w:ascii="Times New Roman" w:hAnsi="Times New Roman" w:eastAsia="仿宋" w:cs="Times New Roman"/>
          <w:b w:val="0"/>
          <w:bCs w:val="0"/>
          <w:smallCaps w:val="0"/>
          <w:spacing w:val="0"/>
          <w:sz w:val="28"/>
          <w:szCs w:val="28"/>
          <w:highlight w:val="none"/>
        </w:rPr>
        <w:instrText xml:space="preserve">TOC \o "1-3" \h \u </w:instrText>
      </w:r>
      <w:r>
        <w:rPr>
          <w:rFonts w:hint="default" w:ascii="Times New Roman" w:hAnsi="Times New Roman" w:eastAsia="仿宋" w:cs="Times New Roman"/>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_Toc2458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lang w:val="en-US" w:eastAsia="zh-CN"/>
        </w:rPr>
        <w:t xml:space="preserve">第一篇 </w:t>
      </w:r>
      <w:r>
        <w:rPr>
          <w:rFonts w:hint="eastAsia" w:ascii="方正小标宋简体" w:hAnsi="方正小标宋简体" w:eastAsia="方正小标宋简体" w:cs="方正小标宋简体"/>
          <w:b w:val="0"/>
          <w:bCs w:val="0"/>
          <w:smallCaps w:val="0"/>
          <w:spacing w:val="0"/>
          <w:sz w:val="28"/>
          <w:szCs w:val="28"/>
          <w:highlight w:val="none"/>
          <w:lang w:val="en-US" w:eastAsia="zh-CN"/>
        </w:rPr>
        <w:t>找准坐标，开启中国式现代化赤峰实践新征程</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_Toc2458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2B4C420A">
      <w:pPr>
        <w:pStyle w:val="20"/>
        <w:tabs>
          <w:tab w:val="right" w:leader="dot" w:pos="8306"/>
        </w:tabs>
        <w:rPr>
          <w:rFonts w:hint="eastAsia" w:ascii="黑体" w:hAnsi="黑体" w:eastAsia="黑体" w:cs="黑体"/>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_Toc5469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第一章 </w:t>
      </w:r>
      <w:r>
        <w:rPr>
          <w:rFonts w:hint="eastAsia" w:ascii="黑体" w:hAnsi="黑体" w:eastAsia="黑体" w:cs="黑体"/>
          <w:b w:val="0"/>
          <w:bCs w:val="0"/>
          <w:smallCaps w:val="0"/>
          <w:spacing w:val="0"/>
          <w:sz w:val="28"/>
          <w:szCs w:val="28"/>
          <w:highlight w:val="none"/>
          <w:lang w:val="en-US" w:eastAsia="zh-CN"/>
        </w:rPr>
        <w:t>发展成就</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32332362">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_Toc26689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第二章 </w:t>
      </w:r>
      <w:r>
        <w:rPr>
          <w:rFonts w:hint="eastAsia" w:ascii="黑体" w:hAnsi="黑体" w:eastAsia="黑体" w:cs="黑体"/>
          <w:b w:val="0"/>
          <w:bCs w:val="0"/>
          <w:smallCaps w:val="0"/>
          <w:spacing w:val="0"/>
          <w:sz w:val="28"/>
          <w:szCs w:val="28"/>
          <w:highlight w:val="none"/>
          <w:lang w:val="en-US" w:eastAsia="zh-CN"/>
        </w:rPr>
        <w:t>面临形势</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7DC69B6F">
      <w:pPr>
        <w:pStyle w:val="17"/>
        <w:tabs>
          <w:tab w:val="right" w:leader="dot" w:pos="8306"/>
          <w:tab w:val="clear" w:pos="8296"/>
        </w:tabs>
        <w:rPr>
          <w:rFonts w:hint="default" w:ascii="Times New Roman" w:hAnsi="Times New Roman" w:cs="Times New Roman"/>
          <w:b w:val="0"/>
          <w:bCs w:val="0"/>
          <w:smallCaps w:val="0"/>
          <w:spacing w:val="0"/>
          <w:sz w:val="28"/>
          <w:szCs w:val="28"/>
        </w:rPr>
      </w:pP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_Toc14331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kern w:val="2"/>
          <w:sz w:val="28"/>
          <w:szCs w:val="28"/>
          <w:lang w:val="en-US" w:eastAsia="zh-CN" w:bidi="ar-SA"/>
        </w:rPr>
        <w:t xml:space="preserve">第二篇 </w:t>
      </w:r>
      <w:r>
        <w:rPr>
          <w:rFonts w:hint="eastAsia" w:ascii="方正小标宋简体" w:hAnsi="方正小标宋简体" w:eastAsia="方正小标宋简体" w:cs="方正小标宋简体"/>
          <w:b w:val="0"/>
          <w:bCs w:val="0"/>
          <w:smallCaps w:val="0"/>
          <w:spacing w:val="0"/>
          <w:kern w:val="2"/>
          <w:sz w:val="28"/>
          <w:szCs w:val="28"/>
          <w:highlight w:val="none"/>
          <w:lang w:val="en-US" w:eastAsia="zh-CN" w:bidi="ar-SA"/>
        </w:rPr>
        <w:t>凝聚共识，擘画中国式现代化赤峰实践新图景</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_Toc14331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- 13 -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29A2B253">
      <w:pPr>
        <w:pStyle w:val="20"/>
        <w:tabs>
          <w:tab w:val="right" w:leader="dot" w:pos="8306"/>
        </w:tabs>
        <w:rPr>
          <w:rFonts w:hint="eastAsia" w:ascii="黑体" w:hAnsi="黑体" w:eastAsia="黑体" w:cs="黑体"/>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_Toc6868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第三章 </w:t>
      </w:r>
      <w:r>
        <w:rPr>
          <w:rFonts w:hint="eastAsia" w:ascii="黑体" w:hAnsi="黑体" w:eastAsia="黑体" w:cs="黑体"/>
          <w:b w:val="0"/>
          <w:bCs w:val="0"/>
          <w:smallCaps w:val="0"/>
          <w:spacing w:val="0"/>
          <w:sz w:val="28"/>
          <w:szCs w:val="28"/>
          <w:highlight w:val="none"/>
          <w:lang w:val="en-US" w:eastAsia="zh-CN"/>
        </w:rPr>
        <w:t>指导思想</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_Toc6868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- 13 -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1E99CCDB">
      <w:pPr>
        <w:pStyle w:val="20"/>
        <w:tabs>
          <w:tab w:val="right" w:leader="dot" w:pos="8306"/>
        </w:tabs>
        <w:rPr>
          <w:rFonts w:hint="eastAsia" w:ascii="黑体" w:hAnsi="黑体" w:eastAsia="黑体" w:cs="黑体"/>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_Toc7684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第四章 </w:t>
      </w:r>
      <w:r>
        <w:rPr>
          <w:rFonts w:hint="eastAsia" w:ascii="黑体" w:hAnsi="黑体" w:eastAsia="黑体" w:cs="黑体"/>
          <w:b w:val="0"/>
          <w:bCs w:val="0"/>
          <w:smallCaps w:val="0"/>
          <w:spacing w:val="0"/>
          <w:sz w:val="28"/>
          <w:szCs w:val="28"/>
          <w:highlight w:val="none"/>
          <w:lang w:val="en-US" w:eastAsia="zh-CN"/>
        </w:rPr>
        <w:t>基本原则</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_Toc7684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- 14 -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56866CB7">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_Toc21630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第五章 </w:t>
      </w:r>
      <w:r>
        <w:rPr>
          <w:rFonts w:hint="eastAsia" w:ascii="黑体" w:hAnsi="黑体" w:eastAsia="黑体" w:cs="黑体"/>
          <w:b w:val="0"/>
          <w:bCs w:val="0"/>
          <w:smallCaps w:val="0"/>
          <w:spacing w:val="0"/>
          <w:sz w:val="28"/>
          <w:szCs w:val="28"/>
          <w:highlight w:val="none"/>
          <w:lang w:val="en-US" w:eastAsia="zh-CN"/>
        </w:rPr>
        <w:t>发展目标</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_Toc21630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- 15 -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6715E7D1">
      <w:pPr>
        <w:pStyle w:val="17"/>
        <w:tabs>
          <w:tab w:val="right" w:leader="dot" w:pos="8306"/>
          <w:tab w:val="clear" w:pos="8296"/>
        </w:tabs>
        <w:rPr>
          <w:rFonts w:hint="default" w:ascii="Times New Roman" w:hAnsi="Times New Roman" w:cs="Times New Roman"/>
          <w:b w:val="0"/>
          <w:bCs w:val="0"/>
          <w:smallCaps w:val="0"/>
          <w:spacing w:val="0"/>
          <w:sz w:val="28"/>
          <w:szCs w:val="28"/>
        </w:rPr>
      </w:pP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_Toc18073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lang w:val="en-US" w:eastAsia="zh-CN"/>
        </w:rPr>
        <w:t xml:space="preserve">第三篇 </w:t>
      </w:r>
      <w:r>
        <w:rPr>
          <w:rFonts w:hint="eastAsia" w:ascii="方正小标宋简体" w:hAnsi="方正小标宋简体" w:eastAsia="方正小标宋简体" w:cs="方正小标宋简体"/>
          <w:b w:val="0"/>
          <w:bCs w:val="0"/>
          <w:smallCaps w:val="0"/>
          <w:spacing w:val="0"/>
          <w:sz w:val="28"/>
          <w:szCs w:val="28"/>
          <w:highlight w:val="none"/>
          <w:lang w:val="en-US" w:eastAsia="zh-CN"/>
        </w:rPr>
        <w:t>聚焦重点，践行中国式现代化赤峰实践新路径</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_Toc18073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- 21 -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2A90840B">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_Toc30953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第六章 </w:t>
      </w:r>
      <w:r>
        <w:rPr>
          <w:rFonts w:hint="eastAsia" w:ascii="黑体" w:hAnsi="黑体" w:eastAsia="黑体" w:cs="黑体"/>
          <w:b w:val="0"/>
          <w:bCs w:val="0"/>
          <w:smallCaps w:val="0"/>
          <w:spacing w:val="0"/>
          <w:sz w:val="28"/>
          <w:szCs w:val="28"/>
          <w:highlight w:val="none"/>
          <w:lang w:eastAsia="zh-CN"/>
        </w:rPr>
        <w:t>铸牢中华民族共同体意识，</w:t>
      </w:r>
      <w:r>
        <w:rPr>
          <w:rFonts w:hint="eastAsia" w:ascii="黑体" w:hAnsi="黑体" w:eastAsia="黑体" w:cs="黑体"/>
          <w:b w:val="0"/>
          <w:bCs w:val="0"/>
          <w:smallCaps w:val="0"/>
          <w:spacing w:val="0"/>
          <w:sz w:val="28"/>
          <w:szCs w:val="28"/>
          <w:highlight w:val="none"/>
          <w:lang w:val="en-US" w:eastAsia="zh-CN"/>
        </w:rPr>
        <w:t>推进民族工作高质量发展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_Toc30953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AA336A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_Toc15005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构筑中华民族共有精神家园</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_Toc15005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B27326A">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_Toc25607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促进各民族交往交流交融</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_Toc25607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B2C5AF1">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_Toc29417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提升民族事务治理能力水平</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_Toc29417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- 24 -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E6D4D7F">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_Toc24792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rPr>
        <w:t xml:space="preserve">第四节 </w:t>
      </w:r>
      <w:r>
        <w:rPr>
          <w:rFonts w:hint="eastAsia" w:ascii="楷体_GB2312" w:hAnsi="楷体_GB2312" w:eastAsia="楷体_GB2312" w:cs="楷体_GB2312"/>
          <w:b w:val="0"/>
          <w:bCs w:val="0"/>
          <w:smallCaps w:val="0"/>
          <w:spacing w:val="0"/>
          <w:sz w:val="28"/>
          <w:szCs w:val="28"/>
          <w:highlight w:val="none"/>
        </w:rPr>
        <w:t>汇聚同心共筑中国梦强大合力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_Toc24792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815857B">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_Toc21371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第七章 </w:t>
      </w:r>
      <w:r>
        <w:rPr>
          <w:rFonts w:hint="eastAsia" w:ascii="黑体" w:hAnsi="黑体" w:eastAsia="黑体" w:cs="黑体"/>
          <w:b w:val="0"/>
          <w:bCs w:val="0"/>
          <w:smallCaps w:val="0"/>
          <w:spacing w:val="0"/>
          <w:sz w:val="28"/>
          <w:szCs w:val="28"/>
          <w:highlight w:val="none"/>
          <w:lang w:val="en-US" w:eastAsia="zh-CN"/>
        </w:rPr>
        <w:t>筑牢生态安全屏障，实现人与自然和谐共生</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_Toc21371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- 27 -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2EA1679B">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_Toc25008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坚决打赢两大沙地歼灭战</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_Toc25008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A3498FC">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_Toc29284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全力打好污染防治攻坚战</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28</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1402A09">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_Toc1348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加强生态系统保护和修复</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_Toc1348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7B04D83">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_Toc26588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推动生态产品价值实现</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_Toc26588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- 32 -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1EC0B61">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_Toc21050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第五节 </w:t>
      </w:r>
      <w:r>
        <w:rPr>
          <w:rFonts w:hint="eastAsia" w:ascii="楷体_GB2312" w:hAnsi="楷体_GB2312" w:eastAsia="楷体_GB2312" w:cs="楷体_GB2312"/>
          <w:b w:val="0"/>
          <w:bCs w:val="0"/>
          <w:smallCaps w:val="0"/>
          <w:spacing w:val="0"/>
          <w:sz w:val="28"/>
          <w:szCs w:val="28"/>
          <w:highlight w:val="none"/>
          <w:lang w:val="en-US" w:eastAsia="zh-CN"/>
        </w:rPr>
        <w:t>积极稳妥推进和实现碳达峰</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_Toc21050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- 34 -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32B6C0D">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_Toc28400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第八章 </w:t>
      </w:r>
      <w:r>
        <w:rPr>
          <w:rFonts w:hint="eastAsia" w:ascii="黑体" w:hAnsi="黑体" w:eastAsia="黑体" w:cs="黑体"/>
          <w:b w:val="0"/>
          <w:bCs w:val="0"/>
          <w:smallCaps w:val="0"/>
          <w:spacing w:val="0"/>
          <w:sz w:val="28"/>
          <w:szCs w:val="28"/>
          <w:highlight w:val="none"/>
          <w:lang w:val="en-US" w:eastAsia="zh-CN"/>
        </w:rPr>
        <w:t>构建现代化产业体系，巩固壮大实体经济根基</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_Toc28400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- 37 -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11D114E4">
      <w:pPr>
        <w:pStyle w:val="13"/>
        <w:tabs>
          <w:tab w:val="right" w:leader="dot" w:pos="8306"/>
        </w:tabs>
        <w:rPr>
          <w:rFonts w:hint="eastAsia" w:ascii="楷体_GB2312" w:hAnsi="楷体_GB2312" w:eastAsia="楷体_GB2312" w:cs="楷体_GB2312"/>
          <w:b w:val="0"/>
          <w:bCs w:val="0"/>
          <w:smallCaps w:val="0"/>
          <w:spacing w:val="0"/>
          <w:sz w:val="28"/>
          <w:szCs w:val="28"/>
          <w:highlight w:val="none"/>
        </w:rPr>
        <w:sectPr>
          <w:footerReference r:id="rId5" w:type="default"/>
          <w:pgSz w:w="11906" w:h="16838"/>
          <w:pgMar w:top="1440" w:right="1800" w:bottom="1440" w:left="1800" w:header="851" w:footer="992" w:gutter="0"/>
          <w:pgNumType w:fmt="upperRoman" w:start="1"/>
          <w:cols w:space="720" w:num="1"/>
          <w:docGrid w:type="lines" w:linePitch="312" w:charSpace="0"/>
        </w:sectPr>
      </w:pPr>
    </w:p>
    <w:p w14:paraId="26AB2ED0">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_Toc24460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深入实施工业强市战略</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_Toc24460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84C0C80">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_Toc27376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加快建设现代农牧业强市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49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8C909AC">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_Toc23758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促进服务业优质高效发展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_Toc23758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- 55 -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69194083">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_Toc2052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第九章 </w:t>
      </w:r>
      <w:r>
        <w:rPr>
          <w:rFonts w:hint="eastAsia" w:ascii="黑体" w:hAnsi="黑体" w:eastAsia="黑体" w:cs="黑体"/>
          <w:b w:val="0"/>
          <w:bCs w:val="0"/>
          <w:smallCaps w:val="0"/>
          <w:spacing w:val="0"/>
          <w:sz w:val="28"/>
          <w:szCs w:val="28"/>
          <w:highlight w:val="none"/>
          <w:lang w:val="en-US" w:eastAsia="zh-CN"/>
        </w:rPr>
        <w:t>深入推进新型城镇化建设，推动城乡融合发展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_Toc2052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69C4C83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_Toc3359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优化国土空间体系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_Toc3359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108612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_Toc3588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提升中心城市能级</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_Toc3588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479CEA3">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_Toc11624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推动县域经济高质量发展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_Toc11624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5AAEF2C">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_Toc12536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推动城乡融合发展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_Toc12536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- 68 -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2B6DCFD">
      <w:pPr>
        <w:pStyle w:val="13"/>
        <w:tabs>
          <w:tab w:val="right" w:leader="dot" w:pos="8306"/>
        </w:tabs>
        <w:rPr>
          <w:rFonts w:hint="eastAsia" w:ascii="Times New Roman" w:hAnsi="Times New Roman" w:eastAsia="楷体_GB2312" w:cs="Times New Roman"/>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_Toc26945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第五节 </w:t>
      </w:r>
      <w:r>
        <w:rPr>
          <w:rFonts w:hint="eastAsia" w:ascii="楷体_GB2312" w:hAnsi="楷体_GB2312" w:eastAsia="楷体_GB2312" w:cs="楷体_GB2312"/>
          <w:b w:val="0"/>
          <w:bCs w:val="0"/>
          <w:smallCaps w:val="0"/>
          <w:spacing w:val="0"/>
          <w:sz w:val="28"/>
          <w:szCs w:val="28"/>
          <w:highlight w:val="none"/>
          <w:lang w:val="en-US" w:eastAsia="zh-CN"/>
        </w:rPr>
        <w:t>构建现代化基础设施体系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70</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7C38123">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_Toc32486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rPr>
        <w:t xml:space="preserve">第十章 </w:t>
      </w:r>
      <w:r>
        <w:rPr>
          <w:rFonts w:hint="eastAsia" w:ascii="黑体" w:hAnsi="黑体" w:eastAsia="黑体" w:cs="黑体"/>
          <w:b w:val="0"/>
          <w:bCs w:val="0"/>
          <w:smallCaps w:val="0"/>
          <w:spacing w:val="0"/>
          <w:sz w:val="28"/>
          <w:szCs w:val="28"/>
          <w:highlight w:val="none"/>
          <w:lang w:eastAsia="zh-CN"/>
        </w:rPr>
        <w:t>推进乡村全面振兴，建设</w:t>
      </w:r>
      <w:r>
        <w:rPr>
          <w:rFonts w:hint="eastAsia" w:ascii="黑体" w:hAnsi="黑体" w:eastAsia="黑体" w:cs="黑体"/>
          <w:b w:val="0"/>
          <w:bCs w:val="0"/>
          <w:smallCaps w:val="0"/>
          <w:spacing w:val="0"/>
          <w:sz w:val="28"/>
          <w:szCs w:val="28"/>
          <w:highlight w:val="none"/>
          <w:lang w:val="en-US" w:eastAsia="zh-CN"/>
        </w:rPr>
        <w:t>现代化</w:t>
      </w:r>
      <w:r>
        <w:rPr>
          <w:rFonts w:hint="eastAsia" w:ascii="黑体" w:hAnsi="黑体" w:eastAsia="黑体" w:cs="黑体"/>
          <w:b w:val="0"/>
          <w:bCs w:val="0"/>
          <w:smallCaps w:val="0"/>
          <w:spacing w:val="0"/>
          <w:sz w:val="28"/>
          <w:szCs w:val="28"/>
          <w:highlight w:val="none"/>
          <w:lang w:eastAsia="zh-CN"/>
        </w:rPr>
        <w:t>新农村新牧区</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_Toc32486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- 73 -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CE479B6">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_Toc11305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建设宜居宜业和美乡村</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_Toc11305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4E5AF1B">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_Toc7348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激发农村牧区内生发展动力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_Toc7348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B74C317">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_Toc22856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提高强农惠农富农政策效能</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_Toc22856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110786B">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_Toc1605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提升乡村治理效能</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_Toc1605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- 78 -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9DF5A2B">
      <w:pPr>
        <w:pStyle w:val="20"/>
        <w:tabs>
          <w:tab w:val="right" w:leader="dot" w:pos="8306"/>
        </w:tabs>
        <w:rPr>
          <w:rFonts w:hint="eastAsia" w:ascii="Times New Roman" w:hAnsi="Times New Roman" w:eastAsia="黑体" w:cs="Times New Roman"/>
          <w:b w:val="0"/>
          <w:bCs w:val="0"/>
          <w:smallCaps w:val="0"/>
          <w:spacing w:val="0"/>
          <w:sz w:val="28"/>
          <w:szCs w:val="28"/>
          <w:lang w:val="en-US" w:eastAsia="zh-CN"/>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_Toc14326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第十一章 </w:t>
      </w:r>
      <w:r>
        <w:rPr>
          <w:rFonts w:hint="eastAsia" w:ascii="黑体" w:hAnsi="黑体" w:eastAsia="黑体" w:cs="黑体"/>
          <w:b w:val="0"/>
          <w:bCs w:val="0"/>
          <w:smallCaps w:val="0"/>
          <w:spacing w:val="0"/>
          <w:sz w:val="28"/>
          <w:szCs w:val="28"/>
          <w:highlight w:val="none"/>
          <w:lang w:val="en-US" w:eastAsia="zh-CN"/>
        </w:rPr>
        <w:t>扩大高水平开放，全面融入新发展格局</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79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5A8F168">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_Toc31243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积极扩大有效投资</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79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9EBAC9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_Toc19393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促进消费扩容提质</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_Toc19393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99E35BD">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_Toc30316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深入推进向北开放与向海图强</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_Toc30316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5F205FF">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_Toc8179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持续深化区域合作与协调发展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_Toc8179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52A3F83">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_Toc19447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第十二章 </w:t>
      </w:r>
      <w:r>
        <w:rPr>
          <w:rFonts w:hint="eastAsia" w:ascii="黑体" w:hAnsi="黑体" w:eastAsia="黑体" w:cs="黑体"/>
          <w:b w:val="0"/>
          <w:bCs w:val="0"/>
          <w:smallCaps w:val="0"/>
          <w:spacing w:val="0"/>
          <w:sz w:val="28"/>
          <w:szCs w:val="28"/>
          <w:highlight w:val="none"/>
          <w:lang w:val="en-US" w:eastAsia="zh-CN"/>
        </w:rPr>
        <w:t>实施创新驱动发展战略</w:t>
      </w:r>
      <w:r>
        <w:rPr>
          <w:rFonts w:hint="eastAsia" w:ascii="黑体" w:hAnsi="黑体" w:eastAsia="黑体" w:cs="黑体"/>
          <w:b w:val="0"/>
          <w:bCs w:val="0"/>
          <w:smallCaps w:val="0"/>
          <w:spacing w:val="0"/>
          <w:sz w:val="28"/>
          <w:szCs w:val="28"/>
          <w:highlight w:val="none"/>
          <w:lang w:eastAsia="zh-CN"/>
        </w:rPr>
        <w:t>，</w:t>
      </w:r>
      <w:r>
        <w:rPr>
          <w:rFonts w:hint="eastAsia" w:ascii="黑体" w:hAnsi="黑体" w:eastAsia="黑体" w:cs="黑体"/>
          <w:b w:val="0"/>
          <w:bCs w:val="0"/>
          <w:smallCaps w:val="0"/>
          <w:spacing w:val="0"/>
          <w:sz w:val="28"/>
          <w:szCs w:val="28"/>
          <w:highlight w:val="none"/>
          <w:lang w:val="en-US" w:eastAsia="zh-CN"/>
        </w:rPr>
        <w:t>因地制宜发展新质生产力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_Toc19447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- 86 -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6A4CAB71">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_Toc7824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加强科技创新能力建设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_Toc7824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5741740">
      <w:pPr>
        <w:pStyle w:val="13"/>
        <w:tabs>
          <w:tab w:val="right" w:leader="dot" w:pos="8306"/>
        </w:tabs>
        <w:rPr>
          <w:rFonts w:hint="eastAsia" w:ascii="Times New Roman" w:hAnsi="Times New Roman" w:eastAsia="楷体_GB2312" w:cs="Times New Roman"/>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_Toc29065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一体推进教育科技人才发展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89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60F7EF06">
      <w:pPr>
        <w:pStyle w:val="20"/>
        <w:tabs>
          <w:tab w:val="right" w:leader="dot" w:pos="8306"/>
        </w:tabs>
        <w:rPr>
          <w:rFonts w:hint="eastAsia" w:ascii="黑体" w:hAnsi="黑体" w:eastAsia="黑体" w:cs="黑体"/>
          <w:b w:val="0"/>
          <w:bCs w:val="0"/>
          <w:smallCaps w:val="0"/>
          <w:spacing w:val="0"/>
          <w:sz w:val="28"/>
          <w:szCs w:val="28"/>
          <w:highlight w:val="none"/>
        </w:rPr>
        <w:sectPr>
          <w:footerReference r:id="rId6" w:type="default"/>
          <w:footerReference r:id="rId7" w:type="even"/>
          <w:pgSz w:w="11906" w:h="16838"/>
          <w:pgMar w:top="1440" w:right="1800" w:bottom="1440" w:left="1800" w:header="851" w:footer="992" w:gutter="0"/>
          <w:pgNumType w:fmt="upperRoman"/>
          <w:cols w:space="720" w:num="1"/>
          <w:docGrid w:type="lines" w:linePitch="312" w:charSpace="0"/>
        </w:sectPr>
      </w:pPr>
    </w:p>
    <w:p w14:paraId="64935985">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_Toc27713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第十三章 </w:t>
      </w:r>
      <w:r>
        <w:rPr>
          <w:rFonts w:hint="eastAsia" w:ascii="黑体" w:hAnsi="黑体" w:eastAsia="黑体" w:cs="黑体"/>
          <w:b w:val="0"/>
          <w:bCs w:val="0"/>
          <w:smallCaps w:val="0"/>
          <w:spacing w:val="0"/>
          <w:sz w:val="28"/>
          <w:szCs w:val="28"/>
          <w:highlight w:val="none"/>
          <w:lang w:val="en-US" w:eastAsia="zh-CN"/>
        </w:rPr>
        <w:t>深化</w:t>
      </w:r>
      <w:r>
        <w:rPr>
          <w:rFonts w:hint="eastAsia" w:ascii="黑体" w:hAnsi="黑体" w:eastAsia="黑体" w:cs="黑体"/>
          <w:b w:val="0"/>
          <w:bCs w:val="0"/>
          <w:smallCaps w:val="0"/>
          <w:spacing w:val="0"/>
          <w:sz w:val="28"/>
          <w:szCs w:val="28"/>
          <w:highlight w:val="none"/>
          <w:lang w:eastAsia="zh-CN"/>
        </w:rPr>
        <w:t>重点领域改革，</w:t>
      </w:r>
      <w:r>
        <w:rPr>
          <w:rFonts w:hint="eastAsia" w:ascii="黑体" w:hAnsi="黑体" w:eastAsia="黑体" w:cs="黑体"/>
          <w:b w:val="0"/>
          <w:bCs w:val="0"/>
          <w:smallCaps w:val="0"/>
          <w:spacing w:val="0"/>
          <w:sz w:val="28"/>
          <w:szCs w:val="28"/>
          <w:highlight w:val="none"/>
          <w:lang w:val="en-US" w:eastAsia="zh-CN"/>
        </w:rPr>
        <w:t>激发发展</w:t>
      </w:r>
      <w:r>
        <w:rPr>
          <w:rFonts w:hint="eastAsia" w:ascii="黑体" w:hAnsi="黑体" w:eastAsia="黑体" w:cs="黑体"/>
          <w:b w:val="0"/>
          <w:bCs w:val="0"/>
          <w:smallCaps w:val="0"/>
          <w:spacing w:val="0"/>
          <w:sz w:val="28"/>
          <w:szCs w:val="28"/>
          <w:highlight w:val="none"/>
          <w:lang w:eastAsia="zh-CN"/>
        </w:rPr>
        <w:t>内生动力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_Toc27713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29EA805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_Toc25951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完善要素市场化配置体制机制</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_Toc25951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50D6681">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_Toc12707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激发各类经营主体活力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_Toc12707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1CA31EA">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_Toc2991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打造市场化法治化国际化营商环境</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_Toc2991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- 94 -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C4B1BEB">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_Toc20468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第十四章 </w:t>
      </w:r>
      <w:r>
        <w:rPr>
          <w:rFonts w:hint="eastAsia" w:ascii="黑体" w:hAnsi="黑体" w:eastAsia="黑体" w:cs="黑体"/>
          <w:b w:val="0"/>
          <w:bCs w:val="0"/>
          <w:smallCaps w:val="0"/>
          <w:spacing w:val="0"/>
          <w:sz w:val="28"/>
          <w:szCs w:val="28"/>
          <w:highlight w:val="none"/>
          <w:lang w:val="en-US" w:eastAsia="zh-CN"/>
        </w:rPr>
        <w:t>繁荣发展社会主义文化，建设文化强市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_Toc20468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- 97 -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0F9C4D30">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_Toc7956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弘扬和践行社会主义核心价值观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_Toc7956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99609CB">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_Toc25689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保护传承弘扬中华优秀传统文化</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_Toc7956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w:t>
      </w:r>
      <w:r>
        <w:rPr>
          <w:rFonts w:hint="eastAsia" w:ascii="楷体_GB2312" w:hAnsi="楷体_GB2312" w:eastAsia="楷体_GB2312" w:cs="楷体_GB2312"/>
          <w:b w:val="0"/>
          <w:bCs w:val="0"/>
          <w:smallCaps w:val="0"/>
          <w:spacing w:val="0"/>
          <w:sz w:val="28"/>
          <w:szCs w:val="28"/>
          <w:lang w:val="en-US" w:eastAsia="zh-CN"/>
        </w:rPr>
        <w:t>8</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4136D98">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_Toc10576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推动文化事业繁荣发展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_Toc7956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100</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59522EE">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_Toc22024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推进文化产业高质量发展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_Toc22024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63A491A">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_Toc28470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第十五章 </w:t>
      </w:r>
      <w:r>
        <w:rPr>
          <w:rFonts w:hint="eastAsia" w:ascii="黑体" w:hAnsi="黑体" w:eastAsia="黑体" w:cs="黑体"/>
          <w:b w:val="0"/>
          <w:bCs w:val="0"/>
          <w:smallCaps w:val="0"/>
          <w:spacing w:val="0"/>
          <w:sz w:val="28"/>
          <w:szCs w:val="28"/>
          <w:highlight w:val="none"/>
          <w:lang w:eastAsia="zh-CN"/>
        </w:rPr>
        <w:t>统筹发展和安全，</w:t>
      </w:r>
      <w:r>
        <w:rPr>
          <w:rFonts w:hint="eastAsia" w:ascii="黑体" w:hAnsi="黑体" w:eastAsia="黑体" w:cs="黑体"/>
          <w:b w:val="0"/>
          <w:bCs w:val="0"/>
          <w:smallCaps w:val="0"/>
          <w:spacing w:val="0"/>
          <w:sz w:val="28"/>
          <w:szCs w:val="28"/>
          <w:highlight w:val="none"/>
          <w:lang w:val="en-US" w:eastAsia="zh-CN"/>
        </w:rPr>
        <w:t>建设更高水平平安赤峰</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_Toc28470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- 102 -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5D3A3AF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_Toc20256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坚决维护国家政治安全</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_Toc20256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- 102 -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7826153">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_Toc15615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抓好重点领域风险防控</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_Toc15615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FA7D94C">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_Toc26185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加强公共安全体系建设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_Toc26185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8E70361">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_Toc7228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健全完善社会治理体系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_Toc7228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6EE55CB">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_Toc12186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第十六章 </w:t>
      </w:r>
      <w:r>
        <w:rPr>
          <w:rFonts w:hint="eastAsia" w:ascii="黑体" w:hAnsi="黑体" w:eastAsia="黑体" w:cs="黑体"/>
          <w:b w:val="0"/>
          <w:bCs w:val="0"/>
          <w:smallCaps w:val="0"/>
          <w:spacing w:val="0"/>
          <w:sz w:val="28"/>
          <w:szCs w:val="28"/>
          <w:highlight w:val="none"/>
          <w:lang w:val="en-US" w:eastAsia="zh-CN"/>
        </w:rPr>
        <w:t>切实保障和改善民生</w:t>
      </w:r>
      <w:r>
        <w:rPr>
          <w:rFonts w:hint="eastAsia" w:ascii="黑体" w:hAnsi="黑体" w:eastAsia="黑体" w:cs="黑体"/>
          <w:b w:val="0"/>
          <w:bCs w:val="0"/>
          <w:smallCaps w:val="0"/>
          <w:spacing w:val="0"/>
          <w:sz w:val="28"/>
          <w:szCs w:val="28"/>
          <w:highlight w:val="none"/>
          <w:lang w:eastAsia="zh-CN"/>
        </w:rPr>
        <w:t>，</w:t>
      </w:r>
      <w:r>
        <w:rPr>
          <w:rFonts w:hint="eastAsia" w:ascii="黑体" w:hAnsi="黑体" w:eastAsia="黑体" w:cs="黑体"/>
          <w:b w:val="0"/>
          <w:bCs w:val="0"/>
          <w:smallCaps w:val="0"/>
          <w:spacing w:val="0"/>
          <w:sz w:val="28"/>
          <w:szCs w:val="28"/>
          <w:highlight w:val="none"/>
          <w:lang w:val="en-US" w:eastAsia="zh-CN"/>
        </w:rPr>
        <w:t>扎实推进共同富裕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_Toc12186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- 106 -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5FB4B0C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_Toc13770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促进高质量充分就业</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_Toc13770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EF8B69C">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_Toc651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促进居民持续增收</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_Toc651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- 109 -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491AD8A">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_Toc24005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着力建设教育强市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_Toc24005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- 110 -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03A483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_Toc10578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推进健康赤峰建设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_Toc10578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1B7EB2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_Toc2541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第五节 </w:t>
      </w:r>
      <w:r>
        <w:rPr>
          <w:rFonts w:hint="eastAsia" w:ascii="楷体_GB2312" w:hAnsi="楷体_GB2312" w:eastAsia="楷体_GB2312" w:cs="楷体_GB2312"/>
          <w:b w:val="0"/>
          <w:bCs w:val="0"/>
          <w:smallCaps w:val="0"/>
          <w:spacing w:val="0"/>
          <w:sz w:val="28"/>
          <w:szCs w:val="28"/>
          <w:highlight w:val="none"/>
          <w:lang w:val="en-US" w:eastAsia="zh-CN"/>
        </w:rPr>
        <w:t>健全社会保障体系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_Toc2541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BB76795">
      <w:pPr>
        <w:pStyle w:val="13"/>
        <w:tabs>
          <w:tab w:val="right" w:leader="dot" w:pos="8306"/>
        </w:tabs>
        <w:rPr>
          <w:rFonts w:hint="eastAsia" w:ascii="Times New Roman" w:hAnsi="Times New Roman" w:eastAsia="楷体_GB2312" w:cs="Times New Roman"/>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_Toc19845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第六节 </w:t>
      </w:r>
      <w:r>
        <w:rPr>
          <w:rFonts w:hint="eastAsia" w:ascii="楷体_GB2312" w:hAnsi="楷体_GB2312" w:eastAsia="楷体_GB2312" w:cs="楷体_GB2312"/>
          <w:b w:val="0"/>
          <w:bCs w:val="0"/>
          <w:smallCaps w:val="0"/>
          <w:spacing w:val="0"/>
          <w:sz w:val="28"/>
          <w:szCs w:val="28"/>
          <w:highlight w:val="none"/>
          <w:lang w:val="en-US" w:eastAsia="zh-CN"/>
        </w:rPr>
        <w:t>促进人口高质量发展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_Toc19845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- 118 -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389BF03">
      <w:pPr>
        <w:pStyle w:val="17"/>
        <w:tabs>
          <w:tab w:val="right" w:leader="dot" w:pos="8306"/>
          <w:tab w:val="clear" w:pos="8296"/>
        </w:tabs>
        <w:rPr>
          <w:rFonts w:hint="eastAsia" w:ascii="Times New Roman" w:hAnsi="Times New Roman" w:eastAsia="方正小标宋简体" w:cs="Times New Roman"/>
          <w:b w:val="0"/>
          <w:bCs w:val="0"/>
          <w:smallCaps w:val="0"/>
          <w:spacing w:val="0"/>
          <w:sz w:val="28"/>
          <w:szCs w:val="28"/>
          <w:lang w:val="en-US" w:eastAsia="zh-CN"/>
        </w:rPr>
      </w:pP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_Toc1263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lang w:val="en-US" w:eastAsia="zh-CN"/>
        </w:rPr>
        <w:t xml:space="preserve">第四篇 </w:t>
      </w:r>
      <w:r>
        <w:rPr>
          <w:rFonts w:hint="eastAsia" w:ascii="方正小标宋简体" w:hAnsi="方正小标宋简体" w:eastAsia="方正小标宋简体" w:cs="方正小标宋简体"/>
          <w:b w:val="0"/>
          <w:bCs w:val="0"/>
          <w:smallCaps w:val="0"/>
          <w:spacing w:val="0"/>
          <w:sz w:val="28"/>
          <w:szCs w:val="28"/>
          <w:highlight w:val="none"/>
          <w:lang w:val="en-US" w:eastAsia="zh-CN"/>
        </w:rPr>
        <w:t>加强领导，强化中国式现代化赤峰实践组织保障</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_Toc1263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- 120 -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44F214AB">
      <w:pPr>
        <w:pStyle w:val="20"/>
        <w:tabs>
          <w:tab w:val="right" w:leader="dot" w:pos="8306"/>
        </w:tabs>
        <w:rPr>
          <w:rFonts w:hint="eastAsia" w:ascii="黑体" w:hAnsi="黑体" w:eastAsia="黑体" w:cs="黑体"/>
          <w:b w:val="0"/>
          <w:bCs w:val="0"/>
          <w:smallCaps w:val="0"/>
          <w:spacing w:val="0"/>
          <w:sz w:val="28"/>
          <w:szCs w:val="28"/>
          <w:highlight w:val="none"/>
        </w:rPr>
        <w:sectPr>
          <w:footerReference r:id="rId8" w:type="default"/>
          <w:footerReference r:id="rId9" w:type="even"/>
          <w:pgSz w:w="11906" w:h="16838"/>
          <w:pgMar w:top="1440" w:right="1800" w:bottom="1440" w:left="1800" w:header="851" w:footer="992" w:gutter="0"/>
          <w:pgNumType w:fmt="upperRoman"/>
          <w:cols w:space="720" w:num="1"/>
          <w:docGrid w:type="lines" w:linePitch="312" w:charSpace="0"/>
        </w:sectPr>
      </w:pPr>
    </w:p>
    <w:p w14:paraId="087C689A">
      <w:pPr>
        <w:pStyle w:val="20"/>
        <w:tabs>
          <w:tab w:val="right" w:leader="dot" w:pos="8306"/>
        </w:tabs>
        <w:rPr>
          <w:rFonts w:hint="eastAsia" w:ascii="Times New Roman" w:hAnsi="Times New Roman" w:eastAsia="黑体" w:cs="Times New Roman"/>
          <w:b w:val="0"/>
          <w:bCs w:val="0"/>
          <w:smallCaps w:val="0"/>
          <w:spacing w:val="0"/>
          <w:sz w:val="28"/>
          <w:szCs w:val="28"/>
          <w:lang w:val="en-US" w:eastAsia="zh-CN"/>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_Toc203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第十七章 </w:t>
      </w:r>
      <w:r>
        <w:rPr>
          <w:rFonts w:hint="eastAsia" w:ascii="黑体" w:hAnsi="黑体" w:eastAsia="黑体" w:cs="黑体"/>
          <w:b w:val="0"/>
          <w:bCs w:val="0"/>
          <w:smallCaps w:val="0"/>
          <w:spacing w:val="0"/>
          <w:sz w:val="28"/>
          <w:szCs w:val="28"/>
          <w:highlight w:val="none"/>
          <w:lang w:val="en-US" w:eastAsia="zh-CN"/>
        </w:rPr>
        <w:t>加强党的全面领导和党的建设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5A6C7493">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_Toc27871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坚持党的全面领导</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_Toc27871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68895504">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_Toc30689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激励干部群众团结奋斗</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_Toc30689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858924A">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_Toc24207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第十八章 </w:t>
      </w:r>
      <w:r>
        <w:rPr>
          <w:rFonts w:hint="eastAsia" w:ascii="黑体" w:hAnsi="黑体" w:eastAsia="黑体" w:cs="黑体"/>
          <w:b w:val="0"/>
          <w:bCs w:val="0"/>
          <w:smallCaps w:val="0"/>
          <w:spacing w:val="0"/>
          <w:sz w:val="28"/>
          <w:szCs w:val="28"/>
          <w:highlight w:val="none"/>
          <w:lang w:val="en-US" w:eastAsia="zh-CN"/>
        </w:rPr>
        <w:t>健全规划实施全周期推进机制</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_Toc24207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- 122 -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B0DA15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_Toc29465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加强规划统筹衔接</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_Toc29465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- 122 -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32ACFD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_Toc31919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落实规划实施责任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_Toc31919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280E197">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_Toc26491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加强规划实施监测评估和监督</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_Toc26491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15DFF61">
      <w:pPr>
        <w:pStyle w:val="13"/>
        <w:keepNext w:val="0"/>
        <w:keepLines w:val="0"/>
        <w:pageBreakBefore w:val="0"/>
        <w:widowControl w:val="0"/>
        <w:shd w:val="clear" w:color="auto" w:fill="auto"/>
        <w:tabs>
          <w:tab w:val="right" w:leader="dot" w:pos="8306"/>
        </w:tabs>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highlight w:val="none"/>
        </w:rPr>
      </w:pPr>
      <w:r>
        <w:rPr>
          <w:rFonts w:hint="default" w:ascii="Times New Roman" w:hAnsi="Times New Roman" w:eastAsia="仿宋" w:cs="Times New Roman"/>
          <w:b w:val="0"/>
          <w:bCs w:val="0"/>
          <w:smallCaps w:val="0"/>
          <w:spacing w:val="0"/>
          <w:sz w:val="28"/>
          <w:szCs w:val="28"/>
          <w:highlight w:val="none"/>
        </w:rPr>
        <w:fldChar w:fldCharType="end"/>
      </w:r>
    </w:p>
    <w:p w14:paraId="62F13F19">
      <w:pPr>
        <w:pStyle w:val="43"/>
        <w:shd w:val="clear" w:color="auto" w:fill="auto"/>
        <w:spacing w:line="600" w:lineRule="exact"/>
        <w:rPr>
          <w:rFonts w:hint="default" w:ascii="Times New Roman" w:hAnsi="Times New Roman" w:cs="Times New Roman"/>
          <w:b w:val="0"/>
          <w:bCs w:val="0"/>
          <w:highlight w:val="none"/>
        </w:rPr>
        <w:sectPr>
          <w:footerReference r:id="rId10" w:type="default"/>
          <w:footerReference r:id="rId11" w:type="even"/>
          <w:pgSz w:w="11906" w:h="16838"/>
          <w:pgMar w:top="1440" w:right="1800" w:bottom="1440" w:left="1800" w:header="851" w:footer="992" w:gutter="0"/>
          <w:pgNumType w:fmt="upperRoman"/>
          <w:cols w:space="720" w:num="1"/>
          <w:docGrid w:type="lines" w:linePitch="312" w:charSpace="0"/>
        </w:sectPr>
      </w:pPr>
    </w:p>
    <w:p w14:paraId="090A66F7">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rFonts w:hint="eastAsia" w:ascii="Times New Roman" w:hAnsi="Times New Roman" w:eastAsia="方正黑体_GBK" w:cs="方正黑体_GBK"/>
          <w:b w:val="0"/>
          <w:bCs w:val="0"/>
          <w:sz w:val="32"/>
          <w:szCs w:val="32"/>
          <w:highlight w:val="none"/>
          <w:lang w:val="en-US" w:eastAsia="zh-CN"/>
        </w:rPr>
      </w:pPr>
      <w:bookmarkStart w:id="0" w:name="_Toc15250"/>
      <w:bookmarkStart w:id="1" w:name="_Toc9404"/>
      <w:bookmarkStart w:id="2" w:name="_Toc16642"/>
      <w:bookmarkStart w:id="3" w:name="_Toc31868"/>
      <w:bookmarkStart w:id="4" w:name="_Toc7354"/>
      <w:bookmarkStart w:id="5" w:name="_Toc18842"/>
      <w:bookmarkStart w:id="6" w:name="_Toc12106"/>
      <w:bookmarkStart w:id="7" w:name="_Toc13579"/>
      <w:bookmarkStart w:id="8" w:name="_Toc17126"/>
      <w:bookmarkStart w:id="9" w:name="_Toc9272"/>
      <w:bookmarkStart w:id="10" w:name="_Toc21008"/>
      <w:bookmarkStart w:id="11" w:name="_Toc19344"/>
      <w:bookmarkStart w:id="12" w:name="_Toc29639"/>
      <w:bookmarkStart w:id="13" w:name="_Toc9193"/>
      <w:bookmarkStart w:id="14" w:name="_Toc7365"/>
      <w:bookmarkStart w:id="15" w:name="_Toc13581"/>
      <w:bookmarkStart w:id="16" w:name="_Toc14929"/>
      <w:bookmarkStart w:id="17" w:name="_Toc24360"/>
      <w:bookmarkStart w:id="18" w:name="_Toc31986"/>
      <w:bookmarkStart w:id="19" w:name="_Toc17758"/>
      <w:bookmarkStart w:id="20" w:name="_Toc32569"/>
      <w:bookmarkStart w:id="21" w:name="_Toc28041"/>
      <w:bookmarkStart w:id="22" w:name="_Toc31137"/>
      <w:bookmarkStart w:id="23" w:name="_Toc30274"/>
      <w:bookmarkStart w:id="24" w:name="_Toc29989"/>
      <w:bookmarkStart w:id="25" w:name="_Toc14170"/>
      <w:bookmarkStart w:id="26" w:name="_Toc8085"/>
      <w:bookmarkStart w:id="27" w:name="_Toc20818"/>
      <w:r>
        <w:rPr>
          <w:rFonts w:hint="eastAsia" w:ascii="黑体" w:hAnsi="黑体" w:eastAsia="黑体" w:cs="黑体"/>
          <w:b w:val="0"/>
          <w:bCs w:val="0"/>
          <w:sz w:val="32"/>
          <w:szCs w:val="32"/>
          <w:highlight w:val="none"/>
          <w:lang w:val="en-US" w:eastAsia="zh-CN"/>
        </w:rPr>
        <w:t>前  言</w:t>
      </w:r>
    </w:p>
    <w:p w14:paraId="73FC8E5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sz w:val="32"/>
          <w:szCs w:val="32"/>
          <w:highlight w:val="none"/>
          <w:lang w:eastAsia="zh-CN"/>
        </w:rPr>
        <w:t>“十五五”时期（2026—2030年）是</w:t>
      </w:r>
      <w:r>
        <w:rPr>
          <w:rFonts w:hint="eastAsia" w:ascii="Times New Roman" w:hAnsi="Times New Roman" w:eastAsia="仿宋_GB2312" w:cs="方正仿宋_GBK"/>
          <w:b w:val="0"/>
          <w:bCs w:val="0"/>
          <w:sz w:val="32"/>
          <w:szCs w:val="32"/>
          <w:highlight w:val="none"/>
          <w:lang w:val="en-US" w:eastAsia="zh-CN"/>
        </w:rPr>
        <w:t>赤峰市在高质量发展新路上实现突破的</w:t>
      </w:r>
      <w:r>
        <w:rPr>
          <w:rFonts w:hint="eastAsia" w:ascii="Times New Roman" w:hAnsi="Times New Roman" w:eastAsia="仿宋_GB2312" w:cs="方正仿宋_GBK"/>
          <w:b w:val="0"/>
          <w:bCs w:val="0"/>
          <w:sz w:val="32"/>
          <w:szCs w:val="32"/>
          <w:highlight w:val="none"/>
          <w:lang w:eastAsia="zh-CN"/>
        </w:rPr>
        <w:t>关键</w:t>
      </w:r>
      <w:r>
        <w:rPr>
          <w:rFonts w:hint="eastAsia" w:ascii="Times New Roman" w:hAnsi="Times New Roman" w:eastAsia="仿宋_GB2312" w:cs="方正仿宋_GBK"/>
          <w:b w:val="0"/>
          <w:bCs w:val="0"/>
          <w:sz w:val="32"/>
          <w:szCs w:val="32"/>
          <w:highlight w:val="none"/>
          <w:lang w:val="en-US" w:eastAsia="zh-CN"/>
        </w:rPr>
        <w:t>时期</w:t>
      </w:r>
      <w:r>
        <w:rPr>
          <w:rFonts w:hint="eastAsia" w:ascii="Times New Roman" w:hAnsi="Times New Roman" w:eastAsia="仿宋_GB2312" w:cs="方正仿宋_GBK"/>
          <w:b w:val="0"/>
          <w:bCs w:val="0"/>
          <w:sz w:val="32"/>
          <w:szCs w:val="32"/>
          <w:highlight w:val="none"/>
          <w:lang w:eastAsia="zh-CN"/>
        </w:rPr>
        <w:t>。</w:t>
      </w:r>
      <w:r>
        <w:rPr>
          <w:rFonts w:hint="eastAsia" w:ascii="Times New Roman" w:hAnsi="Times New Roman" w:eastAsia="仿宋_GB2312" w:cs="方正仿宋_GBK"/>
          <w:b w:val="0"/>
          <w:bCs w:val="0"/>
          <w:sz w:val="32"/>
          <w:szCs w:val="32"/>
          <w:highlight w:val="none"/>
          <w:lang w:val="en-US" w:eastAsia="zh-CN"/>
        </w:rPr>
        <w:t>《赤峰市国民经济和社会发展第十五个五年规划纲要》，根据《中共赤峰市委关于制定国民经济和社会发展第十五个五年规划的建议》编制，主要阐明“十五五”时期全市经济社会发展目标任务，</w:t>
      </w:r>
      <w:r>
        <w:rPr>
          <w:rFonts w:hint="eastAsia" w:ascii="Times New Roman" w:hAnsi="Times New Roman" w:eastAsia="仿宋_GB2312" w:cs="方正仿宋_GBK"/>
          <w:b w:val="0"/>
          <w:bCs w:val="0"/>
          <w:sz w:val="32"/>
          <w:szCs w:val="40"/>
          <w:highlight w:val="none"/>
        </w:rPr>
        <w:t>是引领</w:t>
      </w:r>
      <w:r>
        <w:rPr>
          <w:rFonts w:hint="eastAsia" w:ascii="Times New Roman" w:hAnsi="Times New Roman" w:eastAsia="仿宋_GB2312" w:cs="方正仿宋_GBK"/>
          <w:b w:val="0"/>
          <w:bCs w:val="0"/>
          <w:sz w:val="32"/>
          <w:szCs w:val="40"/>
          <w:highlight w:val="none"/>
          <w:lang w:val="en-US" w:eastAsia="zh-CN"/>
        </w:rPr>
        <w:t>赤峰市迈向基本实现社会主义现代化</w:t>
      </w:r>
      <w:r>
        <w:rPr>
          <w:rFonts w:hint="eastAsia" w:ascii="Times New Roman" w:hAnsi="Times New Roman" w:eastAsia="仿宋_GB2312" w:cs="方正仿宋_GBK"/>
          <w:b w:val="0"/>
          <w:bCs w:val="0"/>
          <w:sz w:val="32"/>
          <w:szCs w:val="40"/>
          <w:highlight w:val="none"/>
        </w:rPr>
        <w:t>的宏伟蓝图，是各级各部门依法履行职责、编制专项规划、制定实施年度计划和各项政策措施的重要依据，是</w:t>
      </w:r>
      <w:r>
        <w:rPr>
          <w:rFonts w:hint="eastAsia" w:ascii="Times New Roman" w:hAnsi="Times New Roman" w:eastAsia="仿宋_GB2312" w:cs="方正仿宋_GBK"/>
          <w:b w:val="0"/>
          <w:bCs w:val="0"/>
          <w:sz w:val="32"/>
          <w:szCs w:val="40"/>
          <w:highlight w:val="none"/>
          <w:lang w:val="en-US" w:eastAsia="zh-CN"/>
        </w:rPr>
        <w:t>全市</w:t>
      </w:r>
      <w:r>
        <w:rPr>
          <w:rFonts w:hint="eastAsia" w:ascii="Times New Roman" w:hAnsi="Times New Roman" w:eastAsia="仿宋_GB2312" w:cs="方正仿宋_GBK"/>
          <w:b w:val="0"/>
          <w:bCs w:val="0"/>
          <w:sz w:val="32"/>
          <w:szCs w:val="40"/>
          <w:highlight w:val="none"/>
        </w:rPr>
        <w:t>人民共同奋斗的行动纲领。</w:t>
      </w:r>
    </w:p>
    <w:p w14:paraId="6F25BEC6">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方正小标宋简体" w:hAnsi="方正小标宋简体" w:eastAsia="方正小标宋简体" w:cs="方正小标宋简体"/>
          <w:b w:val="0"/>
          <w:bCs w:val="0"/>
          <w:sz w:val="32"/>
          <w:szCs w:val="32"/>
          <w:highlight w:val="none"/>
          <w:lang w:val="en-US" w:eastAsia="zh-CN"/>
        </w:rPr>
      </w:pPr>
      <w:bookmarkStart w:id="28" w:name="_Toc2458"/>
      <w:r>
        <w:rPr>
          <w:rFonts w:hint="eastAsia" w:ascii="方正小标宋简体" w:hAnsi="方正小标宋简体" w:eastAsia="方正小标宋简体" w:cs="方正小标宋简体"/>
          <w:b w:val="0"/>
          <w:bCs w:val="0"/>
          <w:sz w:val="32"/>
          <w:szCs w:val="32"/>
          <w:highlight w:val="none"/>
          <w:lang w:val="en-US" w:eastAsia="zh-CN"/>
        </w:rPr>
        <w:t>找准坐标，开启中国式现代化赤峰实践新征程</w:t>
      </w:r>
      <w:bookmarkEnd w:id="28"/>
    </w:p>
    <w:p w14:paraId="3374008C">
      <w:pPr>
        <w:keepNext w:val="0"/>
        <w:keepLines w:val="0"/>
        <w:pageBreakBefore w:val="0"/>
        <w:widowControl w:val="0"/>
        <w:kinsoku/>
        <w:wordWrap/>
        <w:topLinePunct w:val="0"/>
        <w:autoSpaceDE/>
        <w:autoSpaceDN/>
        <w:bidi w:val="0"/>
        <w:adjustRightInd/>
        <w:snapToGrid/>
        <w:spacing w:line="560" w:lineRule="exact"/>
        <w:ind w:firstLine="616" w:firstLineChars="200"/>
        <w:textAlignment w:val="auto"/>
        <w:rPr>
          <w:rFonts w:hint="eastAsia" w:ascii="Times New Roman" w:hAnsi="Times New Roman" w:eastAsia="仿宋_GB2312" w:cs="方正仿宋_GBK"/>
          <w:b w:val="0"/>
          <w:bCs w:val="0"/>
          <w:sz w:val="32"/>
          <w:szCs w:val="40"/>
          <w:highlight w:val="none"/>
          <w:lang w:val="en-US" w:eastAsia="zh-CN"/>
        </w:rPr>
      </w:pPr>
      <w:r>
        <w:rPr>
          <w:rFonts w:hint="eastAsia" w:ascii="Times New Roman" w:hAnsi="Times New Roman" w:eastAsia="仿宋_GB2312" w:cs="方正仿宋_GBK"/>
          <w:b w:val="0"/>
          <w:bCs w:val="0"/>
          <w:spacing w:val="-6"/>
          <w:sz w:val="32"/>
          <w:szCs w:val="40"/>
          <w:highlight w:val="none"/>
          <w:lang w:val="en-US" w:eastAsia="zh-CN"/>
        </w:rPr>
        <w:t>科学认识赤峰市经济社会发展所处的历史方位，准确识变、科学应变、主动求变，抢抓历史机遇，朝着谱写中国式现代化赤峰新篇章的宏伟目标阔步前进。</w:t>
      </w:r>
    </w:p>
    <w:p w14:paraId="7DFF7EFE">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29" w:name="_Toc5469"/>
      <w:r>
        <w:rPr>
          <w:rFonts w:hint="eastAsia" w:ascii="黑体" w:hAnsi="黑体" w:eastAsia="黑体" w:cs="黑体"/>
          <w:b w:val="0"/>
          <w:bCs w:val="0"/>
          <w:sz w:val="32"/>
          <w:szCs w:val="32"/>
          <w:highlight w:val="none"/>
          <w:lang w:val="en-US" w:eastAsia="zh-CN"/>
        </w:rPr>
        <w:t>发展成就</w:t>
      </w:r>
      <w:bookmarkEnd w:id="29"/>
    </w:p>
    <w:p w14:paraId="7235AEE0">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z w:val="32"/>
          <w:szCs w:val="32"/>
          <w:highlight w:val="none"/>
          <w:lang w:val="en-US" w:eastAsia="zh-CN"/>
        </w:rPr>
      </w:pPr>
      <w:r>
        <w:rPr>
          <w:rFonts w:hint="eastAsia" w:ascii="Times New Roman" w:hAnsi="Times New Roman" w:eastAsia="仿宋_GB2312" w:cs="方正仿宋_GBK"/>
          <w:b w:val="0"/>
          <w:bCs w:val="0"/>
          <w:spacing w:val="-6"/>
          <w:sz w:val="32"/>
          <w:szCs w:val="40"/>
          <w:highlight w:val="none"/>
          <w:lang w:eastAsia="zh-CN"/>
        </w:rPr>
        <w:t>“十四五”以来，面对艰巨繁重的改革发展稳定任务，在党中央、自治区党委的坚强领导下，市委、市政府团结带领全市各族干部群众，以习近平新时代中国特色社会主义思想为指导，</w:t>
      </w:r>
      <w:r>
        <w:rPr>
          <w:rFonts w:hint="eastAsia" w:ascii="Times New Roman" w:hAnsi="Times New Roman" w:eastAsia="仿宋_GB2312" w:cs="Times New Roman"/>
          <w:b w:val="0"/>
          <w:bCs w:val="0"/>
          <w:color w:val="auto"/>
          <w:sz w:val="32"/>
          <w:szCs w:val="32"/>
          <w:highlight w:val="none"/>
          <w:lang w:val="en" w:eastAsia="zh-CN"/>
        </w:rPr>
        <w:t>深入贯彻落实习近平总书记对内蒙古系列重要讲话重要指示精神</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紧紧围绕</w:t>
      </w:r>
      <w:r>
        <w:rPr>
          <w:rFonts w:hint="eastAsia" w:ascii="Times New Roman" w:hAnsi="Times New Roman" w:eastAsia="仿宋_GB2312" w:cs="方正仿宋_GBK"/>
          <w:b w:val="0"/>
          <w:bCs w:val="0"/>
          <w:spacing w:val="-6"/>
          <w:sz w:val="32"/>
          <w:szCs w:val="40"/>
          <w:highlight w:val="none"/>
          <w:lang w:eastAsia="zh-CN"/>
        </w:rPr>
        <w:t>铸牢中华民族共同体意识工作主线，</w:t>
      </w:r>
      <w:r>
        <w:rPr>
          <w:rFonts w:hint="eastAsia" w:ascii="Times New Roman" w:hAnsi="Times New Roman" w:eastAsia="仿宋_GB2312" w:cs="方正仿宋_GBK"/>
          <w:b w:val="0"/>
          <w:bCs w:val="0"/>
          <w:spacing w:val="-6"/>
          <w:sz w:val="32"/>
          <w:szCs w:val="40"/>
          <w:highlight w:val="none"/>
          <w:lang w:val="en-US" w:eastAsia="zh-CN"/>
        </w:rPr>
        <w:t>着力办好</w:t>
      </w:r>
      <w:r>
        <w:rPr>
          <w:rFonts w:hint="eastAsia" w:ascii="Times New Roman" w:hAnsi="Times New Roman" w:eastAsia="仿宋_GB2312" w:cs="方正仿宋_GBK"/>
          <w:b w:val="0"/>
          <w:bCs w:val="0"/>
          <w:spacing w:val="-6"/>
          <w:sz w:val="32"/>
          <w:szCs w:val="40"/>
          <w:highlight w:val="none"/>
          <w:lang w:eastAsia="zh-CN"/>
        </w:rPr>
        <w:t>习近平总书记</w:t>
      </w:r>
      <w:r>
        <w:rPr>
          <w:rFonts w:hint="eastAsia" w:ascii="Times New Roman" w:hAnsi="Times New Roman" w:eastAsia="仿宋_GB2312" w:cs="方正仿宋_GBK"/>
          <w:b w:val="0"/>
          <w:bCs w:val="0"/>
          <w:spacing w:val="-6"/>
          <w:sz w:val="32"/>
          <w:szCs w:val="40"/>
          <w:highlight w:val="none"/>
          <w:lang w:val="en-US" w:eastAsia="zh-CN"/>
        </w:rPr>
        <w:t>和党中央赋予</w:t>
      </w:r>
      <w:r>
        <w:rPr>
          <w:rFonts w:hint="eastAsia" w:ascii="Times New Roman" w:hAnsi="Times New Roman" w:eastAsia="仿宋_GB2312" w:cs="方正仿宋_GBK"/>
          <w:b w:val="0"/>
          <w:bCs w:val="0"/>
          <w:spacing w:val="-6"/>
          <w:sz w:val="32"/>
          <w:szCs w:val="40"/>
          <w:highlight w:val="none"/>
          <w:lang w:eastAsia="zh-CN"/>
        </w:rPr>
        <w:t>内蒙古建设“两个屏障”、“两个基地”、“一个桥头堡”的五大战略定位和使命任务，</w:t>
      </w:r>
      <w:r>
        <w:rPr>
          <w:rFonts w:hint="eastAsia" w:ascii="Times New Roman" w:hAnsi="Times New Roman" w:eastAsia="仿宋_GB2312" w:cs="方正仿宋_GBK"/>
          <w:b w:val="0"/>
          <w:bCs w:val="0"/>
          <w:spacing w:val="-6"/>
          <w:sz w:val="32"/>
          <w:szCs w:val="40"/>
          <w:highlight w:val="none"/>
          <w:lang w:val="en-US" w:eastAsia="zh-CN"/>
        </w:rPr>
        <w:t>推动各项事业发展迈上新台阶</w:t>
      </w:r>
      <w:r>
        <w:rPr>
          <w:rFonts w:hint="eastAsia" w:ascii="Times New Roman" w:hAnsi="Times New Roman" w:eastAsia="仿宋_GB2312" w:cs="方正仿宋_GBK"/>
          <w:b w:val="0"/>
          <w:bCs w:val="0"/>
          <w:spacing w:val="-6"/>
          <w:sz w:val="32"/>
          <w:szCs w:val="40"/>
          <w:highlight w:val="none"/>
          <w:lang w:eastAsia="zh-CN"/>
        </w:rPr>
        <w:t>，为全面建设</w:t>
      </w:r>
      <w:r>
        <w:rPr>
          <w:rFonts w:hint="eastAsia" w:ascii="Times New Roman" w:hAnsi="Times New Roman" w:eastAsia="仿宋_GB2312" w:cs="方正仿宋_GBK"/>
          <w:b w:val="0"/>
          <w:bCs w:val="0"/>
          <w:spacing w:val="-6"/>
          <w:sz w:val="32"/>
          <w:szCs w:val="40"/>
          <w:highlight w:val="none"/>
          <w:lang w:val="en-US" w:eastAsia="zh-CN"/>
        </w:rPr>
        <w:t>社会主义</w:t>
      </w:r>
      <w:r>
        <w:rPr>
          <w:rFonts w:hint="eastAsia" w:ascii="Times New Roman" w:hAnsi="Times New Roman" w:eastAsia="仿宋_GB2312" w:cs="方正仿宋_GBK"/>
          <w:b w:val="0"/>
          <w:bCs w:val="0"/>
          <w:spacing w:val="-6"/>
          <w:sz w:val="32"/>
          <w:szCs w:val="40"/>
          <w:highlight w:val="none"/>
          <w:lang w:eastAsia="zh-CN"/>
        </w:rPr>
        <w:t>现代化赤峰打下了扎实基础。</w:t>
      </w:r>
    </w:p>
    <w:p w14:paraId="3D77AB8B">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color w:val="auto"/>
          <w:spacing w:val="-6"/>
          <w:sz w:val="32"/>
          <w:szCs w:val="40"/>
          <w:highlight w:val="none"/>
        </w:rPr>
      </w:pPr>
      <w:r>
        <w:rPr>
          <w:rFonts w:hint="eastAsia" w:ascii="Times New Roman" w:hAnsi="Times New Roman" w:eastAsia="仿宋_GB2312" w:cs="方正仿宋_GBK"/>
          <w:b w:val="0"/>
          <w:bCs w:val="0"/>
          <w:color w:val="auto"/>
          <w:spacing w:val="-6"/>
          <w:sz w:val="32"/>
          <w:szCs w:val="40"/>
          <w:highlight w:val="none"/>
          <w:lang w:val="en-US" w:eastAsia="zh-CN"/>
        </w:rPr>
        <w:t>综合经济实力</w:t>
      </w:r>
      <w:r>
        <w:rPr>
          <w:rFonts w:hint="eastAsia" w:ascii="Times New Roman" w:hAnsi="Times New Roman" w:eastAsia="仿宋_GB2312" w:cs="方正仿宋_GBK"/>
          <w:b w:val="0"/>
          <w:bCs w:val="0"/>
          <w:spacing w:val="-6"/>
          <w:sz w:val="32"/>
          <w:szCs w:val="40"/>
          <w:highlight w:val="none"/>
          <w:lang w:val="en-US" w:eastAsia="zh-CN"/>
        </w:rPr>
        <w:t>持续提升。</w:t>
      </w:r>
      <w:r>
        <w:rPr>
          <w:rFonts w:hint="eastAsia" w:ascii="Times New Roman" w:hAnsi="Times New Roman" w:eastAsia="仿宋_GB2312" w:cs="方正仿宋_GBK"/>
          <w:b w:val="0"/>
          <w:bCs w:val="0"/>
          <w:color w:val="auto"/>
          <w:spacing w:val="-6"/>
          <w:sz w:val="32"/>
          <w:szCs w:val="40"/>
          <w:highlight w:val="none"/>
        </w:rPr>
        <w:t>“十四五”以来，赤峰市</w:t>
      </w:r>
      <w:r>
        <w:rPr>
          <w:rFonts w:hint="eastAsia" w:ascii="Times New Roman" w:hAnsi="Times New Roman" w:eastAsia="仿宋_GB2312" w:cs="方正仿宋_GBK"/>
          <w:b w:val="0"/>
          <w:bCs w:val="0"/>
          <w:color w:val="auto"/>
          <w:spacing w:val="-6"/>
          <w:sz w:val="32"/>
          <w:szCs w:val="40"/>
          <w:highlight w:val="none"/>
          <w:lang w:val="en-US" w:eastAsia="zh-CN"/>
        </w:rPr>
        <w:t>坚持以经济建设为中心</w:t>
      </w:r>
      <w:r>
        <w:rPr>
          <w:rFonts w:hint="eastAsia" w:ascii="Times New Roman" w:hAnsi="Times New Roman" w:eastAsia="仿宋_GB2312" w:cs="方正仿宋_GBK"/>
          <w:b w:val="0"/>
          <w:bCs w:val="0"/>
          <w:color w:val="auto"/>
          <w:spacing w:val="-6"/>
          <w:sz w:val="32"/>
          <w:szCs w:val="40"/>
          <w:highlight w:val="none"/>
        </w:rPr>
        <w:t>，多措并举挖掘经济增长潜力，宏观经济实现平稳健康发展</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经济基础更加稳固</w:t>
      </w:r>
      <w:r>
        <w:rPr>
          <w:rFonts w:hint="eastAsia" w:ascii="Times New Roman" w:hAnsi="Times New Roman" w:eastAsia="仿宋_GB2312" w:cs="方正仿宋_GBK"/>
          <w:b w:val="0"/>
          <w:bCs w:val="0"/>
          <w:color w:val="auto"/>
          <w:spacing w:val="-6"/>
          <w:sz w:val="32"/>
          <w:szCs w:val="40"/>
          <w:highlight w:val="none"/>
        </w:rPr>
        <w:t>。2021年地区生产总值突破2000亿元大关，达到20</w:t>
      </w:r>
      <w:r>
        <w:rPr>
          <w:rFonts w:hint="eastAsia" w:ascii="Times New Roman" w:hAnsi="Times New Roman" w:eastAsia="仿宋_GB2312" w:cs="方正仿宋_GBK"/>
          <w:b w:val="0"/>
          <w:bCs w:val="0"/>
          <w:color w:val="auto"/>
          <w:spacing w:val="-6"/>
          <w:sz w:val="32"/>
          <w:szCs w:val="40"/>
          <w:highlight w:val="none"/>
          <w:lang w:val="en-US" w:eastAsia="zh-CN"/>
        </w:rPr>
        <w:t>43.7</w:t>
      </w:r>
      <w:r>
        <w:rPr>
          <w:rFonts w:hint="eastAsia" w:ascii="Times New Roman" w:hAnsi="Times New Roman" w:eastAsia="仿宋_GB2312" w:cs="方正仿宋_GBK"/>
          <w:b w:val="0"/>
          <w:bCs w:val="0"/>
          <w:color w:val="auto"/>
          <w:spacing w:val="-6"/>
          <w:sz w:val="32"/>
          <w:szCs w:val="40"/>
          <w:highlight w:val="none"/>
        </w:rPr>
        <w:t>亿元</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2022</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年经济总量持续增长，2022年21</w:t>
      </w:r>
      <w:r>
        <w:rPr>
          <w:rFonts w:hint="eastAsia" w:ascii="Times New Roman" w:hAnsi="Times New Roman" w:eastAsia="仿宋_GB2312" w:cs="方正仿宋_GBK"/>
          <w:b w:val="0"/>
          <w:bCs w:val="0"/>
          <w:color w:val="auto"/>
          <w:spacing w:val="-6"/>
          <w:sz w:val="32"/>
          <w:szCs w:val="40"/>
          <w:highlight w:val="none"/>
          <w:lang w:val="en-US" w:eastAsia="zh-CN"/>
        </w:rPr>
        <w:t>72.2</w:t>
      </w:r>
      <w:r>
        <w:rPr>
          <w:rFonts w:hint="eastAsia" w:ascii="Times New Roman" w:hAnsi="Times New Roman" w:eastAsia="仿宋_GB2312" w:cs="方正仿宋_GBK"/>
          <w:b w:val="0"/>
          <w:bCs w:val="0"/>
          <w:color w:val="auto"/>
          <w:spacing w:val="-6"/>
          <w:sz w:val="32"/>
          <w:szCs w:val="40"/>
          <w:highlight w:val="none"/>
        </w:rPr>
        <w:t>亿元，2023年2</w:t>
      </w:r>
      <w:r>
        <w:rPr>
          <w:rFonts w:hint="eastAsia" w:ascii="Times New Roman" w:hAnsi="Times New Roman" w:eastAsia="仿宋_GB2312" w:cs="方正仿宋_GBK"/>
          <w:b w:val="0"/>
          <w:bCs w:val="0"/>
          <w:color w:val="auto"/>
          <w:spacing w:val="-6"/>
          <w:sz w:val="32"/>
          <w:szCs w:val="40"/>
          <w:highlight w:val="none"/>
          <w:lang w:val="en-US" w:eastAsia="zh-CN"/>
        </w:rPr>
        <w:t>221.2</w:t>
      </w:r>
      <w:r>
        <w:rPr>
          <w:rFonts w:hint="eastAsia" w:ascii="Times New Roman" w:hAnsi="Times New Roman" w:eastAsia="仿宋_GB2312" w:cs="方正仿宋_GBK"/>
          <w:b w:val="0"/>
          <w:bCs w:val="0"/>
          <w:color w:val="auto"/>
          <w:spacing w:val="-6"/>
          <w:sz w:val="32"/>
          <w:szCs w:val="40"/>
          <w:highlight w:val="none"/>
        </w:rPr>
        <w:t>亿元，2024年达到232</w:t>
      </w:r>
      <w:r>
        <w:rPr>
          <w:rFonts w:hint="eastAsia" w:ascii="Times New Roman" w:hAnsi="Times New Roman" w:eastAsia="仿宋_GB2312" w:cs="方正仿宋_GBK"/>
          <w:b w:val="0"/>
          <w:bCs w:val="0"/>
          <w:color w:val="auto"/>
          <w:spacing w:val="-6"/>
          <w:sz w:val="32"/>
          <w:szCs w:val="40"/>
          <w:highlight w:val="none"/>
          <w:lang w:val="en-US" w:eastAsia="zh-CN"/>
        </w:rPr>
        <w:t>8</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3</w:t>
      </w:r>
      <w:r>
        <w:rPr>
          <w:rFonts w:hint="eastAsia" w:ascii="Times New Roman" w:hAnsi="Times New Roman" w:eastAsia="仿宋_GB2312" w:cs="方正仿宋_GBK"/>
          <w:b w:val="0"/>
          <w:bCs w:val="0"/>
          <w:color w:val="auto"/>
          <w:spacing w:val="-6"/>
          <w:sz w:val="32"/>
          <w:szCs w:val="40"/>
          <w:highlight w:val="none"/>
        </w:rPr>
        <w:t>亿元，同比增长4.</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2025年达2407.1亿元，</w:t>
      </w:r>
      <w:r>
        <w:rPr>
          <w:rFonts w:hint="eastAsia" w:ascii="Times New Roman" w:hAnsi="Times New Roman" w:eastAsia="仿宋_GB2312" w:cs="方正仿宋_GBK"/>
          <w:b w:val="0"/>
          <w:bCs w:val="0"/>
          <w:color w:val="auto"/>
          <w:spacing w:val="-6"/>
          <w:sz w:val="32"/>
          <w:szCs w:val="40"/>
          <w:highlight w:val="none"/>
        </w:rPr>
        <w:t>同比增长4.</w:t>
      </w:r>
      <w:r>
        <w:rPr>
          <w:rFonts w:hint="eastAsia" w:ascii="Times New Roman" w:hAnsi="Times New Roman" w:eastAsia="仿宋_GB2312" w:cs="方正仿宋_GBK"/>
          <w:b w:val="0"/>
          <w:bCs w:val="0"/>
          <w:color w:val="auto"/>
          <w:spacing w:val="-6"/>
          <w:sz w:val="32"/>
          <w:szCs w:val="40"/>
          <w:highlight w:val="none"/>
          <w:lang w:val="en-US" w:eastAsia="zh-CN"/>
        </w:rPr>
        <w:t>9</w:t>
      </w:r>
      <w:r>
        <w:rPr>
          <w:rFonts w:hint="eastAsia" w:ascii="Times New Roman" w:hAnsi="Times New Roman" w:eastAsia="仿宋_GB2312" w:cs="方正仿宋_GBK"/>
          <w:b w:val="0"/>
          <w:bCs w:val="0"/>
          <w:color w:val="auto"/>
          <w:spacing w:val="-6"/>
          <w:sz w:val="32"/>
          <w:szCs w:val="40"/>
          <w:highlight w:val="none"/>
        </w:rPr>
        <w:t>%，总量稳居全区第四位、蒙东地区首位；固定资产投资规模持续扩大，2021—202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年固定资产投资年均增长</w:t>
      </w:r>
      <w:r>
        <w:rPr>
          <w:rFonts w:hint="eastAsia" w:ascii="Times New Roman" w:hAnsi="Times New Roman" w:eastAsia="仿宋_GB2312" w:cs="方正仿宋_GBK"/>
          <w:b w:val="0"/>
          <w:bCs w:val="0"/>
          <w:color w:val="auto"/>
          <w:spacing w:val="-6"/>
          <w:sz w:val="32"/>
          <w:szCs w:val="40"/>
          <w:highlight w:val="none"/>
          <w:lang w:val="en-US" w:eastAsia="zh-CN"/>
        </w:rPr>
        <w:t>8.7</w:t>
      </w:r>
      <w:r>
        <w:rPr>
          <w:rFonts w:hint="eastAsia" w:ascii="Times New Roman" w:hAnsi="Times New Roman" w:eastAsia="仿宋_GB2312" w:cs="方正仿宋_GBK"/>
          <w:b w:val="0"/>
          <w:bCs w:val="0"/>
          <w:color w:val="auto"/>
          <w:spacing w:val="-6"/>
          <w:sz w:val="32"/>
          <w:szCs w:val="40"/>
          <w:highlight w:val="none"/>
        </w:rPr>
        <w:t>%，202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年增长</w:t>
      </w:r>
      <w:r>
        <w:rPr>
          <w:rFonts w:hint="eastAsia" w:ascii="Times New Roman" w:hAnsi="Times New Roman" w:eastAsia="仿宋_GB2312" w:cs="方正仿宋_GBK"/>
          <w:b w:val="0"/>
          <w:bCs w:val="0"/>
          <w:color w:val="auto"/>
          <w:spacing w:val="-6"/>
          <w:sz w:val="32"/>
          <w:szCs w:val="40"/>
          <w:highlight w:val="none"/>
          <w:lang w:val="en-US" w:eastAsia="zh-CN"/>
        </w:rPr>
        <w:t>7</w:t>
      </w:r>
      <w:r>
        <w:rPr>
          <w:rFonts w:hint="eastAsia" w:ascii="Times New Roman" w:hAnsi="Times New Roman" w:eastAsia="仿宋_GB2312" w:cs="方正仿宋_GBK"/>
          <w:b w:val="0"/>
          <w:bCs w:val="0"/>
          <w:color w:val="auto"/>
          <w:spacing w:val="-6"/>
          <w:sz w:val="32"/>
          <w:szCs w:val="40"/>
          <w:highlight w:val="none"/>
        </w:rPr>
        <w:t>%，增速高于全国平均水平；规上工业增加值稳步前行，2021—202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年规上工业增加值年均增速达到</w:t>
      </w:r>
      <w:r>
        <w:rPr>
          <w:rFonts w:hint="eastAsia" w:ascii="Times New Roman" w:hAnsi="Times New Roman" w:eastAsia="仿宋_GB2312" w:cs="方正仿宋_GBK"/>
          <w:b w:val="0"/>
          <w:bCs w:val="0"/>
          <w:color w:val="auto"/>
          <w:spacing w:val="-6"/>
          <w:sz w:val="32"/>
          <w:szCs w:val="40"/>
          <w:highlight w:val="none"/>
          <w:lang w:val="en-US" w:eastAsia="zh-CN"/>
        </w:rPr>
        <w:t>6.6</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2024年工业经济总量成为全区第四个突破2000亿元大关的地区，2025年工业投资增长16.3%、领跑全区，工业经济发展持续向好。</w:t>
      </w:r>
    </w:p>
    <w:p w14:paraId="7F46E81F">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color w:val="auto"/>
          <w:spacing w:val="-6"/>
          <w:sz w:val="32"/>
          <w:szCs w:val="40"/>
          <w:highlight w:val="none"/>
        </w:rPr>
      </w:pPr>
      <w:r>
        <w:rPr>
          <w:rFonts w:hint="eastAsia" w:ascii="Times New Roman" w:hAnsi="Times New Roman" w:eastAsia="仿宋_GB2312" w:cs="方正仿宋_GBK"/>
          <w:b w:val="0"/>
          <w:bCs w:val="0"/>
          <w:spacing w:val="-6"/>
          <w:sz w:val="32"/>
          <w:szCs w:val="40"/>
          <w:highlight w:val="none"/>
          <w:lang w:val="en-US" w:eastAsia="zh-CN"/>
        </w:rPr>
        <w:t>产业转型升级步伐加快</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“十四五”以来，赤峰市聚力推动产业转型升级和提质增效，产业结构不断优化，产业基础不断夯实。农牧业发展实现量质齐升</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粮食安全保障能力持续增强，</w:t>
      </w:r>
      <w:r>
        <w:rPr>
          <w:rFonts w:hint="eastAsia" w:ascii="Times New Roman" w:hAnsi="Times New Roman" w:eastAsia="仿宋_GB2312" w:cs="方正仿宋_GBK"/>
          <w:b w:val="0"/>
          <w:bCs w:val="0"/>
          <w:color w:val="auto"/>
          <w:spacing w:val="-6"/>
          <w:sz w:val="32"/>
          <w:szCs w:val="40"/>
          <w:highlight w:val="none"/>
          <w:lang w:eastAsia="zh-CN"/>
        </w:rPr>
        <w:t>粮食播种面积保持在1700万亩以上，粮食产量连续稳定在130亿斤以上；</w:t>
      </w:r>
      <w:r>
        <w:rPr>
          <w:rFonts w:hint="eastAsia" w:ascii="Times New Roman" w:hAnsi="Times New Roman" w:eastAsia="仿宋_GB2312" w:cs="方正仿宋_GBK"/>
          <w:b w:val="0"/>
          <w:bCs w:val="0"/>
          <w:color w:val="auto"/>
          <w:spacing w:val="-6"/>
          <w:sz w:val="32"/>
          <w:szCs w:val="40"/>
          <w:highlight w:val="none"/>
          <w:lang w:val="en-US" w:eastAsia="zh-CN"/>
        </w:rPr>
        <w:t>农畜产品供给保障能力稳步提高，行业调度</w:t>
      </w:r>
      <w:r>
        <w:rPr>
          <w:rFonts w:hint="eastAsia" w:ascii="Times New Roman" w:hAnsi="Times New Roman" w:eastAsia="仿宋_GB2312" w:cs="方正仿宋_GBK"/>
          <w:b w:val="0"/>
          <w:bCs w:val="0"/>
          <w:color w:val="auto"/>
          <w:spacing w:val="-6"/>
          <w:sz w:val="32"/>
          <w:szCs w:val="40"/>
          <w:highlight w:val="none"/>
          <w:lang w:eastAsia="zh-CN"/>
        </w:rPr>
        <w:t>牲畜存栏</w:t>
      </w:r>
      <w:r>
        <w:rPr>
          <w:rFonts w:hint="eastAsia" w:ascii="Times New Roman" w:hAnsi="Times New Roman" w:eastAsia="仿宋_GB2312" w:cs="方正仿宋_GBK"/>
          <w:b w:val="0"/>
          <w:bCs w:val="0"/>
          <w:color w:val="auto"/>
          <w:spacing w:val="-6"/>
          <w:sz w:val="32"/>
          <w:szCs w:val="40"/>
          <w:highlight w:val="none"/>
          <w:lang w:val="en-US" w:eastAsia="zh-CN"/>
        </w:rPr>
        <w:t>超过</w:t>
      </w:r>
      <w:r>
        <w:rPr>
          <w:rFonts w:hint="eastAsia" w:ascii="Times New Roman" w:hAnsi="Times New Roman" w:eastAsia="仿宋_GB2312" w:cs="方正仿宋_GBK"/>
          <w:b w:val="0"/>
          <w:bCs w:val="0"/>
          <w:color w:val="auto"/>
          <w:spacing w:val="-6"/>
          <w:sz w:val="32"/>
          <w:szCs w:val="40"/>
          <w:highlight w:val="none"/>
          <w:lang w:eastAsia="zh-CN"/>
        </w:rPr>
        <w:t>2</w:t>
      </w:r>
      <w:r>
        <w:rPr>
          <w:rFonts w:hint="eastAsia" w:ascii="Times New Roman" w:hAnsi="Times New Roman" w:eastAsia="仿宋_GB2312" w:cs="方正仿宋_GBK"/>
          <w:b w:val="0"/>
          <w:bCs w:val="0"/>
          <w:color w:val="auto"/>
          <w:spacing w:val="-6"/>
          <w:sz w:val="32"/>
          <w:szCs w:val="40"/>
          <w:highlight w:val="none"/>
          <w:lang w:val="en-US" w:eastAsia="zh-CN"/>
        </w:rPr>
        <w:t>400</w:t>
      </w:r>
      <w:r>
        <w:rPr>
          <w:rFonts w:hint="eastAsia" w:ascii="Times New Roman" w:hAnsi="Times New Roman" w:eastAsia="仿宋_GB2312" w:cs="方正仿宋_GBK"/>
          <w:b w:val="0"/>
          <w:bCs w:val="0"/>
          <w:color w:val="auto"/>
          <w:spacing w:val="-6"/>
          <w:sz w:val="32"/>
          <w:szCs w:val="40"/>
          <w:highlight w:val="none"/>
          <w:lang w:eastAsia="zh-CN"/>
        </w:rPr>
        <w:t>万头只，肉类综合生产能力</w:t>
      </w:r>
      <w:r>
        <w:rPr>
          <w:rFonts w:hint="eastAsia" w:ascii="Times New Roman" w:hAnsi="Times New Roman" w:eastAsia="仿宋_GB2312" w:cs="方正仿宋_GBK"/>
          <w:b w:val="0"/>
          <w:bCs w:val="0"/>
          <w:color w:val="auto"/>
          <w:spacing w:val="-6"/>
          <w:sz w:val="32"/>
          <w:szCs w:val="40"/>
          <w:highlight w:val="none"/>
          <w:lang w:val="en-US" w:eastAsia="zh-CN"/>
        </w:rPr>
        <w:t>180.6</w:t>
      </w:r>
      <w:r>
        <w:rPr>
          <w:rFonts w:hint="eastAsia" w:ascii="Times New Roman" w:hAnsi="Times New Roman" w:eastAsia="仿宋_GB2312" w:cs="方正仿宋_GBK"/>
          <w:b w:val="0"/>
          <w:bCs w:val="0"/>
          <w:color w:val="auto"/>
          <w:spacing w:val="-6"/>
          <w:sz w:val="32"/>
          <w:szCs w:val="40"/>
          <w:highlight w:val="none"/>
          <w:lang w:eastAsia="zh-CN"/>
        </w:rPr>
        <w:t>万吨，禽蛋总产量</w:t>
      </w:r>
      <w:r>
        <w:rPr>
          <w:rFonts w:hint="eastAsia" w:ascii="Times New Roman" w:hAnsi="Times New Roman" w:eastAsia="仿宋_GB2312" w:cs="方正仿宋_GBK"/>
          <w:b w:val="0"/>
          <w:bCs w:val="0"/>
          <w:color w:val="auto"/>
          <w:spacing w:val="-6"/>
          <w:sz w:val="32"/>
          <w:szCs w:val="40"/>
          <w:highlight w:val="none"/>
          <w:lang w:val="en-US" w:eastAsia="zh-CN"/>
        </w:rPr>
        <w:t>41.4</w:t>
      </w:r>
      <w:r>
        <w:rPr>
          <w:rFonts w:hint="eastAsia" w:ascii="Times New Roman" w:hAnsi="Times New Roman" w:eastAsia="仿宋_GB2312" w:cs="方正仿宋_GBK"/>
          <w:b w:val="0"/>
          <w:bCs w:val="0"/>
          <w:color w:val="auto"/>
          <w:spacing w:val="-6"/>
          <w:sz w:val="32"/>
          <w:szCs w:val="40"/>
          <w:highlight w:val="none"/>
          <w:lang w:eastAsia="zh-CN"/>
        </w:rPr>
        <w:t>万吨，均稳居自治区前列；设施农业累计综合占地面积</w:t>
      </w:r>
      <w:r>
        <w:rPr>
          <w:rFonts w:hint="eastAsia" w:ascii="Times New Roman" w:hAnsi="Times New Roman" w:eastAsia="仿宋_GB2312" w:cs="方正仿宋_GBK"/>
          <w:b w:val="0"/>
          <w:bCs w:val="0"/>
          <w:color w:val="auto"/>
          <w:spacing w:val="-6"/>
          <w:sz w:val="32"/>
          <w:szCs w:val="40"/>
          <w:highlight w:val="none"/>
          <w:lang w:val="en-US" w:eastAsia="zh-CN"/>
        </w:rPr>
        <w:t>206.6</w:t>
      </w:r>
      <w:r>
        <w:rPr>
          <w:rFonts w:hint="eastAsia" w:ascii="Times New Roman" w:hAnsi="Times New Roman" w:eastAsia="仿宋_GB2312" w:cs="方正仿宋_GBK"/>
          <w:b w:val="0"/>
          <w:bCs w:val="0"/>
          <w:color w:val="auto"/>
          <w:spacing w:val="-6"/>
          <w:sz w:val="32"/>
          <w:szCs w:val="40"/>
          <w:highlight w:val="none"/>
          <w:lang w:eastAsia="zh-CN"/>
        </w:rPr>
        <w:t>万亩，年产量突破5</w:t>
      </w:r>
      <w:r>
        <w:rPr>
          <w:rFonts w:hint="eastAsia" w:ascii="Times New Roman" w:hAnsi="Times New Roman" w:eastAsia="仿宋_GB2312" w:cs="方正仿宋_GBK"/>
          <w:b w:val="0"/>
          <w:bCs w:val="0"/>
          <w:color w:val="auto"/>
          <w:spacing w:val="-6"/>
          <w:sz w:val="32"/>
          <w:szCs w:val="40"/>
          <w:highlight w:val="none"/>
          <w:lang w:val="en-US" w:eastAsia="zh-CN"/>
        </w:rPr>
        <w:t>3</w:t>
      </w:r>
      <w:r>
        <w:rPr>
          <w:rFonts w:hint="eastAsia" w:ascii="Times New Roman" w:hAnsi="Times New Roman" w:eastAsia="仿宋_GB2312" w:cs="方正仿宋_GBK"/>
          <w:b w:val="0"/>
          <w:bCs w:val="0"/>
          <w:color w:val="auto"/>
          <w:spacing w:val="-6"/>
          <w:sz w:val="32"/>
          <w:szCs w:val="40"/>
          <w:highlight w:val="none"/>
          <w:lang w:eastAsia="zh-CN"/>
        </w:rPr>
        <w:t>0万吨，稳居全区首位。人工饲草种植保有面积达到341万亩，饲草产量达到</w:t>
      </w:r>
      <w:r>
        <w:rPr>
          <w:rFonts w:hint="eastAsia" w:ascii="Times New Roman" w:hAnsi="Times New Roman" w:eastAsia="仿宋_GB2312" w:cs="方正仿宋_GBK"/>
          <w:b w:val="0"/>
          <w:bCs w:val="0"/>
          <w:color w:val="auto"/>
          <w:spacing w:val="-6"/>
          <w:sz w:val="32"/>
          <w:szCs w:val="40"/>
          <w:highlight w:val="none"/>
          <w:lang w:val="en-US" w:eastAsia="zh-CN"/>
        </w:rPr>
        <w:t>838</w:t>
      </w:r>
      <w:r>
        <w:rPr>
          <w:rFonts w:hint="eastAsia" w:ascii="Times New Roman" w:hAnsi="Times New Roman" w:eastAsia="仿宋_GB2312" w:cs="方正仿宋_GBK"/>
          <w:b w:val="0"/>
          <w:bCs w:val="0"/>
          <w:color w:val="auto"/>
          <w:spacing w:val="-6"/>
          <w:sz w:val="32"/>
          <w:szCs w:val="40"/>
          <w:highlight w:val="none"/>
          <w:lang w:eastAsia="zh-CN"/>
        </w:rPr>
        <w:t>万吨以上，苜蓿、燕麦产量居全区首位。主要农畜产品加工转化率达到</w:t>
      </w:r>
      <w:r>
        <w:rPr>
          <w:rFonts w:hint="eastAsia" w:ascii="Times New Roman" w:hAnsi="Times New Roman" w:eastAsia="仿宋_GB2312" w:cs="方正仿宋_GBK"/>
          <w:b w:val="0"/>
          <w:bCs w:val="0"/>
          <w:color w:val="auto"/>
          <w:spacing w:val="-6"/>
          <w:sz w:val="32"/>
          <w:szCs w:val="40"/>
          <w:highlight w:val="none"/>
          <w:lang w:val="en-US" w:eastAsia="zh-CN"/>
        </w:rPr>
        <w:t>80</w:t>
      </w:r>
      <w:r>
        <w:rPr>
          <w:rFonts w:hint="eastAsia" w:ascii="Times New Roman" w:hAnsi="Times New Roman" w:eastAsia="仿宋_GB2312" w:cs="方正仿宋_GBK"/>
          <w:b w:val="0"/>
          <w:bCs w:val="0"/>
          <w:color w:val="auto"/>
          <w:spacing w:val="-6"/>
          <w:sz w:val="32"/>
          <w:szCs w:val="40"/>
          <w:highlight w:val="none"/>
          <w:lang w:eastAsia="zh-CN"/>
        </w:rPr>
        <w:t>%，较“十三五”期末提高了</w:t>
      </w:r>
      <w:r>
        <w:rPr>
          <w:rFonts w:hint="eastAsia" w:ascii="Times New Roman" w:hAnsi="Times New Roman" w:eastAsia="仿宋_GB2312" w:cs="方正仿宋_GBK"/>
          <w:b w:val="0"/>
          <w:bCs w:val="0"/>
          <w:color w:val="auto"/>
          <w:spacing w:val="-6"/>
          <w:sz w:val="32"/>
          <w:szCs w:val="40"/>
          <w:highlight w:val="none"/>
          <w:lang w:val="en-US" w:eastAsia="zh-CN"/>
        </w:rPr>
        <w:t>11.5</w:t>
      </w:r>
      <w:r>
        <w:rPr>
          <w:rFonts w:hint="eastAsia" w:ascii="Times New Roman" w:hAnsi="Times New Roman" w:eastAsia="仿宋_GB2312" w:cs="方正仿宋_GBK"/>
          <w:b w:val="0"/>
          <w:bCs w:val="0"/>
          <w:color w:val="auto"/>
          <w:spacing w:val="-6"/>
          <w:sz w:val="32"/>
          <w:szCs w:val="40"/>
          <w:highlight w:val="none"/>
          <w:lang w:eastAsia="zh-CN"/>
        </w:rPr>
        <w:t>个百分点。创建国家级优势特色产业集群4个、国家现代农业产业园1个、农业产业强镇</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lang w:eastAsia="zh-CN"/>
        </w:rPr>
        <w:t>个、自治区现代农牧业产业园7个。“赤诚峰味”、“敖汉小米”、“赤峰小米”、“赤峰绿豆”、“赤峰羊绒”等5个区域公用品牌总价值达893.85亿元，连续两年位居全区首位。</w:t>
      </w:r>
      <w:r>
        <w:rPr>
          <w:rFonts w:hint="eastAsia" w:ascii="Times New Roman" w:hAnsi="Times New Roman" w:eastAsia="仿宋_GB2312" w:cs="方正仿宋_GBK"/>
          <w:b w:val="0"/>
          <w:bCs w:val="0"/>
          <w:color w:val="auto"/>
          <w:spacing w:val="-6"/>
          <w:sz w:val="32"/>
          <w:szCs w:val="40"/>
          <w:highlight w:val="none"/>
        </w:rPr>
        <w:t>工业转型升级步伐加快</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中唐特钢精品钢、</w:t>
      </w:r>
      <w:r>
        <w:rPr>
          <w:rFonts w:hint="eastAsia" w:ascii="Times New Roman" w:hAnsi="Times New Roman" w:eastAsia="仿宋_GB2312" w:cs="方正仿宋_GBK"/>
          <w:b w:val="0"/>
          <w:bCs w:val="0"/>
          <w:color w:val="auto"/>
          <w:spacing w:val="-6"/>
          <w:sz w:val="32"/>
          <w:szCs w:val="40"/>
          <w:highlight w:val="none"/>
          <w:lang w:val="en-US" w:eastAsia="zh-CN"/>
        </w:rPr>
        <w:t>金通铜业、</w:t>
      </w:r>
      <w:r>
        <w:rPr>
          <w:rFonts w:hint="eastAsia" w:ascii="Times New Roman" w:hAnsi="Times New Roman" w:eastAsia="仿宋_GB2312" w:cs="方正仿宋_GBK"/>
          <w:b w:val="0"/>
          <w:bCs w:val="0"/>
          <w:color w:val="auto"/>
          <w:spacing w:val="-6"/>
          <w:sz w:val="32"/>
          <w:szCs w:val="40"/>
          <w:highlight w:val="none"/>
          <w:lang w:eastAsia="zh-CN"/>
        </w:rPr>
        <w:t>东山铝业</w:t>
      </w:r>
      <w:r>
        <w:rPr>
          <w:rFonts w:hint="eastAsia" w:ascii="Times New Roman" w:hAnsi="Times New Roman" w:eastAsia="仿宋_GB2312" w:cs="方正仿宋_GBK"/>
          <w:b w:val="0"/>
          <w:bCs w:val="0"/>
          <w:color w:val="auto"/>
          <w:spacing w:val="-6"/>
          <w:sz w:val="32"/>
          <w:szCs w:val="40"/>
          <w:highlight w:val="none"/>
        </w:rPr>
        <w:t>电解铝</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中骥新能源、鹏峰化工等一批重大工业项目加速落地</w:t>
      </w:r>
      <w:r>
        <w:rPr>
          <w:rFonts w:hint="eastAsia" w:ascii="Times New Roman" w:hAnsi="Times New Roman" w:eastAsia="仿宋_GB2312" w:cs="方正仿宋_GBK"/>
          <w:b w:val="0"/>
          <w:bCs w:val="0"/>
          <w:color w:val="auto"/>
          <w:spacing w:val="-6"/>
          <w:sz w:val="32"/>
          <w:szCs w:val="40"/>
          <w:highlight w:val="none"/>
          <w:lang w:eastAsia="zh-CN"/>
        </w:rPr>
        <w:t>，新能源产业迅速壮大，</w:t>
      </w:r>
      <w:r>
        <w:rPr>
          <w:rFonts w:hint="eastAsia" w:ascii="Times New Roman" w:hAnsi="Times New Roman" w:eastAsia="仿宋_GB2312" w:cs="方正仿宋_GBK"/>
          <w:b w:val="0"/>
          <w:bCs w:val="0"/>
          <w:color w:val="auto"/>
          <w:spacing w:val="-6"/>
          <w:sz w:val="32"/>
          <w:szCs w:val="40"/>
          <w:highlight w:val="none"/>
          <w:lang w:val="en-US" w:eastAsia="zh-CN"/>
        </w:rPr>
        <w:t>新能源</w:t>
      </w:r>
      <w:r>
        <w:rPr>
          <w:rFonts w:hint="eastAsia" w:ascii="Times New Roman" w:hAnsi="Times New Roman" w:eastAsia="仿宋_GB2312" w:cs="方正仿宋_GBK"/>
          <w:b w:val="0"/>
          <w:bCs w:val="0"/>
          <w:color w:val="auto"/>
          <w:spacing w:val="-6"/>
          <w:sz w:val="32"/>
          <w:szCs w:val="40"/>
          <w:highlight w:val="none"/>
          <w:lang w:eastAsia="zh-CN"/>
        </w:rPr>
        <w:t>总装机规模实现</w:t>
      </w:r>
      <w:r>
        <w:rPr>
          <w:rFonts w:hint="eastAsia" w:ascii="Times New Roman" w:hAnsi="Times New Roman" w:eastAsia="仿宋_GB2312" w:cs="方正仿宋_GBK"/>
          <w:b w:val="0"/>
          <w:bCs w:val="0"/>
          <w:color w:val="auto"/>
          <w:spacing w:val="-6"/>
          <w:sz w:val="32"/>
          <w:szCs w:val="40"/>
          <w:highlight w:val="none"/>
          <w:lang w:val="en-US" w:eastAsia="zh-CN"/>
        </w:rPr>
        <w:t>翻番增长，</w:t>
      </w:r>
      <w:r>
        <w:rPr>
          <w:rFonts w:hint="eastAsia" w:ascii="Times New Roman" w:hAnsi="Times New Roman" w:eastAsia="仿宋_GB2312" w:cs="方正仿宋_GBK"/>
          <w:b w:val="0"/>
          <w:bCs w:val="0"/>
          <w:color w:val="auto"/>
          <w:spacing w:val="-6"/>
          <w:sz w:val="32"/>
          <w:szCs w:val="40"/>
          <w:highlight w:val="none"/>
          <w:lang w:eastAsia="zh-CN"/>
        </w:rPr>
        <w:t>突破</w:t>
      </w:r>
      <w:r>
        <w:rPr>
          <w:rFonts w:hint="eastAsia" w:ascii="Times New Roman" w:hAnsi="Times New Roman" w:eastAsia="仿宋_GB2312" w:cs="方正仿宋_GBK"/>
          <w:b w:val="0"/>
          <w:bCs w:val="0"/>
          <w:color w:val="auto"/>
          <w:spacing w:val="-6"/>
          <w:sz w:val="32"/>
          <w:szCs w:val="40"/>
          <w:highlight w:val="none"/>
          <w:lang w:val="en-US" w:eastAsia="zh-CN"/>
        </w:rPr>
        <w:t>1700</w:t>
      </w:r>
      <w:r>
        <w:rPr>
          <w:rFonts w:hint="eastAsia" w:ascii="Times New Roman" w:hAnsi="Times New Roman" w:eastAsia="仿宋_GB2312" w:cs="方正仿宋_GBK"/>
          <w:b w:val="0"/>
          <w:bCs w:val="0"/>
          <w:color w:val="auto"/>
          <w:spacing w:val="-6"/>
          <w:sz w:val="32"/>
          <w:szCs w:val="40"/>
          <w:highlight w:val="none"/>
          <w:lang w:eastAsia="zh-CN"/>
        </w:rPr>
        <w:t>万千瓦；</w:t>
      </w:r>
      <w:r>
        <w:rPr>
          <w:rFonts w:hint="eastAsia" w:ascii="Times New Roman" w:hAnsi="Times New Roman" w:eastAsia="仿宋_GB2312" w:cs="方正仿宋_GBK"/>
          <w:b w:val="0"/>
          <w:bCs w:val="0"/>
          <w:color w:val="auto"/>
          <w:spacing w:val="-6"/>
          <w:sz w:val="32"/>
          <w:szCs w:val="40"/>
          <w:highlight w:val="none"/>
          <w:lang w:val="en-US" w:eastAsia="zh-CN"/>
        </w:rPr>
        <w:t>蒙东首个工业园区绿色供电项目建成投运</w:t>
      </w:r>
      <w:r>
        <w:rPr>
          <w:rFonts w:hint="eastAsia" w:ascii="Times New Roman" w:hAnsi="Times New Roman" w:eastAsia="仿宋_GB2312" w:cs="方正仿宋_GBK"/>
          <w:b w:val="0"/>
          <w:bCs w:val="0"/>
          <w:color w:val="auto"/>
          <w:spacing w:val="-6"/>
          <w:sz w:val="32"/>
          <w:szCs w:val="40"/>
          <w:highlight w:val="none"/>
          <w:lang w:eastAsia="zh-CN"/>
        </w:rPr>
        <w:t>，全国首个陆地高海拔地区大兆瓦机型风电项目全容量并网，全球首个规模最大且商业化运营的离网型风光制绿色氢氨一体化项目远景赤峰P1期工程建成投产，慕帆动力全球首台氢氨双燃料燃气轮机总装下线。</w:t>
      </w:r>
      <w:r>
        <w:rPr>
          <w:rFonts w:hint="eastAsia" w:ascii="Times New Roman" w:hAnsi="Times New Roman" w:eastAsia="仿宋_GB2312" w:cs="方正仿宋_GBK"/>
          <w:b w:val="0"/>
          <w:bCs w:val="0"/>
          <w:color w:val="auto"/>
          <w:spacing w:val="-6"/>
          <w:sz w:val="32"/>
          <w:szCs w:val="40"/>
          <w:highlight w:val="none"/>
        </w:rPr>
        <w:t>服务业多点开花</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国家特色文化旅游和生态休闲度假基地</w:t>
      </w:r>
      <w:r>
        <w:rPr>
          <w:rFonts w:hint="eastAsia" w:ascii="Times New Roman" w:hAnsi="Times New Roman" w:eastAsia="仿宋_GB2312" w:cs="方正仿宋_GBK"/>
          <w:b w:val="0"/>
          <w:bCs w:val="0"/>
          <w:color w:val="auto"/>
          <w:spacing w:val="-6"/>
          <w:sz w:val="32"/>
          <w:szCs w:val="40"/>
          <w:highlight w:val="none"/>
          <w:lang w:val="en-US" w:eastAsia="zh-CN"/>
        </w:rPr>
        <w:t>成效突出，</w:t>
      </w:r>
      <w:r>
        <w:rPr>
          <w:rFonts w:hint="eastAsia" w:ascii="Times New Roman" w:hAnsi="Times New Roman" w:eastAsia="仿宋_GB2312" w:cs="方正仿宋_GBK"/>
          <w:b w:val="0"/>
          <w:bCs w:val="0"/>
          <w:color w:val="auto"/>
          <w:spacing w:val="-6"/>
          <w:sz w:val="32"/>
          <w:szCs w:val="40"/>
          <w:highlight w:val="none"/>
        </w:rPr>
        <w:t>玉龙沙湖旅游区创建5A级旅游景区列入自治区旅游品牌创建名录库</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公主湖草原旅游度假区、天龙山景区等新景区开门迎客，辽上京国家考古遗址公园成功获批挂牌，</w:t>
      </w:r>
      <w:r>
        <w:rPr>
          <w:rFonts w:hint="eastAsia" w:ascii="Times New Roman" w:hAnsi="Times New Roman" w:eastAsia="仿宋_GB2312" w:cs="方正仿宋_GBK"/>
          <w:b w:val="0"/>
          <w:bCs w:val="0"/>
          <w:color w:val="auto"/>
          <w:spacing w:val="-6"/>
          <w:sz w:val="32"/>
          <w:szCs w:val="40"/>
          <w:highlight w:val="none"/>
          <w:lang w:val="en-US" w:eastAsia="zh-CN"/>
        </w:rPr>
        <w:t>喀喇沁旗成功创建首批文化产业赋能乡村振兴试点，</w:t>
      </w:r>
      <w:r>
        <w:rPr>
          <w:rFonts w:hint="eastAsia" w:ascii="Times New Roman" w:hAnsi="Times New Roman" w:eastAsia="仿宋_GB2312" w:cs="方正仿宋_GBK"/>
          <w:b w:val="0"/>
          <w:bCs w:val="0"/>
          <w:color w:val="auto"/>
          <w:spacing w:val="-6"/>
          <w:sz w:val="32"/>
          <w:szCs w:val="40"/>
          <w:highlight w:val="none"/>
        </w:rPr>
        <w:t>美林谷滑雪旅游度假地成功创建国家级滑雪旅游度假地，“周末上哪疯 一站到赤峰”文旅品牌全面打响</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十四五</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期间全市</w:t>
      </w:r>
      <w:r>
        <w:rPr>
          <w:rFonts w:hint="eastAsia" w:ascii="Times New Roman" w:hAnsi="Times New Roman" w:eastAsia="仿宋_GB2312" w:cs="方正仿宋_GBK"/>
          <w:b w:val="0"/>
          <w:bCs w:val="0"/>
          <w:color w:val="auto"/>
          <w:spacing w:val="-6"/>
          <w:sz w:val="32"/>
          <w:szCs w:val="40"/>
          <w:highlight w:val="none"/>
        </w:rPr>
        <w:t>新增国家A级旅游景区2</w:t>
      </w:r>
      <w:r>
        <w:rPr>
          <w:rFonts w:hint="eastAsia" w:ascii="Times New Roman" w:hAnsi="Times New Roman" w:eastAsia="仿宋_GB2312" w:cs="方正仿宋_GBK"/>
          <w:b w:val="0"/>
          <w:bCs w:val="0"/>
          <w:color w:val="auto"/>
          <w:spacing w:val="-6"/>
          <w:sz w:val="32"/>
          <w:szCs w:val="40"/>
          <w:highlight w:val="none"/>
          <w:lang w:val="en-US" w:eastAsia="zh-CN"/>
        </w:rPr>
        <w:t>6</w:t>
      </w:r>
      <w:r>
        <w:rPr>
          <w:rFonts w:hint="eastAsia" w:ascii="Times New Roman" w:hAnsi="Times New Roman" w:eastAsia="仿宋_GB2312" w:cs="方正仿宋_GBK"/>
          <w:b w:val="0"/>
          <w:bCs w:val="0"/>
          <w:color w:val="auto"/>
          <w:spacing w:val="-6"/>
          <w:sz w:val="32"/>
          <w:szCs w:val="40"/>
          <w:highlight w:val="none"/>
        </w:rPr>
        <w:t>个、全国乡村旅游重点村3个。商贸服务型国家物流枢纽承载城市</w:t>
      </w:r>
      <w:r>
        <w:rPr>
          <w:rFonts w:hint="eastAsia" w:ascii="Times New Roman" w:hAnsi="Times New Roman" w:eastAsia="仿宋_GB2312" w:cs="方正仿宋_GBK"/>
          <w:b w:val="0"/>
          <w:bCs w:val="0"/>
          <w:color w:val="auto"/>
          <w:spacing w:val="-6"/>
          <w:sz w:val="32"/>
          <w:szCs w:val="40"/>
          <w:highlight w:val="none"/>
          <w:lang w:val="en-US" w:eastAsia="zh-CN"/>
        </w:rPr>
        <w:t>建设加快推进</w:t>
      </w:r>
      <w:r>
        <w:rPr>
          <w:rFonts w:hint="eastAsia" w:ascii="Times New Roman" w:hAnsi="Times New Roman" w:eastAsia="仿宋_GB2312" w:cs="方正仿宋_GBK"/>
          <w:b w:val="0"/>
          <w:bCs w:val="0"/>
          <w:color w:val="auto"/>
          <w:spacing w:val="-6"/>
          <w:sz w:val="32"/>
          <w:szCs w:val="40"/>
          <w:highlight w:val="none"/>
        </w:rPr>
        <w:t>，中欧班列（赤峰）</w:t>
      </w:r>
      <w:r>
        <w:rPr>
          <w:rFonts w:hint="eastAsia" w:ascii="Times New Roman" w:hAnsi="Times New Roman" w:eastAsia="仿宋_GB2312" w:cs="方正仿宋_GBK"/>
          <w:b w:val="0"/>
          <w:bCs w:val="0"/>
          <w:color w:val="auto"/>
          <w:spacing w:val="-6"/>
          <w:sz w:val="32"/>
          <w:szCs w:val="40"/>
          <w:highlight w:val="none"/>
          <w:lang w:val="en-US" w:eastAsia="zh-CN"/>
        </w:rPr>
        <w:t>自2022年4月首发以来实现常态化运行，累计开行64列，贸易额8.1亿元人民币；累计建成运营57个专业市场，</w:t>
      </w:r>
      <w:r>
        <w:rPr>
          <w:rFonts w:hint="eastAsia" w:ascii="Times New Roman" w:hAnsi="Times New Roman" w:eastAsia="仿宋_GB2312" w:cs="方正仿宋_GBK"/>
          <w:b w:val="0"/>
          <w:bCs w:val="0"/>
          <w:color w:val="auto"/>
          <w:spacing w:val="-6"/>
          <w:sz w:val="32"/>
          <w:szCs w:val="40"/>
          <w:highlight w:val="none"/>
        </w:rPr>
        <w:t>年交易额达</w:t>
      </w:r>
      <w:r>
        <w:rPr>
          <w:rFonts w:hint="eastAsia" w:ascii="Times New Roman" w:hAnsi="Times New Roman" w:eastAsia="仿宋_GB2312" w:cs="方正仿宋_GBK"/>
          <w:b w:val="0"/>
          <w:bCs w:val="0"/>
          <w:color w:val="auto"/>
          <w:spacing w:val="-6"/>
          <w:sz w:val="32"/>
          <w:szCs w:val="40"/>
          <w:highlight w:val="none"/>
          <w:lang w:val="en-US" w:eastAsia="zh-CN"/>
        </w:rPr>
        <w:t>354</w:t>
      </w:r>
      <w:r>
        <w:rPr>
          <w:rFonts w:hint="eastAsia" w:ascii="Times New Roman" w:hAnsi="Times New Roman" w:eastAsia="仿宋_GB2312" w:cs="方正仿宋_GBK"/>
          <w:b w:val="0"/>
          <w:bCs w:val="0"/>
          <w:color w:val="auto"/>
          <w:spacing w:val="-6"/>
          <w:sz w:val="32"/>
          <w:szCs w:val="40"/>
          <w:highlight w:val="none"/>
        </w:rPr>
        <w:t>亿元</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年均开放22个夜经济点位，年均拉动消费超10亿元。</w:t>
      </w:r>
    </w:p>
    <w:p w14:paraId="0E5FA9A1">
      <w:pPr>
        <w:keepNext w:val="0"/>
        <w:keepLines w:val="0"/>
        <w:pageBreakBefore w:val="0"/>
        <w:widowControl w:val="0"/>
        <w:shd w:val="clear" w:color="auto" w:fill="auto"/>
        <w:kinsoku/>
        <w:wordWrap/>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仿宋_GB2312" w:hAnsi="仿宋_GB2312" w:eastAsia="仿宋_GB2312" w:cs="仿宋_GB2312"/>
          <w:b w:val="0"/>
          <w:bCs w:val="0"/>
          <w:sz w:val="32"/>
          <w:szCs w:val="32"/>
          <w:highlight w:val="none"/>
          <w:u w:val="none" w:color="auto"/>
          <w:lang w:eastAsia="zh-CN"/>
        </w:rPr>
        <w:t>生态</w:t>
      </w:r>
      <w:r>
        <w:rPr>
          <w:rFonts w:hint="eastAsia" w:ascii="仿宋_GB2312" w:hAnsi="仿宋_GB2312" w:eastAsia="仿宋_GB2312" w:cs="仿宋_GB2312"/>
          <w:b w:val="0"/>
          <w:bCs w:val="0"/>
          <w:sz w:val="32"/>
          <w:szCs w:val="32"/>
          <w:highlight w:val="none"/>
          <w:u w:val="none" w:color="auto"/>
          <w:lang w:val="en-US" w:eastAsia="zh-CN"/>
        </w:rPr>
        <w:t>保护</w:t>
      </w:r>
      <w:r>
        <w:rPr>
          <w:rFonts w:hint="eastAsia" w:ascii="仿宋_GB2312" w:hAnsi="仿宋_GB2312" w:eastAsia="仿宋_GB2312" w:cs="仿宋_GB2312"/>
          <w:b w:val="0"/>
          <w:bCs w:val="0"/>
          <w:sz w:val="32"/>
          <w:szCs w:val="32"/>
          <w:highlight w:val="none"/>
          <w:u w:val="none" w:color="auto"/>
          <w:lang w:eastAsia="zh-CN"/>
        </w:rPr>
        <w:t>建设成果</w:t>
      </w:r>
      <w:r>
        <w:rPr>
          <w:rFonts w:hint="eastAsia" w:ascii="仿宋_GB2312" w:hAnsi="仿宋_GB2312" w:eastAsia="仿宋_GB2312" w:cs="仿宋_GB2312"/>
          <w:b w:val="0"/>
          <w:bCs w:val="0"/>
          <w:sz w:val="32"/>
          <w:szCs w:val="32"/>
          <w:highlight w:val="none"/>
          <w:u w:val="none" w:color="auto"/>
          <w:lang w:val="en-US" w:eastAsia="zh-CN"/>
        </w:rPr>
        <w:t>持续</w:t>
      </w:r>
      <w:r>
        <w:rPr>
          <w:rFonts w:hint="eastAsia" w:ascii="仿宋_GB2312" w:hAnsi="仿宋_GB2312" w:eastAsia="仿宋_GB2312" w:cs="仿宋_GB2312"/>
          <w:b w:val="0"/>
          <w:bCs w:val="0"/>
          <w:sz w:val="32"/>
          <w:szCs w:val="32"/>
          <w:highlight w:val="none"/>
          <w:u w:val="none" w:color="auto"/>
          <w:lang w:eastAsia="zh-CN"/>
        </w:rPr>
        <w:t>巩固</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“十四五”以来，赤峰市坚持保护优先，着力强化山水林田湖草沙系统治理，生态安全屏障持续筑牢。完成市级国土空间规划编制，科学划定“三区三线”</w:t>
      </w:r>
      <w:r>
        <w:rPr>
          <w:rFonts w:hint="eastAsia" w:ascii="Times New Roman" w:hAnsi="Times New Roman" w:eastAsia="仿宋_GB2312" w:cs="方正仿宋_GBK"/>
          <w:b w:val="0"/>
          <w:bCs w:val="0"/>
          <w:spacing w:val="-6"/>
          <w:sz w:val="32"/>
          <w:szCs w:val="40"/>
          <w:highlight w:val="none"/>
          <w:lang w:eastAsia="zh-CN"/>
        </w:rPr>
        <w:t>，将</w:t>
      </w:r>
      <w:r>
        <w:rPr>
          <w:rFonts w:hint="eastAsia" w:ascii="Times New Roman" w:hAnsi="Times New Roman" w:eastAsia="仿宋_GB2312" w:cs="方正仿宋_GBK"/>
          <w:b w:val="0"/>
          <w:bCs w:val="0"/>
          <w:spacing w:val="-6"/>
          <w:sz w:val="32"/>
          <w:szCs w:val="40"/>
          <w:highlight w:val="none"/>
        </w:rPr>
        <w:t>2.5847万平方</w:t>
      </w:r>
      <w:r>
        <w:rPr>
          <w:rFonts w:hint="eastAsia" w:ascii="Times New Roman" w:hAnsi="Times New Roman" w:eastAsia="仿宋_GB2312" w:cs="方正仿宋_GBK"/>
          <w:b w:val="0"/>
          <w:bCs w:val="0"/>
          <w:spacing w:val="-6"/>
          <w:sz w:val="32"/>
          <w:szCs w:val="40"/>
          <w:highlight w:val="none"/>
          <w:lang w:val="en-US" w:eastAsia="zh-CN"/>
        </w:rPr>
        <w:t>千</w:t>
      </w:r>
      <w:r>
        <w:rPr>
          <w:rFonts w:hint="eastAsia" w:ascii="Times New Roman" w:hAnsi="Times New Roman" w:eastAsia="仿宋_GB2312" w:cs="方正仿宋_GBK"/>
          <w:b w:val="0"/>
          <w:bCs w:val="0"/>
          <w:spacing w:val="-6"/>
          <w:sz w:val="32"/>
          <w:szCs w:val="40"/>
          <w:highlight w:val="none"/>
        </w:rPr>
        <w:t>米的国土面积划入生态保护红线。深入打好污染防治</w:t>
      </w:r>
      <w:r>
        <w:rPr>
          <w:rFonts w:hint="eastAsia" w:ascii="Times New Roman" w:hAnsi="Times New Roman" w:eastAsia="仿宋_GB2312" w:cs="方正仿宋_GBK"/>
          <w:b w:val="0"/>
          <w:bCs w:val="0"/>
          <w:spacing w:val="-6"/>
          <w:sz w:val="32"/>
          <w:szCs w:val="40"/>
          <w:highlight w:val="none"/>
          <w:lang w:val="en-US" w:eastAsia="zh-CN"/>
        </w:rPr>
        <w:t>攻坚战</w:t>
      </w:r>
      <w:r>
        <w:rPr>
          <w:rFonts w:hint="eastAsia" w:ascii="Times New Roman" w:hAnsi="Times New Roman" w:eastAsia="仿宋_GB2312" w:cs="方正仿宋_GBK"/>
          <w:b w:val="0"/>
          <w:bCs w:val="0"/>
          <w:spacing w:val="-6"/>
          <w:sz w:val="32"/>
          <w:szCs w:val="40"/>
          <w:highlight w:val="none"/>
        </w:rPr>
        <w:t>，环境质量持续好转，中心城市空气质量优良天数比率上升至97％，地表水国控断面优良水体比例</w:t>
      </w:r>
      <w:r>
        <w:rPr>
          <w:rFonts w:hint="eastAsia" w:ascii="Times New Roman" w:hAnsi="Times New Roman" w:eastAsia="仿宋_GB2312" w:cs="方正仿宋_GBK"/>
          <w:b w:val="0"/>
          <w:bCs w:val="0"/>
          <w:spacing w:val="-6"/>
          <w:sz w:val="32"/>
          <w:szCs w:val="40"/>
          <w:highlight w:val="none"/>
          <w:lang w:val="en-US" w:eastAsia="zh-CN"/>
        </w:rPr>
        <w:t>87</w:t>
      </w:r>
      <w:r>
        <w:rPr>
          <w:rFonts w:hint="eastAsia" w:ascii="Times New Roman" w:hAnsi="Times New Roman" w:eastAsia="仿宋_GB2312" w:cs="方正仿宋_GBK"/>
          <w:b w:val="0"/>
          <w:bCs w:val="0"/>
          <w:spacing w:val="-6"/>
          <w:sz w:val="32"/>
          <w:szCs w:val="40"/>
          <w:highlight w:val="none"/>
        </w:rPr>
        <w:t>%，土壤环境保持总体稳定。着力推动生态系统保护修复，</w:t>
      </w:r>
      <w:r>
        <w:rPr>
          <w:rFonts w:hint="eastAsia" w:ascii="Times New Roman" w:hAnsi="Times New Roman" w:eastAsia="仿宋_GB2312" w:cs="方正仿宋_GBK"/>
          <w:b w:val="0"/>
          <w:bCs w:val="0"/>
          <w:spacing w:val="-6"/>
          <w:sz w:val="32"/>
          <w:szCs w:val="40"/>
          <w:highlight w:val="none"/>
          <w:lang w:eastAsia="zh-CN"/>
        </w:rPr>
        <w:t>完成营造林</w:t>
      </w:r>
      <w:r>
        <w:rPr>
          <w:rFonts w:hint="eastAsia" w:ascii="Times New Roman" w:hAnsi="Times New Roman" w:eastAsia="仿宋_GB2312" w:cs="方正仿宋_GBK"/>
          <w:b w:val="0"/>
          <w:bCs w:val="0"/>
          <w:spacing w:val="-6"/>
          <w:sz w:val="32"/>
          <w:szCs w:val="40"/>
          <w:highlight w:val="none"/>
          <w:lang w:val="en-US" w:eastAsia="zh-CN"/>
        </w:rPr>
        <w:t>597.33万亩、种草1117.18万亩、新增沙化土地治理面积333.76万亩</w:t>
      </w:r>
      <w:r>
        <w:rPr>
          <w:rFonts w:hint="eastAsia" w:ascii="Times New Roman" w:hAnsi="Times New Roman" w:eastAsia="仿宋_GB2312" w:cs="方正仿宋_GBK"/>
          <w:b w:val="0"/>
          <w:bCs w:val="0"/>
          <w:spacing w:val="-6"/>
          <w:sz w:val="32"/>
          <w:szCs w:val="40"/>
          <w:highlight w:val="none"/>
        </w:rPr>
        <w:t>。湿地保护力度全面加强，内蒙古巴林左旗乌力吉沐沦河国家湿地公园已通过自治区林草局验收，认定</w:t>
      </w:r>
      <w:r>
        <w:rPr>
          <w:rFonts w:hint="eastAsia" w:ascii="Times New Roman" w:hAnsi="Times New Roman" w:eastAsia="仿宋_GB2312" w:cs="方正仿宋_GBK"/>
          <w:b w:val="0"/>
          <w:bCs w:val="0"/>
          <w:spacing w:val="-6"/>
          <w:sz w:val="32"/>
          <w:szCs w:val="40"/>
          <w:highlight w:val="none"/>
          <w:lang w:val="en-US" w:eastAsia="zh-CN"/>
        </w:rPr>
        <w:t>发布</w:t>
      </w:r>
      <w:r>
        <w:rPr>
          <w:rFonts w:hint="eastAsia" w:ascii="Times New Roman" w:hAnsi="Times New Roman" w:eastAsia="仿宋_GB2312" w:cs="方正仿宋_GBK"/>
          <w:b w:val="0"/>
          <w:bCs w:val="0"/>
          <w:spacing w:val="-6"/>
          <w:sz w:val="32"/>
          <w:szCs w:val="40"/>
          <w:highlight w:val="none"/>
        </w:rPr>
        <w:t>自治区重要湿地2处、盟市重要湿地4处</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小微湿地15个。</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双碳</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工作取得阶段性进展</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碳达峰碳中和“1+N+X”政策体系基本建立，</w:t>
      </w:r>
      <w:r>
        <w:rPr>
          <w:rFonts w:hint="eastAsia" w:ascii="Times New Roman" w:hAnsi="Times New Roman" w:eastAsia="仿宋_GB2312" w:cs="方正仿宋_GBK"/>
          <w:b w:val="0"/>
          <w:bCs w:val="0"/>
          <w:spacing w:val="-6"/>
          <w:sz w:val="32"/>
          <w:szCs w:val="40"/>
          <w:highlight w:val="none"/>
          <w:lang w:val="en-US" w:eastAsia="zh-CN"/>
        </w:rPr>
        <w:t>赤峰高新区纳入国家碳达峰试点园区，松山区纳入自治区碳达峰试点旗县（区），敖汉工业园区纳入自治区碳达峰试点园区。</w:t>
      </w:r>
    </w:p>
    <w:p w14:paraId="63A081FD">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color w:val="auto"/>
          <w:spacing w:val="-6"/>
          <w:sz w:val="32"/>
          <w:szCs w:val="40"/>
          <w:highlight w:val="none"/>
        </w:rPr>
      </w:pPr>
      <w:r>
        <w:rPr>
          <w:rFonts w:hint="eastAsia" w:ascii="Times New Roman" w:hAnsi="Times New Roman" w:eastAsia="仿宋_GB2312" w:cs="方正仿宋_GBK"/>
          <w:b w:val="0"/>
          <w:bCs w:val="0"/>
          <w:spacing w:val="-6"/>
          <w:sz w:val="32"/>
          <w:szCs w:val="40"/>
          <w:highlight w:val="none"/>
          <w:lang w:val="en-US" w:eastAsia="zh-CN"/>
        </w:rPr>
        <w:t>改革开放持续深化</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“十四五”以来，赤峰市聚力深化改革开放，着力优化营商环境，发展动力活力加速显现。</w:t>
      </w:r>
      <w:r>
        <w:rPr>
          <w:rFonts w:hint="eastAsia" w:ascii="Times New Roman" w:hAnsi="Times New Roman" w:eastAsia="仿宋_GB2312" w:cs="方正仿宋_GBK"/>
          <w:b w:val="0"/>
          <w:bCs w:val="0"/>
          <w:color w:val="auto"/>
          <w:spacing w:val="-6"/>
          <w:sz w:val="32"/>
          <w:szCs w:val="40"/>
          <w:highlight w:val="none"/>
          <w:lang w:val="en-US" w:eastAsia="zh-CN"/>
        </w:rPr>
        <w:t>国企改革成效显著</w:t>
      </w:r>
      <w:r>
        <w:rPr>
          <w:rFonts w:hint="eastAsia" w:ascii="Times New Roman" w:hAnsi="Times New Roman" w:eastAsia="仿宋_GB2312" w:cs="方正仿宋_GBK"/>
          <w:b w:val="0"/>
          <w:bCs w:val="0"/>
          <w:color w:val="auto"/>
          <w:spacing w:val="-6"/>
          <w:sz w:val="32"/>
          <w:szCs w:val="40"/>
          <w:highlight w:val="none"/>
        </w:rPr>
        <w:t>，统筹推动国有企业战略性重组和专业化整合，实现优质资源向优质企业集中</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国资监管体制更加完善。“放管服”改革不断深化，58项许可事项实现“市县同权”无差别办理、11</w:t>
      </w:r>
      <w:r>
        <w:rPr>
          <w:rFonts w:hint="eastAsia" w:ascii="Times New Roman" w:hAnsi="Times New Roman" w:eastAsia="仿宋_GB2312" w:cs="方正仿宋_GBK"/>
          <w:b w:val="0"/>
          <w:bCs w:val="0"/>
          <w:color w:val="auto"/>
          <w:spacing w:val="-6"/>
          <w:sz w:val="32"/>
          <w:szCs w:val="40"/>
          <w:highlight w:val="none"/>
          <w:lang w:val="en-US" w:eastAsia="zh-CN"/>
        </w:rPr>
        <w:t>7</w:t>
      </w:r>
      <w:r>
        <w:rPr>
          <w:rFonts w:hint="eastAsia" w:ascii="Times New Roman" w:hAnsi="Times New Roman" w:eastAsia="仿宋_GB2312" w:cs="方正仿宋_GBK"/>
          <w:b w:val="0"/>
          <w:bCs w:val="0"/>
          <w:color w:val="auto"/>
          <w:spacing w:val="-6"/>
          <w:sz w:val="32"/>
          <w:szCs w:val="40"/>
          <w:highlight w:val="none"/>
        </w:rPr>
        <w:t>个“一件事一次办”集成服务全面铺开。企业审批事项全程网办比例提高到62.6％，新注册企业全程电子化登记占比达到97％。京赤</w:t>
      </w:r>
      <w:r>
        <w:rPr>
          <w:rFonts w:hint="eastAsia" w:ascii="Times New Roman" w:hAnsi="Times New Roman" w:eastAsia="仿宋_GB2312" w:cs="方正仿宋_GBK"/>
          <w:b w:val="0"/>
          <w:bCs w:val="0"/>
          <w:color w:val="auto"/>
          <w:spacing w:val="-6"/>
          <w:sz w:val="32"/>
          <w:szCs w:val="40"/>
          <w:highlight w:val="none"/>
          <w:lang w:val="en-US" w:eastAsia="zh-CN"/>
        </w:rPr>
        <w:t>帮扶</w:t>
      </w:r>
      <w:r>
        <w:rPr>
          <w:rFonts w:hint="eastAsia" w:ascii="Times New Roman" w:hAnsi="Times New Roman" w:eastAsia="仿宋_GB2312" w:cs="方正仿宋_GBK"/>
          <w:b w:val="0"/>
          <w:bCs w:val="0"/>
          <w:color w:val="auto"/>
          <w:spacing w:val="-6"/>
          <w:sz w:val="32"/>
          <w:szCs w:val="40"/>
          <w:highlight w:val="none"/>
        </w:rPr>
        <w:t>持续深化，京蒙（亦庄·赤峰）科创产业园开工建设；对外贸易规模持续扩大</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2025年实现进出口总额341.5亿元，是</w:t>
      </w:r>
      <w:r>
        <w:rPr>
          <w:rFonts w:hint="eastAsia" w:ascii="Times New Roman" w:hAnsi="Times New Roman" w:eastAsia="仿宋_GB2312" w:cs="方正仿宋_GBK"/>
          <w:b w:val="0"/>
          <w:bCs w:val="0"/>
          <w:color w:val="auto"/>
          <w:spacing w:val="-6"/>
          <w:sz w:val="32"/>
          <w:szCs w:val="40"/>
          <w:highlight w:val="none"/>
        </w:rPr>
        <w:t>2020年</w:t>
      </w:r>
      <w:r>
        <w:rPr>
          <w:rFonts w:hint="eastAsia" w:ascii="Times New Roman" w:hAnsi="Times New Roman" w:eastAsia="仿宋_GB2312" w:cs="方正仿宋_GBK"/>
          <w:b w:val="0"/>
          <w:bCs w:val="0"/>
          <w:color w:val="auto"/>
          <w:spacing w:val="-6"/>
          <w:sz w:val="32"/>
          <w:szCs w:val="40"/>
          <w:highlight w:val="none"/>
          <w:lang w:val="en-US" w:eastAsia="zh-CN"/>
        </w:rPr>
        <w:t>的3.42倍</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2025年赤峰保税物流中心实现贸易额20.17亿元，是2020年的31.4倍；</w:t>
      </w:r>
      <w:r>
        <w:rPr>
          <w:rFonts w:hint="eastAsia" w:ascii="Times New Roman" w:hAnsi="Times New Roman" w:eastAsia="仿宋_GB2312" w:cs="方正仿宋_GBK"/>
          <w:b w:val="0"/>
          <w:bCs w:val="0"/>
          <w:color w:val="auto"/>
          <w:spacing w:val="-6"/>
          <w:sz w:val="32"/>
          <w:szCs w:val="40"/>
          <w:highlight w:val="none"/>
          <w:lang w:eastAsia="zh-CN"/>
        </w:rPr>
        <w:t>跨境电商进出口额累计实现</w:t>
      </w:r>
      <w:r>
        <w:rPr>
          <w:rFonts w:hint="eastAsia" w:ascii="Times New Roman" w:hAnsi="Times New Roman" w:eastAsia="仿宋_GB2312" w:cs="方正仿宋_GBK"/>
          <w:b w:val="0"/>
          <w:bCs w:val="0"/>
          <w:color w:val="auto"/>
          <w:spacing w:val="-6"/>
          <w:sz w:val="32"/>
          <w:szCs w:val="40"/>
          <w:highlight w:val="none"/>
          <w:lang w:val="en-US" w:eastAsia="zh-CN"/>
        </w:rPr>
        <w:t>26.3</w:t>
      </w:r>
      <w:r>
        <w:rPr>
          <w:rFonts w:hint="eastAsia" w:ascii="Times New Roman" w:hAnsi="Times New Roman" w:eastAsia="仿宋_GB2312" w:cs="方正仿宋_GBK"/>
          <w:b w:val="0"/>
          <w:bCs w:val="0"/>
          <w:color w:val="auto"/>
          <w:spacing w:val="-6"/>
          <w:sz w:val="32"/>
          <w:szCs w:val="40"/>
          <w:highlight w:val="none"/>
          <w:lang w:eastAsia="zh-CN"/>
        </w:rPr>
        <w:t>亿元</w:t>
      </w:r>
      <w:r>
        <w:rPr>
          <w:rFonts w:hint="eastAsia" w:ascii="Times New Roman" w:hAnsi="Times New Roman" w:eastAsia="仿宋_GB2312" w:cs="方正仿宋_GBK"/>
          <w:b w:val="0"/>
          <w:bCs w:val="0"/>
          <w:color w:val="auto"/>
          <w:spacing w:val="-6"/>
          <w:sz w:val="32"/>
          <w:szCs w:val="40"/>
          <w:highlight w:val="none"/>
        </w:rPr>
        <w:t>。赤峰至天津港、大连港铁海联运集装箱班列、中欧班列（赤峰</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俄罗斯</w:t>
      </w:r>
      <w:r>
        <w:rPr>
          <w:rFonts w:hint="eastAsia" w:ascii="Times New Roman" w:hAnsi="Times New Roman" w:eastAsia="仿宋_GB2312" w:cs="方正仿宋_GBK"/>
          <w:b w:val="0"/>
          <w:bCs w:val="0"/>
          <w:color w:val="auto"/>
          <w:spacing w:val="-6"/>
          <w:sz w:val="32"/>
          <w:szCs w:val="40"/>
          <w:highlight w:val="none"/>
        </w:rPr>
        <w:t>）开通运行，赤峰成为自治区首个同时开通国际无水海运、陆运双通道的城市。全面执行最新《</w:t>
      </w:r>
      <w:r>
        <w:rPr>
          <w:rFonts w:hint="eastAsia" w:ascii="Times New Roman" w:hAnsi="Times New Roman" w:eastAsia="仿宋_GB2312" w:cs="方正仿宋_GBK"/>
          <w:b w:val="0"/>
          <w:bCs w:val="0"/>
          <w:color w:val="auto"/>
          <w:spacing w:val="-6"/>
          <w:sz w:val="32"/>
          <w:szCs w:val="40"/>
          <w:highlight w:val="none"/>
          <w:lang w:val="en-US" w:eastAsia="zh-CN"/>
        </w:rPr>
        <w:t>中华人民共和国</w:t>
      </w:r>
      <w:r>
        <w:rPr>
          <w:rFonts w:hint="eastAsia" w:ascii="Times New Roman" w:hAnsi="Times New Roman" w:eastAsia="仿宋_GB2312" w:cs="方正仿宋_GBK"/>
          <w:b w:val="0"/>
          <w:bCs w:val="0"/>
          <w:color w:val="auto"/>
          <w:spacing w:val="-6"/>
          <w:sz w:val="32"/>
          <w:szCs w:val="40"/>
          <w:highlight w:val="none"/>
        </w:rPr>
        <w:t>外商投资法》和外商投资准入特别管理措施，提升精准服务水平，实际利用外资额保持在自治区前列。</w:t>
      </w:r>
    </w:p>
    <w:p w14:paraId="2CDE93C0">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lang w:val="en-US" w:eastAsia="zh-CN"/>
        </w:rPr>
      </w:pPr>
      <w:r>
        <w:rPr>
          <w:rFonts w:hint="eastAsia" w:ascii="Times New Roman" w:hAnsi="Times New Roman" w:eastAsia="仿宋_GB2312" w:cs="方正仿宋_GBK"/>
          <w:b w:val="0"/>
          <w:bCs w:val="0"/>
          <w:spacing w:val="-6"/>
          <w:sz w:val="32"/>
          <w:szCs w:val="40"/>
          <w:highlight w:val="none"/>
        </w:rPr>
        <w:t>城乡</w:t>
      </w:r>
      <w:r>
        <w:rPr>
          <w:rFonts w:hint="eastAsia" w:ascii="Times New Roman" w:hAnsi="Times New Roman" w:eastAsia="仿宋_GB2312" w:cs="方正仿宋_GBK"/>
          <w:b w:val="0"/>
          <w:bCs w:val="0"/>
          <w:spacing w:val="-6"/>
          <w:sz w:val="32"/>
          <w:szCs w:val="40"/>
          <w:highlight w:val="none"/>
          <w:lang w:val="en-US" w:eastAsia="zh-CN"/>
        </w:rPr>
        <w:t>协调发展加快推进</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“十四五”以来，赤峰市</w:t>
      </w:r>
      <w:r>
        <w:rPr>
          <w:rFonts w:hint="eastAsia" w:ascii="Times New Roman" w:hAnsi="Times New Roman" w:eastAsia="仿宋_GB2312" w:cs="方正仿宋_GBK"/>
          <w:b w:val="0"/>
          <w:bCs w:val="0"/>
          <w:spacing w:val="-6"/>
          <w:sz w:val="32"/>
          <w:szCs w:val="40"/>
          <w:highlight w:val="none"/>
          <w:lang w:val="en-US" w:eastAsia="zh-CN"/>
        </w:rPr>
        <w:t>以建设现代化区域中心城市为抓手，</w:t>
      </w:r>
      <w:r>
        <w:rPr>
          <w:rFonts w:hint="eastAsia" w:ascii="Times New Roman" w:hAnsi="Times New Roman" w:eastAsia="仿宋_GB2312" w:cs="方正仿宋_GBK"/>
          <w:b w:val="0"/>
          <w:bCs w:val="0"/>
          <w:spacing w:val="-6"/>
          <w:sz w:val="32"/>
          <w:szCs w:val="40"/>
          <w:highlight w:val="none"/>
        </w:rPr>
        <w:t>着力推动</w:t>
      </w:r>
      <w:r>
        <w:rPr>
          <w:rFonts w:hint="eastAsia" w:ascii="Times New Roman" w:hAnsi="Times New Roman" w:eastAsia="仿宋_GB2312" w:cs="方正仿宋_GBK"/>
          <w:b w:val="0"/>
          <w:bCs w:val="0"/>
          <w:spacing w:val="-6"/>
          <w:sz w:val="32"/>
          <w:szCs w:val="40"/>
          <w:highlight w:val="none"/>
          <w:lang w:val="en-US" w:eastAsia="zh-CN"/>
        </w:rPr>
        <w:t>城乡</w:t>
      </w:r>
      <w:r>
        <w:rPr>
          <w:rFonts w:hint="eastAsia" w:ascii="Times New Roman" w:hAnsi="Times New Roman" w:eastAsia="仿宋_GB2312" w:cs="方正仿宋_GBK"/>
          <w:b w:val="0"/>
          <w:bCs w:val="0"/>
          <w:spacing w:val="-6"/>
          <w:sz w:val="32"/>
          <w:szCs w:val="40"/>
          <w:highlight w:val="none"/>
        </w:rPr>
        <w:t>建设，不断完善优化功能配套，城乡面貌显著改善</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连续30年保持国家卫生城市荣誉</w:t>
      </w:r>
      <w:r>
        <w:rPr>
          <w:rFonts w:hint="eastAsia" w:ascii="Times New Roman" w:hAnsi="Times New Roman" w:eastAsia="仿宋_GB2312" w:cs="方正仿宋_GBK"/>
          <w:b w:val="0"/>
          <w:bCs w:val="0"/>
          <w:spacing w:val="-6"/>
          <w:sz w:val="32"/>
          <w:szCs w:val="40"/>
          <w:highlight w:val="none"/>
        </w:rPr>
        <w:t>。全市城市建成区面积达27</w:t>
      </w:r>
      <w:r>
        <w:rPr>
          <w:rFonts w:hint="eastAsia" w:ascii="Times New Roman" w:hAnsi="Times New Roman" w:eastAsia="仿宋_GB2312" w:cs="方正仿宋_GBK"/>
          <w:b w:val="0"/>
          <w:bCs w:val="0"/>
          <w:spacing w:val="-6"/>
          <w:sz w:val="32"/>
          <w:szCs w:val="40"/>
          <w:highlight w:val="none"/>
          <w:lang w:val="en-US" w:eastAsia="zh-CN"/>
        </w:rPr>
        <w:t>3</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75</w:t>
      </w:r>
      <w:r>
        <w:rPr>
          <w:rFonts w:hint="eastAsia" w:ascii="Times New Roman" w:hAnsi="Times New Roman" w:eastAsia="仿宋_GB2312" w:cs="方正仿宋_GBK"/>
          <w:b w:val="0"/>
          <w:bCs w:val="0"/>
          <w:spacing w:val="-6"/>
          <w:sz w:val="32"/>
          <w:szCs w:val="40"/>
          <w:highlight w:val="none"/>
        </w:rPr>
        <w:t>平方公里，中心城区建成区面积超过1</w:t>
      </w:r>
      <w:r>
        <w:rPr>
          <w:rFonts w:hint="eastAsia" w:ascii="Times New Roman" w:hAnsi="Times New Roman" w:eastAsia="仿宋_GB2312" w:cs="方正仿宋_GBK"/>
          <w:b w:val="0"/>
          <w:bCs w:val="0"/>
          <w:spacing w:val="-6"/>
          <w:sz w:val="32"/>
          <w:szCs w:val="40"/>
          <w:highlight w:val="none"/>
          <w:lang w:val="en-US" w:eastAsia="zh-CN"/>
        </w:rPr>
        <w:t>22.98</w:t>
      </w:r>
      <w:r>
        <w:rPr>
          <w:rFonts w:hint="eastAsia" w:ascii="Times New Roman" w:hAnsi="Times New Roman" w:eastAsia="仿宋_GB2312" w:cs="方正仿宋_GBK"/>
          <w:b w:val="0"/>
          <w:bCs w:val="0"/>
          <w:spacing w:val="-6"/>
          <w:sz w:val="32"/>
          <w:szCs w:val="40"/>
          <w:highlight w:val="none"/>
        </w:rPr>
        <w:t>平方公里，城市框架逐渐拉大</w:t>
      </w:r>
      <w:r>
        <w:rPr>
          <w:rFonts w:hint="eastAsia" w:ascii="Times New Roman" w:hAnsi="Times New Roman" w:eastAsia="仿宋_GB2312" w:cs="方正仿宋_GBK"/>
          <w:b w:val="0"/>
          <w:bCs w:val="0"/>
          <w:spacing w:val="-6"/>
          <w:sz w:val="32"/>
          <w:szCs w:val="40"/>
          <w:highlight w:val="none"/>
          <w:lang w:eastAsia="zh-CN"/>
        </w:rPr>
        <w:t>。中心城市常住人口突破百万，常住人口城镇化率提高到56.67％。</w:t>
      </w:r>
      <w:r>
        <w:rPr>
          <w:rFonts w:hint="eastAsia" w:ascii="Times New Roman" w:hAnsi="Times New Roman" w:eastAsia="仿宋_GB2312" w:cs="方正仿宋_GBK"/>
          <w:b w:val="0"/>
          <w:bCs w:val="0"/>
          <w:spacing w:val="-6"/>
          <w:sz w:val="32"/>
          <w:szCs w:val="40"/>
          <w:highlight w:val="none"/>
          <w:lang w:val="en-US" w:eastAsia="zh-CN"/>
        </w:rPr>
        <w:t>推进宜居城市建设，</w:t>
      </w:r>
      <w:r>
        <w:rPr>
          <w:rFonts w:hint="eastAsia" w:ascii="Times New Roman" w:hAnsi="Times New Roman" w:eastAsia="仿宋_GB2312" w:cs="方正仿宋_GBK"/>
          <w:b w:val="0"/>
          <w:bCs w:val="0"/>
          <w:spacing w:val="-6"/>
          <w:sz w:val="32"/>
          <w:szCs w:val="40"/>
          <w:highlight w:val="none"/>
        </w:rPr>
        <w:t>新增绿化覆盖面积206</w:t>
      </w:r>
      <w:r>
        <w:rPr>
          <w:rFonts w:hint="eastAsia" w:ascii="Times New Roman" w:hAnsi="Times New Roman" w:eastAsia="仿宋_GB2312" w:cs="方正仿宋_GBK"/>
          <w:b w:val="0"/>
          <w:bCs w:val="0"/>
          <w:spacing w:val="-6"/>
          <w:sz w:val="32"/>
          <w:szCs w:val="40"/>
          <w:highlight w:val="none"/>
          <w:lang w:val="en-US" w:eastAsia="zh-CN"/>
        </w:rPr>
        <w:t>.96</w:t>
      </w:r>
      <w:r>
        <w:rPr>
          <w:rFonts w:hint="eastAsia" w:ascii="Times New Roman" w:hAnsi="Times New Roman" w:eastAsia="仿宋_GB2312" w:cs="方正仿宋_GBK"/>
          <w:b w:val="0"/>
          <w:bCs w:val="0"/>
          <w:spacing w:val="-6"/>
          <w:sz w:val="32"/>
          <w:szCs w:val="40"/>
          <w:highlight w:val="none"/>
        </w:rPr>
        <w:t>公顷，新增公园1</w:t>
      </w:r>
      <w:r>
        <w:rPr>
          <w:rFonts w:hint="eastAsia" w:ascii="Times New Roman" w:hAnsi="Times New Roman" w:eastAsia="仿宋_GB2312" w:cs="方正仿宋_GBK"/>
          <w:b w:val="0"/>
          <w:bCs w:val="0"/>
          <w:spacing w:val="-6"/>
          <w:sz w:val="32"/>
          <w:szCs w:val="40"/>
          <w:highlight w:val="none"/>
          <w:lang w:val="en-US" w:eastAsia="zh-CN"/>
        </w:rPr>
        <w:t>10</w:t>
      </w:r>
      <w:r>
        <w:rPr>
          <w:rFonts w:hint="eastAsia" w:ascii="Times New Roman" w:hAnsi="Times New Roman" w:eastAsia="仿宋_GB2312" w:cs="方正仿宋_GBK"/>
          <w:b w:val="0"/>
          <w:bCs w:val="0"/>
          <w:spacing w:val="-6"/>
          <w:sz w:val="32"/>
          <w:szCs w:val="40"/>
          <w:highlight w:val="none"/>
        </w:rPr>
        <w:t>个</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城镇建成区绿化覆盖率达到38.</w:t>
      </w:r>
      <w:r>
        <w:rPr>
          <w:rFonts w:hint="eastAsia" w:ascii="Times New Roman" w:hAnsi="Times New Roman" w:eastAsia="仿宋_GB2312" w:cs="方正仿宋_GBK"/>
          <w:b w:val="0"/>
          <w:bCs w:val="0"/>
          <w:spacing w:val="-6"/>
          <w:sz w:val="32"/>
          <w:szCs w:val="40"/>
          <w:highlight w:val="none"/>
          <w:lang w:val="en-US" w:eastAsia="zh-CN"/>
        </w:rPr>
        <w:t>93</w:t>
      </w:r>
      <w:r>
        <w:rPr>
          <w:rFonts w:hint="eastAsia" w:ascii="Times New Roman" w:hAnsi="Times New Roman" w:eastAsia="仿宋_GB2312" w:cs="方正仿宋_GBK"/>
          <w:b w:val="0"/>
          <w:bCs w:val="0"/>
          <w:spacing w:val="-6"/>
          <w:sz w:val="32"/>
          <w:szCs w:val="40"/>
          <w:highlight w:val="none"/>
        </w:rPr>
        <w:t>%，城镇人均公园绿地面积达到1</w:t>
      </w:r>
      <w:r>
        <w:rPr>
          <w:rFonts w:hint="eastAsia" w:ascii="Times New Roman" w:hAnsi="Times New Roman" w:eastAsia="仿宋_GB2312" w:cs="方正仿宋_GBK"/>
          <w:b w:val="0"/>
          <w:bCs w:val="0"/>
          <w:spacing w:val="-6"/>
          <w:sz w:val="32"/>
          <w:szCs w:val="40"/>
          <w:highlight w:val="none"/>
          <w:lang w:val="en-US" w:eastAsia="zh-CN"/>
        </w:rPr>
        <w:t>9.25平方米</w:t>
      </w:r>
      <w:r>
        <w:rPr>
          <w:rFonts w:hint="eastAsia" w:ascii="Times New Roman" w:hAnsi="Times New Roman" w:eastAsia="仿宋_GB2312" w:cs="方正仿宋_GBK"/>
          <w:b w:val="0"/>
          <w:bCs w:val="0"/>
          <w:spacing w:val="-6"/>
          <w:sz w:val="32"/>
          <w:szCs w:val="40"/>
          <w:highlight w:val="none"/>
        </w:rPr>
        <w:t>。推进供排水、供热、燃气、市政道路、城乡环卫等市政设施建设，中心城区供水普及率达到</w:t>
      </w:r>
      <w:r>
        <w:rPr>
          <w:rFonts w:hint="eastAsia" w:ascii="Times New Roman" w:hAnsi="Times New Roman" w:eastAsia="仿宋_GB2312" w:cs="方正仿宋_GBK"/>
          <w:b w:val="0"/>
          <w:bCs w:val="0"/>
          <w:spacing w:val="-6"/>
          <w:sz w:val="32"/>
          <w:szCs w:val="40"/>
          <w:highlight w:val="none"/>
          <w:lang w:val="en-US" w:eastAsia="zh-CN"/>
        </w:rPr>
        <w:t>97.68</w:t>
      </w:r>
      <w:r>
        <w:rPr>
          <w:rFonts w:hint="eastAsia" w:ascii="Times New Roman" w:hAnsi="Times New Roman" w:eastAsia="仿宋_GB2312" w:cs="方正仿宋_GBK"/>
          <w:b w:val="0"/>
          <w:bCs w:val="0"/>
          <w:spacing w:val="-6"/>
          <w:sz w:val="32"/>
          <w:szCs w:val="40"/>
          <w:highlight w:val="none"/>
        </w:rPr>
        <w:t>%、供热普及率达到92%以上、燃气普及率达到</w:t>
      </w:r>
      <w:r>
        <w:rPr>
          <w:rFonts w:hint="eastAsia" w:ascii="Times New Roman" w:hAnsi="Times New Roman" w:eastAsia="仿宋_GB2312" w:cs="方正仿宋_GBK"/>
          <w:b w:val="0"/>
          <w:bCs w:val="0"/>
          <w:spacing w:val="-6"/>
          <w:sz w:val="32"/>
          <w:szCs w:val="40"/>
          <w:highlight w:val="none"/>
          <w:lang w:val="en-US" w:eastAsia="zh-CN"/>
        </w:rPr>
        <w:t>98.06</w:t>
      </w:r>
      <w:r>
        <w:rPr>
          <w:rFonts w:hint="eastAsia" w:ascii="Times New Roman" w:hAnsi="Times New Roman" w:eastAsia="仿宋_GB2312" w:cs="方正仿宋_GBK"/>
          <w:b w:val="0"/>
          <w:bCs w:val="0"/>
          <w:spacing w:val="-6"/>
          <w:sz w:val="32"/>
          <w:szCs w:val="40"/>
          <w:highlight w:val="none"/>
        </w:rPr>
        <w:t>%，市本级和“三区一旗”公共机构已实现生活垃圾分类全覆盖，“三区一旗”居民小区生活垃圾分类覆盖率达90%以上，</w:t>
      </w:r>
      <w:r>
        <w:rPr>
          <w:rFonts w:hint="eastAsia" w:ascii="Times New Roman" w:hAnsi="Times New Roman" w:eastAsia="仿宋_GB2312" w:cs="方正仿宋_GBK"/>
          <w:b w:val="0"/>
          <w:bCs w:val="0"/>
          <w:spacing w:val="-6"/>
          <w:sz w:val="32"/>
          <w:szCs w:val="40"/>
          <w:highlight w:val="none"/>
          <w:lang w:eastAsia="zh-CN"/>
        </w:rPr>
        <w:t>行政村</w:t>
      </w:r>
      <w:r>
        <w:rPr>
          <w:rFonts w:hint="eastAsia" w:ascii="Times New Roman" w:hAnsi="Times New Roman" w:eastAsia="仿宋_GB2312" w:cs="方正仿宋_GBK"/>
          <w:b w:val="0"/>
          <w:bCs w:val="0"/>
          <w:spacing w:val="-6"/>
          <w:sz w:val="32"/>
          <w:szCs w:val="40"/>
          <w:highlight w:val="none"/>
        </w:rPr>
        <w:t>生活垃圾收运处置体系覆盖率达95.16%，具备污水处理设备设施的建制镇比率达到5</w:t>
      </w:r>
      <w:r>
        <w:rPr>
          <w:rFonts w:hint="eastAsia" w:ascii="Times New Roman" w:hAnsi="Times New Roman" w:eastAsia="仿宋_GB2312" w:cs="方正仿宋_GBK"/>
          <w:b w:val="0"/>
          <w:bCs w:val="0"/>
          <w:spacing w:val="-6"/>
          <w:sz w:val="32"/>
          <w:szCs w:val="40"/>
          <w:highlight w:val="none"/>
          <w:lang w:val="en-US" w:eastAsia="zh-CN"/>
        </w:rPr>
        <w:t>5</w:t>
      </w:r>
      <w:r>
        <w:rPr>
          <w:rFonts w:hint="eastAsia" w:ascii="Times New Roman" w:hAnsi="Times New Roman" w:eastAsia="仿宋_GB2312" w:cs="方正仿宋_GBK"/>
          <w:b w:val="0"/>
          <w:bCs w:val="0"/>
          <w:spacing w:val="-6"/>
          <w:sz w:val="32"/>
          <w:szCs w:val="40"/>
          <w:highlight w:val="none"/>
        </w:rPr>
        <w:t>.6</w:t>
      </w:r>
      <w:r>
        <w:rPr>
          <w:rFonts w:hint="eastAsia" w:ascii="Times New Roman" w:hAnsi="Times New Roman" w:eastAsia="仿宋_GB2312" w:cs="方正仿宋_GBK"/>
          <w:b w:val="0"/>
          <w:bCs w:val="0"/>
          <w:spacing w:val="-6"/>
          <w:sz w:val="32"/>
          <w:szCs w:val="40"/>
          <w:highlight w:val="none"/>
          <w:lang w:val="en-US" w:eastAsia="zh-CN"/>
        </w:rPr>
        <w:t>9</w:t>
      </w:r>
      <w:r>
        <w:rPr>
          <w:rFonts w:hint="eastAsia" w:ascii="Times New Roman" w:hAnsi="Times New Roman" w:eastAsia="仿宋_GB2312" w:cs="方正仿宋_GBK"/>
          <w:b w:val="0"/>
          <w:bCs w:val="0"/>
          <w:spacing w:val="-6"/>
          <w:sz w:val="32"/>
          <w:szCs w:val="40"/>
          <w:highlight w:val="none"/>
        </w:rPr>
        <w:t>%。累计完成近</w:t>
      </w:r>
      <w:r>
        <w:rPr>
          <w:rFonts w:hint="eastAsia" w:ascii="Times New Roman" w:hAnsi="Times New Roman" w:eastAsia="仿宋_GB2312" w:cs="方正仿宋_GBK"/>
          <w:b w:val="0"/>
          <w:bCs w:val="0"/>
          <w:spacing w:val="-6"/>
          <w:sz w:val="32"/>
          <w:szCs w:val="40"/>
          <w:highlight w:val="none"/>
          <w:lang w:val="en-US" w:eastAsia="zh-CN"/>
        </w:rPr>
        <w:t>1139.61</w:t>
      </w:r>
      <w:r>
        <w:rPr>
          <w:rFonts w:hint="eastAsia" w:ascii="Times New Roman" w:hAnsi="Times New Roman" w:eastAsia="仿宋_GB2312" w:cs="方正仿宋_GBK"/>
          <w:b w:val="0"/>
          <w:bCs w:val="0"/>
          <w:spacing w:val="-6"/>
          <w:sz w:val="32"/>
          <w:szCs w:val="40"/>
          <w:highlight w:val="none"/>
        </w:rPr>
        <w:t>万平方米城镇老旧小区改造和</w:t>
      </w:r>
      <w:r>
        <w:rPr>
          <w:rFonts w:hint="eastAsia" w:ascii="Times New Roman" w:hAnsi="Times New Roman" w:eastAsia="仿宋_GB2312" w:cs="方正仿宋_GBK"/>
          <w:b w:val="0"/>
          <w:bCs w:val="0"/>
          <w:spacing w:val="-6"/>
          <w:sz w:val="32"/>
          <w:szCs w:val="40"/>
          <w:highlight w:val="none"/>
          <w:lang w:val="en-US" w:eastAsia="zh-CN"/>
        </w:rPr>
        <w:t>2676</w:t>
      </w:r>
      <w:r>
        <w:rPr>
          <w:rFonts w:hint="eastAsia" w:ascii="Times New Roman" w:hAnsi="Times New Roman" w:eastAsia="仿宋_GB2312" w:cs="方正仿宋_GBK"/>
          <w:b w:val="0"/>
          <w:bCs w:val="0"/>
          <w:spacing w:val="-6"/>
          <w:sz w:val="32"/>
          <w:szCs w:val="40"/>
          <w:highlight w:val="none"/>
        </w:rPr>
        <w:t>户</w:t>
      </w:r>
      <w:r>
        <w:rPr>
          <w:rFonts w:hint="eastAsia" w:ascii="Times New Roman" w:hAnsi="Times New Roman" w:eastAsia="仿宋_GB2312" w:cs="方正仿宋_GBK"/>
          <w:b w:val="0"/>
          <w:bCs w:val="0"/>
          <w:spacing w:val="-6"/>
          <w:sz w:val="32"/>
          <w:szCs w:val="40"/>
          <w:highlight w:val="none"/>
          <w:lang w:val="en-US" w:eastAsia="zh-CN"/>
        </w:rPr>
        <w:t>六类重点对象危房改造</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 xml:space="preserve"> </w:t>
      </w:r>
    </w:p>
    <w:p w14:paraId="5E353604">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Times New Roman" w:hAnsi="Times New Roman" w:eastAsia="仿宋_GB2312" w:cs="方正仿宋_GBK"/>
          <w:b w:val="0"/>
          <w:bCs w:val="0"/>
          <w:spacing w:val="-6"/>
          <w:sz w:val="32"/>
          <w:szCs w:val="40"/>
          <w:highlight w:val="none"/>
          <w:lang w:val="en-US" w:eastAsia="zh-CN"/>
        </w:rPr>
        <w:t>保障改善民生有力有效</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“十四五”以来，赤峰市坚持以人民为中心的发展思想，持续提升民生保障水平，民生支出占财政支出的比重保持在70%以上，人民群众获得感幸福感安全感持续增强。“十四五”累计实现城镇新增就业</w:t>
      </w:r>
      <w:r>
        <w:rPr>
          <w:rFonts w:hint="eastAsia" w:ascii="Times New Roman" w:hAnsi="Times New Roman" w:eastAsia="仿宋_GB2312" w:cs="方正仿宋_GBK"/>
          <w:b w:val="0"/>
          <w:bCs w:val="0"/>
          <w:spacing w:val="-6"/>
          <w:sz w:val="32"/>
          <w:szCs w:val="40"/>
          <w:highlight w:val="none"/>
          <w:lang w:val="en-US" w:eastAsia="zh-CN"/>
        </w:rPr>
        <w:t>9.6</w:t>
      </w:r>
      <w:r>
        <w:rPr>
          <w:rFonts w:hint="eastAsia" w:ascii="Times New Roman" w:hAnsi="Times New Roman" w:eastAsia="仿宋_GB2312" w:cs="方正仿宋_GBK"/>
          <w:b w:val="0"/>
          <w:bCs w:val="0"/>
          <w:spacing w:val="-6"/>
          <w:sz w:val="32"/>
          <w:szCs w:val="40"/>
          <w:highlight w:val="none"/>
        </w:rPr>
        <w:t>万人，农牧民转移就业</w:t>
      </w:r>
      <w:r>
        <w:rPr>
          <w:rFonts w:hint="eastAsia" w:ascii="Times New Roman" w:hAnsi="Times New Roman" w:eastAsia="仿宋_GB2312" w:cs="方正仿宋_GBK"/>
          <w:b w:val="0"/>
          <w:bCs w:val="0"/>
          <w:spacing w:val="-6"/>
          <w:sz w:val="32"/>
          <w:szCs w:val="40"/>
          <w:highlight w:val="none"/>
          <w:lang w:val="en-US" w:eastAsia="zh-CN"/>
        </w:rPr>
        <w:t>345.12</w:t>
      </w:r>
      <w:r>
        <w:rPr>
          <w:rFonts w:hint="eastAsia" w:ascii="Times New Roman" w:hAnsi="Times New Roman" w:eastAsia="仿宋_GB2312" w:cs="方正仿宋_GBK"/>
          <w:b w:val="0"/>
          <w:bCs w:val="0"/>
          <w:spacing w:val="-6"/>
          <w:sz w:val="32"/>
          <w:szCs w:val="40"/>
          <w:highlight w:val="none"/>
        </w:rPr>
        <w:t>万人次。困难群体生活持续改善，城乡低保标准分别提高了</w:t>
      </w:r>
      <w:r>
        <w:rPr>
          <w:rFonts w:hint="eastAsia" w:ascii="Times New Roman" w:hAnsi="Times New Roman" w:eastAsia="仿宋_GB2312" w:cs="方正仿宋_GBK"/>
          <w:b w:val="0"/>
          <w:bCs w:val="0"/>
          <w:spacing w:val="-6"/>
          <w:sz w:val="32"/>
          <w:szCs w:val="40"/>
          <w:highlight w:val="none"/>
          <w:lang w:val="en-US" w:eastAsia="zh-CN"/>
        </w:rPr>
        <w:t>60</w:t>
      </w:r>
      <w:r>
        <w:rPr>
          <w:rFonts w:hint="eastAsia" w:ascii="Times New Roman" w:hAnsi="Times New Roman" w:eastAsia="仿宋_GB2312" w:cs="方正仿宋_GBK"/>
          <w:b w:val="0"/>
          <w:bCs w:val="0"/>
          <w:spacing w:val="-6"/>
          <w:sz w:val="32"/>
          <w:szCs w:val="40"/>
          <w:highlight w:val="none"/>
        </w:rPr>
        <w:t>元和</w:t>
      </w:r>
      <w:r>
        <w:rPr>
          <w:rFonts w:hint="eastAsia" w:ascii="Times New Roman" w:hAnsi="Times New Roman" w:eastAsia="仿宋_GB2312" w:cs="方正仿宋_GBK"/>
          <w:b w:val="0"/>
          <w:bCs w:val="0"/>
          <w:spacing w:val="-6"/>
          <w:sz w:val="32"/>
          <w:szCs w:val="40"/>
          <w:highlight w:val="none"/>
          <w:lang w:val="en-US" w:eastAsia="zh-CN"/>
        </w:rPr>
        <w:t>161</w:t>
      </w:r>
      <w:r>
        <w:rPr>
          <w:rFonts w:hint="eastAsia" w:ascii="Times New Roman" w:hAnsi="Times New Roman" w:eastAsia="仿宋_GB2312" w:cs="方正仿宋_GBK"/>
          <w:b w:val="0"/>
          <w:bCs w:val="0"/>
          <w:spacing w:val="-6"/>
          <w:sz w:val="32"/>
          <w:szCs w:val="40"/>
          <w:highlight w:val="none"/>
        </w:rPr>
        <w:t>元，保障了</w:t>
      </w:r>
      <w:r>
        <w:rPr>
          <w:rFonts w:hint="eastAsia" w:ascii="Times New Roman" w:hAnsi="Times New Roman" w:eastAsia="仿宋_GB2312" w:cs="方正仿宋_GBK"/>
          <w:b w:val="0"/>
          <w:bCs w:val="0"/>
          <w:spacing w:val="-6"/>
          <w:sz w:val="32"/>
          <w:szCs w:val="40"/>
          <w:highlight w:val="none"/>
          <w:lang w:val="en-US" w:eastAsia="zh-CN"/>
        </w:rPr>
        <w:t>36.6</w:t>
      </w:r>
      <w:r>
        <w:rPr>
          <w:rFonts w:hint="eastAsia" w:ascii="Times New Roman" w:hAnsi="Times New Roman" w:eastAsia="仿宋_GB2312" w:cs="方正仿宋_GBK"/>
          <w:b w:val="0"/>
          <w:bCs w:val="0"/>
          <w:spacing w:val="-6"/>
          <w:sz w:val="32"/>
          <w:szCs w:val="40"/>
          <w:highlight w:val="none"/>
        </w:rPr>
        <w:t>万困难群众基本生活。</w:t>
      </w:r>
      <w:r>
        <w:rPr>
          <w:rFonts w:hint="eastAsia" w:ascii="Times New Roman" w:hAnsi="Times New Roman" w:eastAsia="仿宋_GB2312" w:cs="方正仿宋_GBK"/>
          <w:b w:val="0"/>
          <w:bCs w:val="0"/>
          <w:spacing w:val="-6"/>
          <w:sz w:val="32"/>
          <w:szCs w:val="40"/>
          <w:highlight w:val="none"/>
          <w:lang w:eastAsia="zh-CN"/>
        </w:rPr>
        <w:t>脱贫群众生活水平持续改善，累计识别监测对象22668户47594人，消除风险监测对象13780户28801人，风险消除率达60.5%；脱贫人口就业规模稳定保持在5.24万人以上；累计安排衔接资金132亿元，在精深加工、冷链物流、数字科技等关键环节延链补链强链，有力促进乡村产业融合发展，持续提升产业帮扶实效；累计发放脱贫人口小额信贷15.12亿元，</w:t>
      </w:r>
      <w:r>
        <w:rPr>
          <w:rFonts w:hint="eastAsia" w:ascii="Times New Roman" w:hAnsi="Times New Roman" w:eastAsia="仿宋_GB2312" w:cs="方正仿宋_GBK"/>
          <w:b w:val="0"/>
          <w:bCs w:val="0"/>
          <w:spacing w:val="-6"/>
          <w:sz w:val="32"/>
          <w:szCs w:val="40"/>
          <w:highlight w:val="none"/>
          <w:lang w:val="en-US" w:eastAsia="zh-CN"/>
        </w:rPr>
        <w:t>支撑</w:t>
      </w:r>
      <w:r>
        <w:rPr>
          <w:rFonts w:hint="eastAsia" w:ascii="Times New Roman" w:hAnsi="Times New Roman" w:eastAsia="仿宋_GB2312" w:cs="方正仿宋_GBK"/>
          <w:b w:val="0"/>
          <w:bCs w:val="0"/>
          <w:spacing w:val="-6"/>
          <w:sz w:val="32"/>
          <w:szCs w:val="40"/>
          <w:highlight w:val="none"/>
          <w:lang w:eastAsia="zh-CN"/>
        </w:rPr>
        <w:t>各旗县区均培育形成2～3个超5亿元级主导产业链。</w:t>
      </w:r>
      <w:r>
        <w:rPr>
          <w:rFonts w:hint="eastAsia" w:ascii="Times New Roman" w:hAnsi="Times New Roman" w:eastAsia="仿宋_GB2312" w:cs="方正仿宋_GBK"/>
          <w:b w:val="0"/>
          <w:bCs w:val="0"/>
          <w:spacing w:val="-6"/>
          <w:sz w:val="32"/>
          <w:szCs w:val="40"/>
          <w:highlight w:val="none"/>
        </w:rPr>
        <w:t>城乡居民养老保险、基本医疗保险实现</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应保尽保</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，常住人口基本医保参保率连续五年保持在96%以上，基本养老保险参保人数达到29</w:t>
      </w:r>
      <w:r>
        <w:rPr>
          <w:rFonts w:hint="eastAsia" w:ascii="Times New Roman" w:hAnsi="Times New Roman" w:eastAsia="仿宋_GB2312" w:cs="方正仿宋_GBK"/>
          <w:b w:val="0"/>
          <w:bCs w:val="0"/>
          <w:spacing w:val="-6"/>
          <w:sz w:val="32"/>
          <w:szCs w:val="40"/>
          <w:highlight w:val="none"/>
          <w:lang w:val="en-US" w:eastAsia="zh-CN"/>
        </w:rPr>
        <w:t>6.38</w:t>
      </w:r>
      <w:r>
        <w:rPr>
          <w:rFonts w:hint="eastAsia" w:ascii="Times New Roman" w:hAnsi="Times New Roman" w:eastAsia="仿宋_GB2312" w:cs="方正仿宋_GBK"/>
          <w:b w:val="0"/>
          <w:bCs w:val="0"/>
          <w:spacing w:val="-6"/>
          <w:sz w:val="32"/>
          <w:szCs w:val="40"/>
          <w:highlight w:val="none"/>
        </w:rPr>
        <w:t>万人，较2020年增加</w:t>
      </w:r>
      <w:r>
        <w:rPr>
          <w:rFonts w:hint="eastAsia" w:ascii="Times New Roman" w:hAnsi="Times New Roman" w:eastAsia="仿宋_GB2312" w:cs="方正仿宋_GBK"/>
          <w:b w:val="0"/>
          <w:bCs w:val="0"/>
          <w:spacing w:val="-6"/>
          <w:sz w:val="32"/>
          <w:szCs w:val="40"/>
          <w:highlight w:val="none"/>
          <w:lang w:val="en-US" w:eastAsia="zh-CN"/>
        </w:rPr>
        <w:t>26.33</w:t>
      </w:r>
      <w:r>
        <w:rPr>
          <w:rFonts w:hint="eastAsia" w:ascii="Times New Roman" w:hAnsi="Times New Roman" w:eastAsia="仿宋_GB2312" w:cs="方正仿宋_GBK"/>
          <w:b w:val="0"/>
          <w:bCs w:val="0"/>
          <w:spacing w:val="-6"/>
          <w:sz w:val="32"/>
          <w:szCs w:val="40"/>
          <w:highlight w:val="none"/>
        </w:rPr>
        <w:t>万人，参保率提高到95.</w:t>
      </w:r>
      <w:r>
        <w:rPr>
          <w:rFonts w:hint="eastAsia" w:ascii="Times New Roman" w:hAnsi="Times New Roman" w:eastAsia="仿宋_GB2312" w:cs="方正仿宋_GBK"/>
          <w:b w:val="0"/>
          <w:bCs w:val="0"/>
          <w:spacing w:val="-6"/>
          <w:sz w:val="32"/>
          <w:szCs w:val="40"/>
          <w:highlight w:val="none"/>
          <w:lang w:val="en-US" w:eastAsia="zh-CN"/>
        </w:rPr>
        <w:t>05</w:t>
      </w:r>
      <w:r>
        <w:rPr>
          <w:rFonts w:hint="eastAsia" w:ascii="Times New Roman" w:hAnsi="Times New Roman" w:eastAsia="仿宋_GB2312" w:cs="方正仿宋_GBK"/>
          <w:b w:val="0"/>
          <w:bCs w:val="0"/>
          <w:spacing w:val="-6"/>
          <w:sz w:val="32"/>
          <w:szCs w:val="40"/>
          <w:highlight w:val="none"/>
        </w:rPr>
        <w:t>%。教育质量稳步提升，县域义务教育全面实现基本均衡，</w:t>
      </w:r>
      <w:r>
        <w:rPr>
          <w:rFonts w:hint="eastAsia" w:ascii="Times New Roman" w:hAnsi="Times New Roman" w:eastAsia="仿宋_GB2312" w:cs="方正仿宋_GBK"/>
          <w:b w:val="0"/>
          <w:bCs w:val="0"/>
          <w:spacing w:val="-6"/>
          <w:sz w:val="32"/>
          <w:szCs w:val="40"/>
          <w:highlight w:val="none"/>
          <w:lang w:val="en-US" w:eastAsia="zh-CN"/>
        </w:rPr>
        <w:t>公办幼儿园在园幼儿占比达到66.29%</w:t>
      </w:r>
      <w:r>
        <w:rPr>
          <w:rFonts w:hint="eastAsia" w:ascii="Times New Roman" w:hAnsi="Times New Roman" w:eastAsia="仿宋_GB2312" w:cs="方正仿宋_GBK"/>
          <w:b w:val="0"/>
          <w:bCs w:val="0"/>
          <w:spacing w:val="-6"/>
          <w:sz w:val="32"/>
          <w:szCs w:val="40"/>
          <w:highlight w:val="none"/>
        </w:rPr>
        <w:t>，普惠性幼儿园覆盖率达到</w:t>
      </w:r>
      <w:r>
        <w:rPr>
          <w:rFonts w:hint="eastAsia" w:ascii="Times New Roman" w:hAnsi="Times New Roman" w:eastAsia="仿宋_GB2312" w:cs="方正仿宋_GBK"/>
          <w:b w:val="0"/>
          <w:bCs w:val="0"/>
          <w:spacing w:val="-6"/>
          <w:sz w:val="32"/>
          <w:szCs w:val="40"/>
          <w:highlight w:val="none"/>
          <w:lang w:val="en-US" w:eastAsia="zh-CN"/>
        </w:rPr>
        <w:t>90.73</w:t>
      </w:r>
      <w:r>
        <w:rPr>
          <w:rFonts w:hint="eastAsia" w:ascii="Times New Roman" w:hAnsi="Times New Roman" w:eastAsia="仿宋_GB2312" w:cs="方正仿宋_GBK"/>
          <w:b w:val="0"/>
          <w:bCs w:val="0"/>
          <w:spacing w:val="-6"/>
          <w:sz w:val="32"/>
          <w:szCs w:val="40"/>
          <w:highlight w:val="none"/>
        </w:rPr>
        <w:t>%，义务教育巩固率达到10</w:t>
      </w:r>
      <w:r>
        <w:rPr>
          <w:rFonts w:hint="eastAsia" w:ascii="Times New Roman" w:hAnsi="Times New Roman" w:eastAsia="仿宋_GB2312" w:cs="方正仿宋_GBK"/>
          <w:b w:val="0"/>
          <w:bCs w:val="0"/>
          <w:spacing w:val="-6"/>
          <w:sz w:val="32"/>
          <w:szCs w:val="40"/>
          <w:highlight w:val="none"/>
          <w:lang w:val="en-US" w:eastAsia="zh-CN"/>
        </w:rPr>
        <w:t>1</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优质多样的普通高中发展格局逐步形成，“县中振兴”典型经验得到教育部高度认可；公办中等职业学校办学条件100%达标，13所院校、27个专业（群）通过自治区级“双高双优”计划验收；建成自治区级市域产教联合体1个、行业产教融合共同体2个</w:t>
      </w:r>
      <w:r>
        <w:rPr>
          <w:rFonts w:hint="eastAsia" w:ascii="Times New Roman" w:hAnsi="Times New Roman" w:eastAsia="仿宋_GB2312" w:cs="方正仿宋_GBK"/>
          <w:b w:val="0"/>
          <w:bCs w:val="0"/>
          <w:spacing w:val="-6"/>
          <w:sz w:val="32"/>
          <w:szCs w:val="40"/>
          <w:highlight w:val="none"/>
        </w:rPr>
        <w:t>。健康赤峰成效斐然，</w:t>
      </w:r>
      <w:r>
        <w:rPr>
          <w:rFonts w:hint="eastAsia" w:ascii="Times New Roman" w:hAnsi="Times New Roman" w:eastAsia="仿宋_GB2312" w:cs="方正仿宋_GBK"/>
          <w:b w:val="0"/>
          <w:bCs w:val="0"/>
          <w:spacing w:val="-6"/>
          <w:sz w:val="32"/>
          <w:szCs w:val="40"/>
          <w:highlight w:val="none"/>
          <w:lang w:val="en-US" w:eastAsia="zh-CN"/>
        </w:rPr>
        <w:t>累计</w:t>
      </w:r>
      <w:r>
        <w:rPr>
          <w:rFonts w:hint="eastAsia" w:ascii="Times New Roman" w:hAnsi="Times New Roman" w:eastAsia="仿宋_GB2312" w:cs="方正仿宋_GBK"/>
          <w:b w:val="0"/>
          <w:bCs w:val="0"/>
          <w:spacing w:val="-6"/>
          <w:sz w:val="32"/>
          <w:szCs w:val="40"/>
          <w:highlight w:val="none"/>
        </w:rPr>
        <w:t>新增医疗机构建筑面积28.42万平方米、床位1886张，极大缓解了看病难问题</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全市</w:t>
      </w:r>
      <w:r>
        <w:rPr>
          <w:rFonts w:hint="eastAsia" w:ascii="Times New Roman" w:hAnsi="Times New Roman" w:eastAsia="仿宋_GB2312" w:cs="方正仿宋_GBK"/>
          <w:b w:val="0"/>
          <w:bCs w:val="0"/>
          <w:spacing w:val="-6"/>
          <w:sz w:val="32"/>
          <w:szCs w:val="40"/>
          <w:highlight w:val="none"/>
          <w:lang w:val="en-US"/>
        </w:rPr>
        <w:t>每千人口拥有执业（助理）医师数</w:t>
      </w:r>
      <w:r>
        <w:rPr>
          <w:rFonts w:hint="eastAsia" w:ascii="Times New Roman" w:hAnsi="Times New Roman" w:eastAsia="仿宋_GB2312" w:cs="方正仿宋_GBK"/>
          <w:b w:val="0"/>
          <w:bCs w:val="0"/>
          <w:spacing w:val="-6"/>
          <w:sz w:val="32"/>
          <w:szCs w:val="40"/>
          <w:highlight w:val="none"/>
          <w:lang w:val="en-US" w:eastAsia="zh-CN"/>
        </w:rPr>
        <w:t>4.29人</w:t>
      </w:r>
      <w:r>
        <w:rPr>
          <w:rFonts w:hint="eastAsia" w:ascii="Times New Roman" w:hAnsi="Times New Roman" w:eastAsia="仿宋_GB2312" w:cs="方正仿宋_GBK"/>
          <w:b w:val="0"/>
          <w:bCs w:val="0"/>
          <w:spacing w:val="-6"/>
          <w:sz w:val="32"/>
          <w:szCs w:val="40"/>
          <w:highlight w:val="none"/>
          <w:lang w:val="en-US"/>
        </w:rPr>
        <w:t>、每千人口拥有3岁以下婴幼儿托位数</w:t>
      </w:r>
      <w:r>
        <w:rPr>
          <w:rFonts w:hint="eastAsia" w:ascii="Times New Roman" w:hAnsi="Times New Roman" w:eastAsia="仿宋_GB2312" w:cs="方正仿宋_GBK"/>
          <w:b w:val="0"/>
          <w:bCs w:val="0"/>
          <w:spacing w:val="-6"/>
          <w:sz w:val="32"/>
          <w:szCs w:val="40"/>
          <w:highlight w:val="none"/>
          <w:lang w:val="en-US" w:eastAsia="zh-CN"/>
        </w:rPr>
        <w:t>4.53个</w:t>
      </w:r>
      <w:r>
        <w:rPr>
          <w:rFonts w:hint="eastAsia" w:ascii="Times New Roman" w:hAnsi="Times New Roman" w:eastAsia="仿宋_GB2312" w:cs="方正仿宋_GBK"/>
          <w:b w:val="0"/>
          <w:bCs w:val="0"/>
          <w:spacing w:val="-6"/>
          <w:sz w:val="32"/>
          <w:szCs w:val="40"/>
          <w:highlight w:val="none"/>
          <w:lang w:val="en-US"/>
        </w:rPr>
        <w:t>、人均预期寿命</w:t>
      </w:r>
      <w:r>
        <w:rPr>
          <w:rFonts w:hint="eastAsia" w:ascii="Times New Roman" w:hAnsi="Times New Roman" w:eastAsia="仿宋_GB2312" w:cs="方正仿宋_GBK"/>
          <w:b w:val="0"/>
          <w:bCs w:val="0"/>
          <w:spacing w:val="-6"/>
          <w:sz w:val="32"/>
          <w:szCs w:val="40"/>
          <w:highlight w:val="none"/>
          <w:lang w:val="en-US" w:eastAsia="zh-CN"/>
        </w:rPr>
        <w:t>77.8岁，均达到“十四五”规划预期目标</w:t>
      </w:r>
      <w:r>
        <w:rPr>
          <w:rFonts w:hint="eastAsia" w:ascii="Times New Roman" w:hAnsi="Times New Roman" w:eastAsia="仿宋_GB2312" w:cs="方正仿宋_GBK"/>
          <w:b w:val="0"/>
          <w:bCs w:val="0"/>
          <w:spacing w:val="-6"/>
          <w:sz w:val="32"/>
          <w:szCs w:val="40"/>
          <w:highlight w:val="none"/>
        </w:rPr>
        <w:t>；建</w:t>
      </w:r>
      <w:r>
        <w:rPr>
          <w:rFonts w:hint="eastAsia" w:ascii="Times New Roman" w:hAnsi="Times New Roman" w:eastAsia="仿宋_GB2312" w:cs="方正仿宋_GBK"/>
          <w:b w:val="0"/>
          <w:bCs w:val="0"/>
          <w:spacing w:val="-6"/>
          <w:sz w:val="32"/>
          <w:szCs w:val="40"/>
          <w:highlight w:val="none"/>
          <w:lang w:eastAsia="zh-CN"/>
        </w:rPr>
        <w:t>成</w:t>
      </w:r>
      <w:r>
        <w:rPr>
          <w:rFonts w:hint="eastAsia" w:ascii="Times New Roman" w:hAnsi="Times New Roman" w:eastAsia="仿宋_GB2312" w:cs="方正仿宋_GBK"/>
          <w:b w:val="0"/>
          <w:bCs w:val="0"/>
          <w:spacing w:val="-6"/>
          <w:sz w:val="32"/>
          <w:szCs w:val="40"/>
          <w:highlight w:val="none"/>
        </w:rPr>
        <w:t>国家级重点建设专科</w:t>
      </w:r>
      <w:r>
        <w:rPr>
          <w:rFonts w:hint="eastAsia" w:ascii="Times New Roman" w:hAnsi="Times New Roman" w:eastAsia="仿宋_GB2312" w:cs="方正仿宋_GBK"/>
          <w:b w:val="0"/>
          <w:bCs w:val="0"/>
          <w:spacing w:val="-6"/>
          <w:sz w:val="32"/>
          <w:szCs w:val="40"/>
          <w:highlight w:val="none"/>
          <w:lang w:val="en-US" w:eastAsia="zh-CN"/>
        </w:rPr>
        <w:t>9</w:t>
      </w:r>
      <w:r>
        <w:rPr>
          <w:rFonts w:hint="eastAsia" w:ascii="Times New Roman" w:hAnsi="Times New Roman" w:eastAsia="仿宋_GB2312" w:cs="方正仿宋_GBK"/>
          <w:b w:val="0"/>
          <w:bCs w:val="0"/>
          <w:spacing w:val="-6"/>
          <w:sz w:val="32"/>
          <w:szCs w:val="40"/>
          <w:highlight w:val="none"/>
        </w:rPr>
        <w:t>个，自治区领先学科</w:t>
      </w:r>
      <w:r>
        <w:rPr>
          <w:rFonts w:hint="eastAsia" w:ascii="Times New Roman" w:hAnsi="Times New Roman" w:eastAsia="仿宋_GB2312" w:cs="方正仿宋_GBK"/>
          <w:b w:val="0"/>
          <w:bCs w:val="0"/>
          <w:spacing w:val="-6"/>
          <w:sz w:val="32"/>
          <w:szCs w:val="40"/>
          <w:highlight w:val="none"/>
          <w:lang w:val="en-US" w:eastAsia="zh-CN"/>
        </w:rPr>
        <w:t>7</w:t>
      </w:r>
      <w:r>
        <w:rPr>
          <w:rFonts w:hint="eastAsia" w:ascii="Times New Roman" w:hAnsi="Times New Roman" w:eastAsia="仿宋_GB2312" w:cs="方正仿宋_GBK"/>
          <w:b w:val="0"/>
          <w:bCs w:val="0"/>
          <w:spacing w:val="-6"/>
          <w:sz w:val="32"/>
          <w:szCs w:val="40"/>
          <w:highlight w:val="none"/>
        </w:rPr>
        <w:t>个、重点专（学）科55个</w:t>
      </w:r>
      <w:r>
        <w:rPr>
          <w:rFonts w:hint="eastAsia" w:ascii="Times New Roman" w:hAnsi="Times New Roman" w:eastAsia="仿宋_GB2312" w:cs="方正仿宋_GBK"/>
          <w:b w:val="0"/>
          <w:bCs w:val="0"/>
          <w:spacing w:val="-6"/>
          <w:sz w:val="32"/>
          <w:szCs w:val="40"/>
          <w:highlight w:val="none"/>
          <w:lang w:val="en-US" w:eastAsia="zh-CN"/>
        </w:rPr>
        <w:t>、中医（蒙医）优势专科14个</w:t>
      </w:r>
      <w:r>
        <w:rPr>
          <w:rFonts w:hint="eastAsia" w:ascii="Times New Roman" w:hAnsi="Times New Roman" w:eastAsia="仿宋_GB2312" w:cs="方正仿宋_GBK"/>
          <w:b w:val="0"/>
          <w:bCs w:val="0"/>
          <w:spacing w:val="-6"/>
          <w:sz w:val="32"/>
          <w:szCs w:val="40"/>
          <w:highlight w:val="none"/>
        </w:rPr>
        <w:t>，首都医科大学宣武医院内蒙古医院</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国家</w:t>
      </w:r>
      <w:r>
        <w:rPr>
          <w:rFonts w:hint="eastAsia" w:ascii="Times New Roman" w:hAnsi="Times New Roman" w:eastAsia="仿宋_GB2312" w:cs="方正仿宋_GBK"/>
          <w:b w:val="0"/>
          <w:bCs w:val="0"/>
          <w:spacing w:val="-6"/>
          <w:sz w:val="32"/>
          <w:szCs w:val="40"/>
          <w:highlight w:val="none"/>
          <w:lang w:val="en-US" w:eastAsia="zh-CN"/>
        </w:rPr>
        <w:t>级</w:t>
      </w:r>
      <w:r>
        <w:rPr>
          <w:rFonts w:hint="eastAsia" w:ascii="Times New Roman" w:hAnsi="Times New Roman" w:eastAsia="仿宋_GB2312" w:cs="方正仿宋_GBK"/>
          <w:b w:val="0"/>
          <w:bCs w:val="0"/>
          <w:spacing w:val="-6"/>
          <w:sz w:val="32"/>
          <w:szCs w:val="40"/>
          <w:highlight w:val="none"/>
        </w:rPr>
        <w:t>区域医疗中心</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挂牌运营</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rPr>
        <w:t>中心城区2</w:t>
      </w:r>
      <w:r>
        <w:rPr>
          <w:rFonts w:hint="eastAsia" w:ascii="Times New Roman" w:hAnsi="Times New Roman" w:eastAsia="仿宋_GB2312" w:cs="方正仿宋_GBK"/>
          <w:b w:val="0"/>
          <w:bCs w:val="0"/>
          <w:spacing w:val="-6"/>
          <w:sz w:val="32"/>
          <w:szCs w:val="40"/>
          <w:highlight w:val="none"/>
          <w:lang w:val="en-US" w:eastAsia="zh-CN"/>
        </w:rPr>
        <w:t>个</w:t>
      </w:r>
      <w:r>
        <w:rPr>
          <w:rFonts w:hint="eastAsia" w:ascii="Times New Roman" w:hAnsi="Times New Roman" w:eastAsia="仿宋_GB2312" w:cs="方正仿宋_GBK"/>
          <w:b w:val="0"/>
          <w:bCs w:val="0"/>
          <w:spacing w:val="-6"/>
          <w:sz w:val="32"/>
          <w:szCs w:val="40"/>
          <w:highlight w:val="none"/>
          <w:lang w:val="en-US"/>
        </w:rPr>
        <w:t>紧密型城市医疗集团</w:t>
      </w:r>
      <w:r>
        <w:rPr>
          <w:rFonts w:hint="eastAsia" w:ascii="Times New Roman" w:hAnsi="Times New Roman" w:eastAsia="仿宋_GB2312" w:cs="方正仿宋_GBK"/>
          <w:b w:val="0"/>
          <w:bCs w:val="0"/>
          <w:spacing w:val="-6"/>
          <w:sz w:val="32"/>
          <w:szCs w:val="40"/>
          <w:highlight w:val="none"/>
        </w:rPr>
        <w:t>稳步推进，旗县区</w:t>
      </w:r>
      <w:r>
        <w:rPr>
          <w:rFonts w:hint="eastAsia" w:ascii="Times New Roman" w:hAnsi="Times New Roman" w:eastAsia="仿宋_GB2312" w:cs="方正仿宋_GBK"/>
          <w:b w:val="0"/>
          <w:bCs w:val="0"/>
          <w:spacing w:val="-6"/>
          <w:sz w:val="32"/>
          <w:szCs w:val="40"/>
          <w:highlight w:val="none"/>
          <w:lang w:val="en-US" w:eastAsia="zh-CN"/>
        </w:rPr>
        <w:t>10</w:t>
      </w:r>
      <w:r>
        <w:rPr>
          <w:rFonts w:hint="eastAsia" w:ascii="Times New Roman" w:hAnsi="Times New Roman" w:eastAsia="仿宋_GB2312" w:cs="方正仿宋_GBK"/>
          <w:b w:val="0"/>
          <w:bCs w:val="0"/>
          <w:spacing w:val="-6"/>
          <w:sz w:val="32"/>
          <w:szCs w:val="40"/>
          <w:highlight w:val="none"/>
        </w:rPr>
        <w:t>个</w:t>
      </w:r>
      <w:r>
        <w:rPr>
          <w:rFonts w:hint="eastAsia" w:ascii="Times New Roman" w:hAnsi="Times New Roman" w:eastAsia="仿宋_GB2312" w:cs="方正仿宋_GBK"/>
          <w:b w:val="0"/>
          <w:bCs w:val="0"/>
          <w:spacing w:val="-6"/>
          <w:sz w:val="32"/>
          <w:szCs w:val="40"/>
          <w:highlight w:val="none"/>
          <w:lang w:eastAsia="zh-CN"/>
        </w:rPr>
        <w:t>紧密型县域医共体建设</w:t>
      </w:r>
      <w:r>
        <w:rPr>
          <w:rFonts w:hint="eastAsia" w:ascii="Times New Roman" w:hAnsi="Times New Roman" w:eastAsia="仿宋_GB2312" w:cs="方正仿宋_GBK"/>
          <w:b w:val="0"/>
          <w:bCs w:val="0"/>
          <w:spacing w:val="-6"/>
          <w:sz w:val="32"/>
          <w:szCs w:val="40"/>
          <w:highlight w:val="none"/>
        </w:rPr>
        <w:t>完成。</w:t>
      </w:r>
    </w:p>
    <w:p w14:paraId="6C5DF826">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Times New Roman" w:hAnsi="Times New Roman" w:eastAsia="仿宋_GB2312" w:cs="方正仿宋_GBK"/>
          <w:b w:val="0"/>
          <w:bCs w:val="0"/>
          <w:color w:val="auto"/>
          <w:spacing w:val="-6"/>
          <w:sz w:val="32"/>
          <w:szCs w:val="40"/>
          <w:highlight w:val="none"/>
          <w:lang w:val="en-US" w:eastAsia="zh-CN"/>
        </w:rPr>
        <w:t>基础设施支撑不断增强</w:t>
      </w:r>
      <w:r>
        <w:rPr>
          <w:rFonts w:hint="eastAsia" w:ascii="Times New Roman" w:hAnsi="Times New Roman" w:eastAsia="仿宋_GB2312" w:cs="方正仿宋_GBK"/>
          <w:b w:val="0"/>
          <w:bCs w:val="0"/>
          <w:spacing w:val="-6"/>
          <w:sz w:val="32"/>
          <w:szCs w:val="40"/>
          <w:highlight w:val="none"/>
          <w:lang w:val="en-US" w:eastAsia="zh-CN"/>
        </w:rPr>
        <w:t>。“十四五”以来，赤峰市持续完善交通、能源、水利、新型基础设施体系，对经济社会发展的支撑作用不断增强。综合交通体系日益完善，G5511大板至查白音他拉和公主埂至经棚、G1611</w:t>
      </w:r>
      <w:r>
        <w:rPr>
          <w:rFonts w:hint="eastAsia" w:ascii="Times New Roman" w:hAnsi="Times New Roman" w:eastAsia="仿宋_GB2312" w:cs="方正仿宋_GBK"/>
          <w:b w:val="0"/>
          <w:bCs w:val="0"/>
          <w:spacing w:val="-6"/>
          <w:sz w:val="32"/>
          <w:szCs w:val="40"/>
          <w:highlight w:val="none"/>
        </w:rPr>
        <w:t>经棚至乌兰布统高速公路</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G</w:t>
      </w:r>
      <w:r>
        <w:rPr>
          <w:rFonts w:hint="eastAsia" w:ascii="Times New Roman" w:hAnsi="Times New Roman" w:eastAsia="仿宋_GB2312" w:cs="方正仿宋_GBK"/>
          <w:b w:val="0"/>
          <w:bCs w:val="0"/>
          <w:spacing w:val="-6"/>
          <w:sz w:val="32"/>
          <w:szCs w:val="40"/>
          <w:highlight w:val="none"/>
        </w:rPr>
        <w:t>508小城子至平泉</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蒙冀界</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S304大兴至海拉苏、S</w:t>
      </w:r>
      <w:r>
        <w:rPr>
          <w:rFonts w:hint="eastAsia" w:ascii="Times New Roman" w:hAnsi="Times New Roman" w:eastAsia="仿宋_GB2312" w:cs="方正仿宋_GBK"/>
          <w:b w:val="0"/>
          <w:bCs w:val="0"/>
          <w:spacing w:val="-6"/>
          <w:sz w:val="32"/>
          <w:szCs w:val="40"/>
          <w:highlight w:val="none"/>
        </w:rPr>
        <w:t>505十家至大坝沟、</w:t>
      </w:r>
      <w:r>
        <w:rPr>
          <w:rFonts w:hint="eastAsia" w:ascii="Times New Roman" w:hAnsi="Times New Roman" w:eastAsia="仿宋_GB2312" w:cs="方正仿宋_GBK"/>
          <w:b w:val="0"/>
          <w:bCs w:val="0"/>
          <w:spacing w:val="-6"/>
          <w:sz w:val="32"/>
          <w:szCs w:val="40"/>
          <w:highlight w:val="none"/>
          <w:lang w:val="en-US" w:eastAsia="zh-CN"/>
        </w:rPr>
        <w:t>S210巴拉奇如德至高日罕、</w:t>
      </w:r>
      <w:r>
        <w:rPr>
          <w:rFonts w:hint="eastAsia" w:ascii="Times New Roman" w:hAnsi="Times New Roman" w:eastAsia="仿宋_GB2312" w:cs="方正仿宋_GBK"/>
          <w:b w:val="0"/>
          <w:bCs w:val="0"/>
          <w:spacing w:val="-6"/>
          <w:sz w:val="32"/>
          <w:szCs w:val="40"/>
          <w:highlight w:val="none"/>
        </w:rPr>
        <w:t>丹锡高速公路梧桐花互通等干线工程建成通车，</w:t>
      </w:r>
      <w:r>
        <w:rPr>
          <w:rFonts w:hint="eastAsia" w:ascii="Times New Roman" w:hAnsi="Times New Roman" w:eastAsia="仿宋_GB2312" w:cs="方正仿宋_GBK"/>
          <w:b w:val="0"/>
          <w:bCs w:val="0"/>
          <w:spacing w:val="-6"/>
          <w:sz w:val="32"/>
          <w:szCs w:val="40"/>
          <w:highlight w:val="none"/>
          <w:lang w:val="en-US" w:eastAsia="zh-CN"/>
        </w:rPr>
        <w:t>S28乌丹至天山高速公路、G111小卡拉至赤峰、G233经棚至桦木沟、S220罕达罕至乌兰布统、S</w:t>
      </w:r>
      <w:r>
        <w:rPr>
          <w:rFonts w:hint="eastAsia" w:ascii="Times New Roman" w:hAnsi="Times New Roman" w:eastAsia="仿宋_GB2312" w:cs="方正仿宋_GBK"/>
          <w:b w:val="0"/>
          <w:bCs w:val="0"/>
          <w:spacing w:val="-6"/>
          <w:sz w:val="32"/>
          <w:szCs w:val="40"/>
          <w:highlight w:val="none"/>
        </w:rPr>
        <w:t>504五十家子至林西等项目加快实施；</w:t>
      </w:r>
      <w:r>
        <w:rPr>
          <w:rFonts w:hint="eastAsia" w:ascii="Times New Roman" w:hAnsi="Times New Roman" w:eastAsia="仿宋_GB2312" w:cs="方正仿宋_GBK"/>
          <w:b w:val="0"/>
          <w:bCs w:val="0"/>
          <w:spacing w:val="-6"/>
          <w:sz w:val="32"/>
          <w:szCs w:val="40"/>
          <w:highlight w:val="none"/>
          <w:lang w:val="en-US" w:eastAsia="zh-CN"/>
        </w:rPr>
        <w:t>赤峰至北京朝阳高铁增加至10对/日，两地间高铁实现“公交化”运行。赤大铁路首开旅客列车，南北铁路客运大通道全面贯通。</w:t>
      </w:r>
      <w:r>
        <w:rPr>
          <w:rFonts w:hint="eastAsia" w:ascii="Times New Roman" w:hAnsi="Times New Roman" w:eastAsia="仿宋_GB2312" w:cs="方正仿宋_GBK"/>
          <w:b w:val="0"/>
          <w:bCs w:val="0"/>
          <w:spacing w:val="-6"/>
          <w:sz w:val="32"/>
          <w:szCs w:val="40"/>
          <w:highlight w:val="none"/>
        </w:rPr>
        <w:t>集通铁路电气化改造工程竣工通车，林白铁路复工建设；玉龙机场</w:t>
      </w:r>
      <w:r>
        <w:rPr>
          <w:rFonts w:hint="eastAsia" w:ascii="Times New Roman" w:hAnsi="Times New Roman" w:eastAsia="仿宋_GB2312" w:cs="方正仿宋_GBK"/>
          <w:b w:val="0"/>
          <w:bCs w:val="0"/>
          <w:spacing w:val="-6"/>
          <w:sz w:val="32"/>
          <w:szCs w:val="40"/>
          <w:highlight w:val="none"/>
          <w:lang w:eastAsia="zh-CN"/>
        </w:rPr>
        <w:t>新航站楼</w:t>
      </w:r>
      <w:r>
        <w:rPr>
          <w:rFonts w:hint="eastAsia" w:ascii="Times New Roman" w:hAnsi="Times New Roman" w:eastAsia="仿宋_GB2312" w:cs="方正仿宋_GBK"/>
          <w:b w:val="0"/>
          <w:bCs w:val="0"/>
          <w:spacing w:val="-6"/>
          <w:sz w:val="32"/>
          <w:szCs w:val="40"/>
          <w:highlight w:val="none"/>
        </w:rPr>
        <w:t>投入使用</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左旗通用机场开通短途航线、右旗通用机场取得使用许可证，克旗阿斯哈图和乌兰布统机场通过竣工验收</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水安全</w:t>
      </w:r>
      <w:r>
        <w:rPr>
          <w:rFonts w:hint="eastAsia" w:ascii="Times New Roman" w:hAnsi="Times New Roman" w:eastAsia="仿宋_GB2312" w:cs="方正仿宋_GBK"/>
          <w:b w:val="0"/>
          <w:bCs w:val="0"/>
          <w:spacing w:val="-6"/>
          <w:sz w:val="32"/>
          <w:szCs w:val="40"/>
          <w:highlight w:val="none"/>
        </w:rPr>
        <w:t>保障能力显著增强</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跨区域调水支线工程、东台子水库工程有序推进。</w:t>
      </w:r>
      <w:r>
        <w:rPr>
          <w:rFonts w:hint="eastAsia" w:ascii="Times New Roman" w:hAnsi="Times New Roman" w:eastAsia="仿宋_GB2312" w:cs="方正仿宋_GBK"/>
          <w:b w:val="0"/>
          <w:bCs w:val="0"/>
          <w:spacing w:val="-6"/>
          <w:sz w:val="32"/>
          <w:szCs w:val="40"/>
          <w:highlight w:val="none"/>
          <w:lang w:val="en-US" w:eastAsia="zh-CN"/>
        </w:rPr>
        <w:t>能源重大基础设施建设实现重点突破，巴奈阜500千伏、阿旗北500千伏、东山500千伏、克旗500千伏输变电工程相继建成投运，赤峰至锦州港、赤峰至京津冀绿色氢氨醇长输管道工程启动前期工作，“气化赤峰”中燃朝阳至赤峰天然气管道建成投运，</w:t>
      </w:r>
      <w:r>
        <w:rPr>
          <w:rFonts w:hint="eastAsia" w:ascii="Times New Roman" w:hAnsi="Times New Roman" w:eastAsia="仿宋_GB2312" w:cs="方正仿宋_GBK"/>
          <w:b w:val="0"/>
          <w:bCs w:val="0"/>
          <w:spacing w:val="-6"/>
          <w:sz w:val="32"/>
          <w:szCs w:val="40"/>
          <w:highlight w:val="none"/>
        </w:rPr>
        <w:t>长春至石家庄天然气长输管道赤峰段干线工程开工建设</w:t>
      </w:r>
      <w:r>
        <w:rPr>
          <w:rFonts w:hint="eastAsia" w:ascii="Times New Roman" w:hAnsi="Times New Roman" w:eastAsia="仿宋_GB2312" w:cs="方正仿宋_GBK"/>
          <w:b w:val="0"/>
          <w:bCs w:val="0"/>
          <w:spacing w:val="-6"/>
          <w:sz w:val="32"/>
          <w:szCs w:val="40"/>
          <w:highlight w:val="none"/>
          <w:lang w:eastAsia="zh-CN"/>
        </w:rPr>
        <w:t>，长春至石家庄天然气长输管道盘锦至赤峰联络线工程、赤北开口门站天然气直供赤峰大工业用户管道工程、通辽至赤峰天然气长输管道联网工程前期</w:t>
      </w:r>
      <w:r>
        <w:rPr>
          <w:rFonts w:hint="eastAsia" w:ascii="Times New Roman" w:hAnsi="Times New Roman" w:eastAsia="仿宋_GB2312" w:cs="方正仿宋_GBK"/>
          <w:b w:val="0"/>
          <w:bCs w:val="0"/>
          <w:spacing w:val="-6"/>
          <w:sz w:val="32"/>
          <w:szCs w:val="40"/>
          <w:highlight w:val="none"/>
          <w:lang w:val="en-US" w:eastAsia="zh-CN"/>
        </w:rPr>
        <w:t>工作加快推进</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新型基础设施加快建设，</w:t>
      </w:r>
      <w:r>
        <w:rPr>
          <w:rFonts w:hint="eastAsia" w:ascii="Times New Roman" w:hAnsi="Times New Roman" w:eastAsia="仿宋_GB2312" w:cs="方正仿宋_GBK"/>
          <w:b w:val="0"/>
          <w:bCs w:val="0"/>
          <w:spacing w:val="-6"/>
          <w:sz w:val="32"/>
          <w:szCs w:val="40"/>
          <w:highlight w:val="none"/>
          <w:lang w:val="en-US" w:eastAsia="zh-CN"/>
        </w:rPr>
        <w:t>新建5G基站3082座，中心城区实现连续覆盖，行政村4G网络有效覆盖率达到98%以上。</w:t>
      </w:r>
    </w:p>
    <w:p w14:paraId="0E7FFEBB">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lang w:eastAsia="zh-CN"/>
        </w:rPr>
      </w:pPr>
      <w:r>
        <w:rPr>
          <w:rFonts w:hint="eastAsia" w:ascii="Times New Roman" w:hAnsi="Times New Roman" w:eastAsia="仿宋_GB2312" w:cs="方正仿宋_GBK"/>
          <w:b w:val="0"/>
          <w:bCs w:val="0"/>
          <w:spacing w:val="-6"/>
          <w:sz w:val="32"/>
          <w:szCs w:val="40"/>
          <w:highlight w:val="none"/>
          <w:lang w:val="en-US" w:eastAsia="zh-CN"/>
        </w:rPr>
        <w:t>社会治理成效显著</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十四五</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以来，赤峰市着力推进国家治理体系和治理能力现代化，</w:t>
      </w:r>
      <w:r>
        <w:rPr>
          <w:rFonts w:hint="eastAsia" w:ascii="Times New Roman" w:hAnsi="Times New Roman" w:eastAsia="仿宋_GB2312" w:cs="方正仿宋_GBK"/>
          <w:b w:val="0"/>
          <w:bCs w:val="0"/>
          <w:spacing w:val="-6"/>
          <w:sz w:val="32"/>
          <w:szCs w:val="40"/>
          <w:highlight w:val="none"/>
        </w:rPr>
        <w:t>成立全区第一个盟市级见义勇为基金会并开展慰问救助活动</w:t>
      </w:r>
      <w:r>
        <w:rPr>
          <w:rFonts w:hint="eastAsia" w:ascii="Times New Roman" w:hAnsi="Times New Roman" w:eastAsia="仿宋_GB2312" w:cs="方正仿宋_GBK"/>
          <w:b w:val="0"/>
          <w:bCs w:val="0"/>
          <w:spacing w:val="-6"/>
          <w:sz w:val="32"/>
          <w:szCs w:val="40"/>
          <w:highlight w:val="none"/>
          <w:lang w:eastAsia="zh-CN"/>
        </w:rPr>
        <w:t>，建成了覆盖市、县、乡、村四级的退役军人服务保障体系</w:t>
      </w:r>
      <w:r>
        <w:rPr>
          <w:rFonts w:hint="eastAsia" w:ascii="Times New Roman" w:hAnsi="Times New Roman" w:eastAsia="仿宋_GB2312" w:cs="方正仿宋_GBK"/>
          <w:b w:val="0"/>
          <w:bCs w:val="0"/>
          <w:spacing w:val="-6"/>
          <w:sz w:val="32"/>
          <w:szCs w:val="40"/>
          <w:highlight w:val="none"/>
        </w:rPr>
        <w:t>。防灾减灾救灾工作有序推进，深入开展工矿</w:t>
      </w:r>
      <w:r>
        <w:rPr>
          <w:rFonts w:hint="eastAsia" w:ascii="Times New Roman" w:hAnsi="Times New Roman" w:eastAsia="仿宋_GB2312" w:cs="方正仿宋_GBK"/>
          <w:b w:val="0"/>
          <w:bCs w:val="0"/>
          <w:spacing w:val="-6"/>
          <w:sz w:val="32"/>
          <w:szCs w:val="40"/>
          <w:highlight w:val="none"/>
          <w:lang w:val="en-US" w:eastAsia="zh-CN"/>
        </w:rPr>
        <w:t>商贸</w:t>
      </w:r>
      <w:r>
        <w:rPr>
          <w:rFonts w:hint="eastAsia" w:ascii="Times New Roman" w:hAnsi="Times New Roman" w:eastAsia="仿宋_GB2312" w:cs="方正仿宋_GBK"/>
          <w:b w:val="0"/>
          <w:bCs w:val="0"/>
          <w:spacing w:val="-6"/>
          <w:sz w:val="32"/>
          <w:szCs w:val="40"/>
          <w:highlight w:val="none"/>
        </w:rPr>
        <w:t>企业、交通运输、城镇燃气、经营性自建房等行业领域和场所部位风险隐患</w:t>
      </w:r>
      <w:r>
        <w:rPr>
          <w:rFonts w:hint="eastAsia" w:ascii="Times New Roman" w:hAnsi="Times New Roman" w:eastAsia="仿宋_GB2312" w:cs="方正仿宋_GBK"/>
          <w:b w:val="0"/>
          <w:bCs w:val="0"/>
          <w:spacing w:val="-6"/>
          <w:sz w:val="32"/>
          <w:szCs w:val="40"/>
          <w:highlight w:val="none"/>
          <w:lang w:val="en-US" w:eastAsia="zh-CN"/>
        </w:rPr>
        <w:t>排查</w:t>
      </w:r>
      <w:r>
        <w:rPr>
          <w:rFonts w:hint="eastAsia" w:ascii="Times New Roman" w:hAnsi="Times New Roman" w:eastAsia="仿宋_GB2312" w:cs="方正仿宋_GBK"/>
          <w:b w:val="0"/>
          <w:bCs w:val="0"/>
          <w:spacing w:val="-6"/>
          <w:sz w:val="32"/>
          <w:szCs w:val="40"/>
          <w:highlight w:val="none"/>
        </w:rPr>
        <w:t>整治，排查发现问题全面清零。持续加强食药安全监管，落实食品安全</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两个责任</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，强化食品安全全链条监管。严密细致做好各领域风险防范化解工作，严厉打击各类违法犯罪活动，八类主要刑事案件和命案发案数实现“双下降”，社会治安持续向好。</w:t>
      </w:r>
    </w:p>
    <w:p w14:paraId="5B2FE2C0">
      <w:pPr>
        <w:keepNext w:val="0"/>
        <w:keepLines w:val="0"/>
        <w:pageBreakBefore w:val="0"/>
        <w:widowControl w:val="0"/>
        <w:shd w:val="clear" w:color="auto" w:fill="auto"/>
        <w:kinsoku/>
        <w:wordWrap/>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仿宋_GB2312" w:hAnsi="黑体" w:eastAsia="仿宋_GB2312" w:cs="Times New Roman"/>
          <w:b w:val="0"/>
          <w:bCs w:val="0"/>
          <w:color w:val="auto"/>
          <w:sz w:val="32"/>
          <w:szCs w:val="32"/>
          <w:highlight w:val="none"/>
          <w:u w:val="none" w:color="auto"/>
          <w:lang w:val="en-US" w:eastAsia="zh-CN"/>
        </w:rPr>
        <w:t>铸牢中华民族共同体意识走深走实。</w:t>
      </w:r>
      <w:r>
        <w:rPr>
          <w:rFonts w:hint="eastAsia" w:ascii="Times New Roman" w:hAnsi="Times New Roman" w:eastAsia="仿宋_GB2312" w:cs="方正仿宋_GBK"/>
          <w:b w:val="0"/>
          <w:bCs w:val="0"/>
          <w:spacing w:val="-6"/>
          <w:sz w:val="32"/>
          <w:szCs w:val="40"/>
          <w:highlight w:val="none"/>
        </w:rPr>
        <w:t>“十四五”以来，赤峰市</w:t>
      </w:r>
      <w:r>
        <w:rPr>
          <w:rFonts w:hint="eastAsia" w:ascii="Times New Roman" w:hAnsi="Times New Roman" w:eastAsia="仿宋_GB2312" w:cs="方正仿宋_GBK"/>
          <w:b w:val="0"/>
          <w:bCs w:val="0"/>
          <w:spacing w:val="-6"/>
          <w:sz w:val="32"/>
          <w:szCs w:val="40"/>
          <w:highlight w:val="none"/>
          <w:lang w:val="en-US" w:eastAsia="zh-CN"/>
        </w:rPr>
        <w:t>紧紧围绕铸牢中华民族共同体意识工作主线，</w:t>
      </w:r>
      <w:r>
        <w:rPr>
          <w:rFonts w:hint="eastAsia" w:ascii="仿宋_GB2312" w:hAnsi="黑体" w:eastAsia="仿宋_GB2312" w:cs="Times New Roman"/>
          <w:b w:val="0"/>
          <w:bCs w:val="0"/>
          <w:color w:val="auto"/>
          <w:sz w:val="32"/>
          <w:szCs w:val="32"/>
          <w:highlight w:val="none"/>
          <w:u w:val="none" w:color="auto"/>
          <w:lang w:val="en-US" w:eastAsia="zh-CN"/>
        </w:rPr>
        <w:t>“四个与共”、“五个认同”深入人心，“六句话的事实和道理”广泛认同</w:t>
      </w:r>
      <w:r>
        <w:rPr>
          <w:rFonts w:hint="eastAsia" w:ascii="Times New Roman" w:hAnsi="Times New Roman" w:eastAsia="仿宋_GB2312" w:cs="方正仿宋_GBK"/>
          <w:b w:val="0"/>
          <w:bCs w:val="0"/>
          <w:spacing w:val="-6"/>
          <w:sz w:val="32"/>
          <w:szCs w:val="40"/>
          <w:highlight w:val="none"/>
        </w:rPr>
        <w:t>。以民族团结进步示范市创建工作为抓手，全面开展民族团结进步宣传教育活动，大力宣传党的民族理论政策，推动民族理论政策入脑入心，成功获评第十一批全国民族团结进步示范</w:t>
      </w:r>
      <w:r>
        <w:rPr>
          <w:rFonts w:hint="eastAsia" w:ascii="Times New Roman" w:hAnsi="Times New Roman" w:eastAsia="仿宋_GB2312" w:cs="方正仿宋_GBK"/>
          <w:b w:val="0"/>
          <w:bCs w:val="0"/>
          <w:spacing w:val="-6"/>
          <w:sz w:val="32"/>
          <w:szCs w:val="40"/>
          <w:highlight w:val="none"/>
          <w:lang w:val="en-US" w:eastAsia="zh-CN"/>
        </w:rPr>
        <w:t>市</w:t>
      </w:r>
      <w:r>
        <w:rPr>
          <w:rFonts w:hint="eastAsia" w:ascii="Times New Roman" w:hAnsi="Times New Roman" w:eastAsia="仿宋_GB2312" w:cs="方正仿宋_GBK"/>
          <w:b w:val="0"/>
          <w:bCs w:val="0"/>
          <w:spacing w:val="-6"/>
          <w:sz w:val="32"/>
          <w:szCs w:val="40"/>
          <w:highlight w:val="none"/>
        </w:rPr>
        <w:t>称号。着力打造巴林右旗民族团结进步“一家亲”党建联合体模式，大力推广松山区临潢家园社区“城市民族综合服务体”工作模式，打造“城市乌兰牧骑”工作品牌和28个“城市民族工作示范社区”；积极构建</w:t>
      </w:r>
      <w:r>
        <w:rPr>
          <w:rFonts w:hint="eastAsia" w:ascii="Times New Roman" w:hAnsi="Times New Roman" w:eastAsia="仿宋_GB2312" w:cs="方正仿宋_GBK"/>
          <w:b w:val="0"/>
          <w:bCs w:val="0"/>
          <w:spacing w:val="-6"/>
          <w:sz w:val="32"/>
          <w:szCs w:val="40"/>
          <w:highlight w:val="none"/>
          <w:lang w:val="en-US" w:eastAsia="zh-CN"/>
        </w:rPr>
        <w:t>互嵌式</w:t>
      </w:r>
      <w:r>
        <w:rPr>
          <w:rFonts w:hint="eastAsia" w:ascii="Times New Roman" w:hAnsi="Times New Roman" w:eastAsia="仿宋_GB2312" w:cs="方正仿宋_GBK"/>
          <w:b w:val="0"/>
          <w:bCs w:val="0"/>
          <w:spacing w:val="-6"/>
          <w:sz w:val="32"/>
          <w:szCs w:val="40"/>
          <w:highlight w:val="none"/>
        </w:rPr>
        <w:t>社会结构与社区环境，促进全市各族群众和睦相处、和衷共济、和谐发展；着力提高创建工作覆盖率，坚持农区与牧区并重、南部与北部地区并重、农村与城市并重、机关事业单位与社会各行各业并重原则，全市创建工作覆盖率达98%以上，农村牧区创建工作覆盖率达100%。</w:t>
      </w:r>
    </w:p>
    <w:p w14:paraId="747BB0B1">
      <w:pPr>
        <w:keepNext w:val="0"/>
        <w:keepLines w:val="0"/>
        <w:pageBreakBefore w:val="0"/>
        <w:widowControl w:val="0"/>
        <w:shd w:val="clear" w:color="auto" w:fill="auto"/>
        <w:kinsoku/>
        <w:wordWrap/>
        <w:topLinePunct w:val="0"/>
        <w:autoSpaceDE/>
        <w:autoSpaceDN/>
        <w:bidi w:val="0"/>
        <w:adjustRightInd/>
        <w:snapToGrid/>
        <w:spacing w:line="560" w:lineRule="exact"/>
        <w:ind w:firstLine="640" w:firstLineChars="200"/>
        <w:textAlignment w:val="auto"/>
        <w:outlineLvl w:val="9"/>
        <w:rPr>
          <w:rFonts w:hint="eastAsia" w:ascii="仿宋_GB2312" w:hAnsi="黑体" w:eastAsia="仿宋_GB2312" w:cs="Times New Roman"/>
          <w:b w:val="0"/>
          <w:bCs w:val="0"/>
          <w:color w:val="auto"/>
          <w:sz w:val="32"/>
          <w:szCs w:val="32"/>
          <w:highlight w:val="none"/>
          <w:u w:val="none" w:color="auto"/>
          <w:lang w:val="en-US" w:eastAsia="zh-CN"/>
        </w:rPr>
      </w:pPr>
      <w:r>
        <w:rPr>
          <w:rFonts w:hint="eastAsia" w:ascii="仿宋_GB2312" w:hAnsi="黑体" w:eastAsia="仿宋_GB2312"/>
          <w:b w:val="0"/>
          <w:bCs w:val="0"/>
          <w:color w:val="auto"/>
          <w:sz w:val="32"/>
          <w:szCs w:val="32"/>
          <w:highlight w:val="none"/>
          <w:u w:val="none" w:color="auto"/>
          <w:lang w:val="en-US" w:eastAsia="zh-CN"/>
        </w:rPr>
        <w:t>党的建设全面加强</w:t>
      </w:r>
      <w:r>
        <w:rPr>
          <w:rFonts w:hint="eastAsia" w:ascii="仿宋_GB2312" w:hAnsi="黑体" w:eastAsia="仿宋_GB2312"/>
          <w:b w:val="0"/>
          <w:bCs w:val="0"/>
          <w:color w:val="auto"/>
          <w:sz w:val="32"/>
          <w:szCs w:val="32"/>
          <w:highlight w:val="none"/>
          <w:u w:val="none" w:color="auto"/>
          <w:lang w:eastAsia="zh-CN"/>
        </w:rPr>
        <w:t>。</w:t>
      </w:r>
      <w:r>
        <w:rPr>
          <w:rFonts w:hint="eastAsia" w:ascii="仿宋_GB2312" w:hAnsi="黑体" w:eastAsia="仿宋_GB2312"/>
          <w:b w:val="0"/>
          <w:bCs w:val="0"/>
          <w:color w:val="auto"/>
          <w:sz w:val="32"/>
          <w:szCs w:val="32"/>
          <w:highlight w:val="none"/>
          <w:u w:val="none" w:color="auto"/>
          <w:lang w:val="en-US" w:eastAsia="zh-CN"/>
        </w:rPr>
        <w:t>全面从严治党常抓不懈，</w:t>
      </w:r>
      <w:r>
        <w:rPr>
          <w:rFonts w:hint="eastAsia" w:ascii="仿宋_GB2312" w:hAnsi="黑体" w:eastAsia="仿宋_GB2312" w:cs="Times New Roman"/>
          <w:b w:val="0"/>
          <w:bCs w:val="0"/>
          <w:color w:val="auto"/>
          <w:sz w:val="32"/>
          <w:szCs w:val="32"/>
          <w:highlight w:val="none"/>
          <w:u w:val="none" w:color="auto"/>
          <w:lang w:val="en-US" w:eastAsia="zh-CN"/>
        </w:rPr>
        <w:t>党中央部署的学习教育、主题教育扎实开展，作风建设和反腐败斗争纵深推进，“思想大解放、工作大提速、经济大发展”活动成效显著，广大党员干部干事创业的精气神明显提振，全市上下抓发展、谋发展、促发展的氛围愈发浓厚。</w:t>
      </w:r>
    </w:p>
    <w:p w14:paraId="0754903F">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0" w:name="_Toc26689"/>
      <w:r>
        <w:rPr>
          <w:rFonts w:hint="eastAsia" w:ascii="黑体" w:hAnsi="黑体" w:eastAsia="黑体" w:cs="黑体"/>
          <w:b w:val="0"/>
          <w:bCs w:val="0"/>
          <w:sz w:val="32"/>
          <w:szCs w:val="32"/>
          <w:highlight w:val="none"/>
          <w:lang w:val="en-US" w:eastAsia="zh-CN"/>
        </w:rPr>
        <w:t>面临形势</w:t>
      </w:r>
      <w:bookmarkEnd w:id="30"/>
    </w:p>
    <w:p w14:paraId="2C2C2EA1">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highlight w:val="none"/>
          <w:lang w:val="en-US" w:eastAsia="zh-CN"/>
        </w:rPr>
        <w:t>“十五五”时期是我国基本实现社会主义现代化夯实基础、全面发力的关键时期，在基本实现社会主义现代化进程中具有承前启后的重要地位</w:t>
      </w:r>
      <w:r>
        <w:rPr>
          <w:rFonts w:hint="eastAsia" w:ascii="Times New Roman" w:hAnsi="Times New Roman" w:eastAsia="仿宋_GB2312" w:cs="方正仿宋_GBK"/>
          <w:b w:val="0"/>
          <w:bCs w:val="0"/>
          <w:highlight w:val="none"/>
        </w:rPr>
        <w:t>，赤峰市</w:t>
      </w:r>
      <w:r>
        <w:rPr>
          <w:rFonts w:hint="eastAsia" w:ascii="Times New Roman" w:hAnsi="Times New Roman" w:eastAsia="仿宋_GB2312" w:cs="方正仿宋_GBK"/>
          <w:b w:val="0"/>
          <w:bCs w:val="0"/>
          <w:highlight w:val="none"/>
          <w:lang w:val="en-US" w:eastAsia="zh-CN"/>
        </w:rPr>
        <w:t>面临的</w:t>
      </w:r>
      <w:r>
        <w:rPr>
          <w:rFonts w:hint="eastAsia" w:ascii="Times New Roman" w:hAnsi="Times New Roman" w:eastAsia="仿宋_GB2312" w:cs="方正仿宋_GBK"/>
          <w:b w:val="0"/>
          <w:bCs w:val="0"/>
          <w:highlight w:val="none"/>
        </w:rPr>
        <w:t>发展环境</w:t>
      </w:r>
      <w:r>
        <w:rPr>
          <w:rFonts w:hint="eastAsia" w:ascii="Times New Roman" w:hAnsi="Times New Roman" w:eastAsia="仿宋_GB2312" w:cs="方正仿宋_GBK"/>
          <w:b w:val="0"/>
          <w:bCs w:val="0"/>
          <w:highlight w:val="none"/>
          <w:lang w:val="en-US" w:eastAsia="zh-CN"/>
        </w:rPr>
        <w:t>发生了</w:t>
      </w:r>
      <w:r>
        <w:rPr>
          <w:rFonts w:hint="eastAsia" w:ascii="Times New Roman" w:hAnsi="Times New Roman" w:eastAsia="仿宋_GB2312" w:cs="方正仿宋_GBK"/>
          <w:b w:val="0"/>
          <w:bCs w:val="0"/>
          <w:highlight w:val="none"/>
        </w:rPr>
        <w:t>深刻复杂</w:t>
      </w:r>
      <w:r>
        <w:rPr>
          <w:rFonts w:hint="eastAsia" w:ascii="Times New Roman" w:hAnsi="Times New Roman" w:eastAsia="仿宋_GB2312" w:cs="方正仿宋_GBK"/>
          <w:b w:val="0"/>
          <w:bCs w:val="0"/>
          <w:highlight w:val="none"/>
          <w:lang w:val="en-US" w:eastAsia="zh-CN"/>
        </w:rPr>
        <w:t>的</w:t>
      </w:r>
      <w:r>
        <w:rPr>
          <w:rFonts w:hint="eastAsia" w:ascii="Times New Roman" w:hAnsi="Times New Roman" w:eastAsia="仿宋_GB2312" w:cs="方正仿宋_GBK"/>
          <w:b w:val="0"/>
          <w:bCs w:val="0"/>
          <w:highlight w:val="none"/>
        </w:rPr>
        <w:t>变化，必须准确把握新发展阶段，深入贯彻新发展理念，加快构建新发展格局，努力在推进中国式现代化建设中展现赤峰担当、作出赤峰贡献。</w:t>
      </w:r>
    </w:p>
    <w:p w14:paraId="0AF12793">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highlight w:val="none"/>
        </w:rPr>
        <w:t>从国家</w:t>
      </w:r>
      <w:r>
        <w:rPr>
          <w:rFonts w:hint="eastAsia" w:ascii="Times New Roman" w:hAnsi="Times New Roman" w:eastAsia="仿宋_GB2312" w:cs="方正仿宋_GBK"/>
          <w:b w:val="0"/>
          <w:bCs w:val="0"/>
          <w:highlight w:val="none"/>
          <w:lang w:val="en-US" w:eastAsia="zh-CN"/>
        </w:rPr>
        <w:t>层面</w:t>
      </w:r>
      <w:r>
        <w:rPr>
          <w:rFonts w:hint="eastAsia" w:ascii="Times New Roman" w:hAnsi="Times New Roman" w:eastAsia="仿宋_GB2312" w:cs="方正仿宋_GBK"/>
          <w:b w:val="0"/>
          <w:bCs w:val="0"/>
          <w:highlight w:val="none"/>
        </w:rPr>
        <w:t>看</w:t>
      </w:r>
      <w:r>
        <w:rPr>
          <w:rFonts w:hint="eastAsia" w:ascii="Times New Roman" w:hAnsi="Times New Roman" w:eastAsia="仿宋_GB2312" w:cs="方正仿宋_GBK"/>
          <w:b w:val="0"/>
          <w:bCs w:val="0"/>
          <w:highlight w:val="none"/>
          <w:lang w:eastAsia="zh-CN"/>
        </w:rPr>
        <w:t>：</w:t>
      </w:r>
      <w:r>
        <w:rPr>
          <w:rFonts w:hint="eastAsia" w:ascii="仿宋_GB2312" w:hAnsi="仿宋_GB2312" w:eastAsia="仿宋_GB2312" w:cs="仿宋_GB2312"/>
          <w:b w:val="0"/>
          <w:bCs w:val="0"/>
          <w:kern w:val="0"/>
          <w:sz w:val="32"/>
          <w:szCs w:val="32"/>
          <w:highlight w:val="none"/>
          <w:lang w:val="en-US" w:eastAsia="zh-CN" w:bidi="ar"/>
        </w:rPr>
        <w:t>我国经济基础稳、优势多、韧性强、潜能大，长期向好的支撑条件和基本趋势没有变，中国特色社会主义制度优势、超大规模市场优势、完整产业体系优势、丰富人才资源优势更加彰显。</w:t>
      </w:r>
      <w:r>
        <w:rPr>
          <w:rFonts w:hint="eastAsia" w:ascii="Times New Roman" w:hAnsi="Times New Roman" w:eastAsia="仿宋_GB2312" w:cs="方正仿宋_GBK"/>
          <w:b w:val="0"/>
          <w:bCs w:val="0"/>
          <w:highlight w:val="none"/>
          <w:lang w:val="en-US" w:eastAsia="zh-CN"/>
        </w:rPr>
        <w:t>党</w:t>
      </w:r>
      <w:r>
        <w:rPr>
          <w:rFonts w:hint="eastAsia" w:ascii="Times New Roman" w:hAnsi="Times New Roman" w:eastAsia="仿宋_GB2312" w:cs="方正仿宋_GBK"/>
          <w:b w:val="0"/>
          <w:bCs w:val="0"/>
          <w:highlight w:val="none"/>
        </w:rPr>
        <w:t>的二十大系统阐释了中国式现代化的中国特色，明确提出了推进中国式现代化建设必须牢牢把握的重大原则，是引领我国现代化发展方向的行动指南和根本遵循。2023年6月，习近平总书记再次亲临内蒙古考察，这是全区各族人民政治生活中的一件大事，是自治区改革发展进程中的又一重要里程碑。要紧紧抓住习近平总书记考察内蒙古带来的宝贵发展机遇，深刻领会习近平总书记和党中央对内蒙古的战略定位，牢记嘱托、感恩奋进，深刻领会习近平总书记关于铸牢中华民族共同体意识、继续建设好“模范自治区”的重要指示，在新时代继续保持“模范自治区”的崇高荣誉。国家重大战略和政策机遇叠加为赤峰加速赶超提供了有力支撑，加快推进新时代东北全面振兴</w:t>
      </w:r>
      <w:r>
        <w:rPr>
          <w:rFonts w:hint="eastAsia" w:ascii="Times New Roman" w:hAnsi="Times New Roman" w:eastAsia="仿宋_GB2312" w:cs="方正仿宋_GBK"/>
          <w:b w:val="0"/>
          <w:bCs w:val="0"/>
          <w:highlight w:val="none"/>
          <w:lang w:eastAsia="zh-CN"/>
        </w:rPr>
        <w:t>、</w:t>
      </w:r>
      <w:r>
        <w:rPr>
          <w:rFonts w:hint="eastAsia" w:eastAsia="仿宋_GB2312" w:cs="方正仿宋_GBK"/>
          <w:b w:val="0"/>
          <w:bCs w:val="0"/>
          <w:highlight w:val="none"/>
          <w:lang w:val="en-US" w:eastAsia="zh-CN"/>
        </w:rPr>
        <w:t>深入推进</w:t>
      </w:r>
      <w:r>
        <w:rPr>
          <w:rFonts w:hint="eastAsia" w:ascii="Times New Roman" w:hAnsi="Times New Roman" w:eastAsia="仿宋_GB2312" w:cs="方正仿宋_GBK"/>
          <w:b w:val="0"/>
          <w:bCs w:val="0"/>
          <w:highlight w:val="none"/>
        </w:rPr>
        <w:t>京津冀协同发展、</w:t>
      </w:r>
      <w:r>
        <w:rPr>
          <w:rFonts w:hint="eastAsia" w:eastAsia="仿宋_GB2312" w:cs="方正仿宋_GBK"/>
          <w:b w:val="0"/>
          <w:bCs w:val="0"/>
          <w:highlight w:val="none"/>
          <w:lang w:val="en-US" w:eastAsia="zh-CN"/>
        </w:rPr>
        <w:t>推动</w:t>
      </w:r>
      <w:r>
        <w:rPr>
          <w:rFonts w:hint="eastAsia" w:ascii="Times New Roman" w:hAnsi="Times New Roman" w:eastAsia="仿宋_GB2312" w:cs="方正仿宋_GBK"/>
          <w:b w:val="0"/>
          <w:bCs w:val="0"/>
          <w:highlight w:val="none"/>
        </w:rPr>
        <w:t>西部大开发形成新格局等重大战略为赤峰市加快承接产业转移、推动区域互联互通、吸引优质资源等提供了广阔市场和平台。此外，国家大力实施“两重”</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“两新”</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“双碳”等重大战略决策，为赤峰市加快重大基础设施建设、提升产业链供应链安全水平、激发消费活力和投资潜力等带来极大助力。</w:t>
      </w:r>
      <w:r>
        <w:rPr>
          <w:rFonts w:hint="eastAsia" w:ascii="Times New Roman" w:hAnsi="Times New Roman" w:eastAsia="仿宋_GB2312" w:cs="方正仿宋_GBK"/>
          <w:b w:val="0"/>
          <w:bCs w:val="0"/>
          <w:highlight w:val="none"/>
          <w:lang w:val="en-US" w:eastAsia="zh-CN"/>
        </w:rPr>
        <w:t>国务院《关于推动内蒙古高质量发展奋力书写中国式现代化新篇章的意见》牢牢把握习近平总书记赋予内蒙古的战略定位，紧扣支持内蒙古建设“两个屏障”</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“两个基地”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“一个桥头堡”的</w:t>
      </w:r>
      <w:r>
        <w:rPr>
          <w:rFonts w:hint="eastAsia" w:eastAsia="仿宋_GB2312" w:cs="方正仿宋_GBK"/>
          <w:b w:val="0"/>
          <w:bCs w:val="0"/>
          <w:highlight w:val="none"/>
          <w:lang w:val="en-US" w:eastAsia="zh-CN"/>
        </w:rPr>
        <w:t>五大战略定位</w:t>
      </w:r>
      <w:r>
        <w:rPr>
          <w:rFonts w:hint="eastAsia" w:ascii="Times New Roman" w:hAnsi="Times New Roman" w:eastAsia="仿宋_GB2312" w:cs="方正仿宋_GBK"/>
          <w:b w:val="0"/>
          <w:bCs w:val="0"/>
          <w:highlight w:val="none"/>
          <w:lang w:val="en-US" w:eastAsia="zh-CN"/>
        </w:rPr>
        <w:t>和使命任务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提出了推动高质量发展的总体要求、主要任务和保障措施，明确了闯新路、进中游的时间表和路线图，其中，明确给予赤峰支持的事项有4项、细分事项66项，是指导赤峰市“十五五”乃至更长时期经济社会发展的纲领性文件。</w:t>
      </w:r>
    </w:p>
    <w:p w14:paraId="320EDA66">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highlight w:val="none"/>
          <w:lang w:val="en-US" w:eastAsia="zh-CN"/>
        </w:rPr>
        <w:t>从自治区层面看：自治区高度重视蒙东地区发展，提出了加快蒙东五盟市振兴发展步伐的目标要求，并出台了振兴蒙东的措施，从生态价值转化、农牧业</w:t>
      </w:r>
      <w:r>
        <w:rPr>
          <w:rFonts w:hint="eastAsia" w:eastAsia="仿宋_GB2312" w:cs="方正仿宋_GBK"/>
          <w:b w:val="0"/>
          <w:bCs w:val="0"/>
          <w:highlight w:val="none"/>
          <w:lang w:val="en-US" w:eastAsia="zh-CN"/>
        </w:rPr>
        <w:t>发展</w:t>
      </w:r>
      <w:r>
        <w:rPr>
          <w:rFonts w:hint="eastAsia" w:ascii="Times New Roman" w:hAnsi="Times New Roman" w:eastAsia="仿宋_GB2312" w:cs="方正仿宋_GBK"/>
          <w:b w:val="0"/>
          <w:bCs w:val="0"/>
          <w:highlight w:val="none"/>
          <w:lang w:val="en-US" w:eastAsia="zh-CN"/>
        </w:rPr>
        <w:t>、现代能源经济</w:t>
      </w:r>
      <w:r>
        <w:rPr>
          <w:rFonts w:hint="eastAsia" w:eastAsia="仿宋_GB2312" w:cs="方正仿宋_GBK"/>
          <w:b w:val="0"/>
          <w:bCs w:val="0"/>
          <w:highlight w:val="none"/>
          <w:lang w:val="en-US" w:eastAsia="zh-CN"/>
        </w:rPr>
        <w:t>发展</w:t>
      </w:r>
      <w:r>
        <w:rPr>
          <w:rFonts w:hint="eastAsia" w:ascii="Times New Roman" w:hAnsi="Times New Roman" w:eastAsia="仿宋_GB2312" w:cs="方正仿宋_GBK"/>
          <w:b w:val="0"/>
          <w:bCs w:val="0"/>
          <w:highlight w:val="none"/>
          <w:lang w:val="en-US" w:eastAsia="zh-CN"/>
        </w:rPr>
        <w:t>、特色工业</w:t>
      </w:r>
      <w:r>
        <w:rPr>
          <w:rFonts w:hint="eastAsia" w:eastAsia="仿宋_GB2312" w:cs="方正仿宋_GBK"/>
          <w:b w:val="0"/>
          <w:bCs w:val="0"/>
          <w:highlight w:val="none"/>
          <w:lang w:val="en-US" w:eastAsia="zh-CN"/>
        </w:rPr>
        <w:t>培育</w:t>
      </w:r>
      <w:r>
        <w:rPr>
          <w:rFonts w:hint="eastAsia" w:ascii="Times New Roman" w:hAnsi="Times New Roman" w:eastAsia="仿宋_GB2312" w:cs="方正仿宋_GBK"/>
          <w:b w:val="0"/>
          <w:bCs w:val="0"/>
          <w:highlight w:val="none"/>
          <w:lang w:val="en-US" w:eastAsia="zh-CN"/>
        </w:rPr>
        <w:t>、对外开放、民生改善和社会事业、干部队伍</w:t>
      </w:r>
      <w:r>
        <w:rPr>
          <w:rFonts w:hint="eastAsia" w:eastAsia="仿宋_GB2312" w:cs="方正仿宋_GBK"/>
          <w:b w:val="0"/>
          <w:bCs w:val="0"/>
          <w:highlight w:val="none"/>
          <w:lang w:val="en-US" w:eastAsia="zh-CN"/>
        </w:rPr>
        <w:t>建设</w:t>
      </w:r>
      <w:r>
        <w:rPr>
          <w:rFonts w:hint="eastAsia" w:ascii="Times New Roman" w:hAnsi="Times New Roman" w:eastAsia="仿宋_GB2312" w:cs="方正仿宋_GBK"/>
          <w:b w:val="0"/>
          <w:bCs w:val="0"/>
          <w:highlight w:val="none"/>
          <w:lang w:val="en-US" w:eastAsia="zh-CN"/>
        </w:rPr>
        <w:t>等七个方面提出了具体要求和支持举措，为蒙东地区振兴发展提出了明确的方向和有力的支持。自治区高度重视赤峰在蒙东地区的重要战略地位，多次提出支持赤峰市建设区域性中心城市，并强调赤峰市要“提振精神、鼓足心劲，在苦干实干中重振雄风”</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赤峰要当好领头羊，率先跑出振兴发展的加速度”，为赤峰市争取政策支持、推动高质量发展提供了机遇。此外，赤峰市被国家、自治区分别列为“内蒙古松辽清洁能源基地”和“蒙东氢能综合生产应用基地重要节点城市”，为赤峰市发展清洁能源和氢能产业提供了机遇。“十五五”时期，赤峰市将继续发挥区位、政策、资源、产业等综合优势，推动经济社会高质量发展迈上更高台阶。</w:t>
      </w:r>
    </w:p>
    <w:p w14:paraId="575AA6E1">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rPr>
      </w:pPr>
      <w:r>
        <w:rPr>
          <w:rFonts w:hint="eastAsia" w:eastAsia="仿宋_GB2312" w:cs="方正仿宋_GBK"/>
          <w:b w:val="0"/>
          <w:bCs w:val="0"/>
          <w:highlight w:val="none"/>
          <w:lang w:val="en-US" w:eastAsia="zh-CN"/>
        </w:rPr>
        <w:t>从赤峰市层面看：</w:t>
      </w:r>
      <w:r>
        <w:rPr>
          <w:rFonts w:hint="eastAsia" w:ascii="Times New Roman" w:hAnsi="Times New Roman" w:eastAsia="仿宋_GB2312" w:cs="方正仿宋_GBK"/>
          <w:b w:val="0"/>
          <w:bCs w:val="0"/>
          <w:highlight w:val="none"/>
        </w:rPr>
        <w:t>“十五五”时期，</w:t>
      </w:r>
      <w:r>
        <w:rPr>
          <w:rFonts w:hint="eastAsia" w:ascii="Times New Roman" w:hAnsi="Times New Roman" w:eastAsia="仿宋_GB2312" w:cs="方正仿宋_GBK"/>
          <w:b w:val="0"/>
          <w:bCs w:val="0"/>
          <w:highlight w:val="none"/>
          <w:lang w:val="en-US" w:eastAsia="zh-CN"/>
        </w:rPr>
        <w:t>赤峰市</w:t>
      </w:r>
      <w:r>
        <w:rPr>
          <w:rFonts w:hint="eastAsia" w:eastAsia="仿宋_GB2312" w:cs="方正仿宋_GBK"/>
          <w:b w:val="0"/>
          <w:bCs w:val="0"/>
          <w:highlight w:val="none"/>
          <w:lang w:val="en-US" w:eastAsia="zh-CN"/>
        </w:rPr>
        <w:t>处于</w:t>
      </w:r>
      <w:r>
        <w:rPr>
          <w:rFonts w:hint="eastAsia" w:ascii="Times New Roman" w:hAnsi="Times New Roman" w:eastAsia="仿宋_GB2312" w:cs="方正仿宋_GBK"/>
          <w:b w:val="0"/>
          <w:bCs w:val="0"/>
          <w:highlight w:val="none"/>
          <w:lang w:val="en-US" w:eastAsia="zh-CN"/>
        </w:rPr>
        <w:t>高质量发展爬坡过坎的战略攻坚期、综合实力积厚成势的关键跃升期、补齐发展不平衡不充分特别是发展不充分短板的历史窗口期，也是大有可为、大有作为的重要战略机遇期。推动现代化赤峰建设，有“天时”的外部环境：习近平总书记高度重视内蒙古工作，为推动赤峰高质量发展注入了不竭动力；</w:t>
      </w:r>
      <w:r>
        <w:rPr>
          <w:rFonts w:hint="eastAsia" w:eastAsia="仿宋_GB2312" w:cs="方正仿宋_GBK"/>
          <w:b w:val="0"/>
          <w:bCs w:val="0"/>
          <w:highlight w:val="none"/>
          <w:lang w:val="en-US" w:eastAsia="zh-CN"/>
        </w:rPr>
        <w:t>高质量共建</w:t>
      </w:r>
      <w:r>
        <w:rPr>
          <w:rFonts w:hint="eastAsia" w:ascii="Times New Roman" w:hAnsi="Times New Roman" w:eastAsia="仿宋_GB2312" w:cs="方正仿宋_GBK"/>
          <w:b w:val="0"/>
          <w:bCs w:val="0"/>
          <w:highlight w:val="none"/>
          <w:lang w:val="en-US" w:eastAsia="zh-CN"/>
        </w:rPr>
        <w:t>“一带一路”</w:t>
      </w:r>
      <w:r>
        <w:rPr>
          <w:rFonts w:hint="eastAsia" w:eastAsia="仿宋_GB2312" w:cs="方正仿宋_GBK"/>
          <w:b w:val="0"/>
          <w:bCs w:val="0"/>
          <w:highlight w:val="none"/>
          <w:lang w:val="en-US" w:eastAsia="zh-CN"/>
        </w:rPr>
        <w:t>、西部大开发、东北全面振兴</w:t>
      </w:r>
      <w:r>
        <w:rPr>
          <w:rFonts w:hint="eastAsia" w:ascii="Times New Roman" w:hAnsi="Times New Roman" w:eastAsia="仿宋_GB2312" w:cs="方正仿宋_GBK"/>
          <w:b w:val="0"/>
          <w:bCs w:val="0"/>
          <w:highlight w:val="none"/>
          <w:lang w:val="en-US" w:eastAsia="zh-CN"/>
        </w:rPr>
        <w:t>、京津冀协同发展、国务院支持内蒙古高质量发展、自治区加快蒙东振兴发展等重大战略政策为赤峰市高质量发展提供了重要机遇。也有“地利”的现实基础：赤峰市是首都经济圈和环渤海经济圈的重要节点城市，拥有赤喀高铁等深度融入京津冀的便捷通道，玉龙机场是我们扩大对外开放的重要门户，有色金属、风电、光伏、文化、旅游、农牧等资源优势显著，实现大发展、快发展</w:t>
      </w:r>
      <w:r>
        <w:rPr>
          <w:rFonts w:hint="eastAsia" w:eastAsia="仿宋_GB2312" w:cs="方正仿宋_GBK"/>
          <w:b w:val="0"/>
          <w:bCs w:val="0"/>
          <w:highlight w:val="none"/>
          <w:lang w:val="en-US" w:eastAsia="zh-CN"/>
        </w:rPr>
        <w:t>具有坚实</w:t>
      </w:r>
      <w:r>
        <w:rPr>
          <w:rFonts w:hint="eastAsia" w:ascii="Times New Roman" w:hAnsi="Times New Roman" w:eastAsia="仿宋_GB2312" w:cs="方正仿宋_GBK"/>
          <w:b w:val="0"/>
          <w:bCs w:val="0"/>
          <w:highlight w:val="none"/>
          <w:lang w:val="en-US" w:eastAsia="zh-CN"/>
        </w:rPr>
        <w:t>的基础。更有“人和”的浓厚氛围：赤峰</w:t>
      </w:r>
      <w:r>
        <w:rPr>
          <w:rFonts w:hint="eastAsia" w:eastAsia="仿宋_GB2312" w:cs="方正仿宋_GBK"/>
          <w:b w:val="0"/>
          <w:bCs w:val="0"/>
          <w:highlight w:val="none"/>
          <w:lang w:val="en-US" w:eastAsia="zh-CN"/>
        </w:rPr>
        <w:t>市</w:t>
      </w:r>
      <w:r>
        <w:rPr>
          <w:rFonts w:hint="eastAsia" w:ascii="Times New Roman" w:hAnsi="Times New Roman" w:eastAsia="仿宋_GB2312" w:cs="方正仿宋_GBK"/>
          <w:b w:val="0"/>
          <w:bCs w:val="0"/>
          <w:highlight w:val="none"/>
          <w:lang w:val="en-US" w:eastAsia="zh-CN"/>
        </w:rPr>
        <w:t>是自治区人口第一大市，为我们提供了庞大的消费市场和充足的人力资源；崇文重教的历史使得全市基础教育一直走在全区前列，培育了一大批优秀学子，区内外各行业、海内外各领域都活跃着关心家乡、情系桑梓的优秀赤子，是我们增进合作、推动发展的宝贵资源。</w:t>
      </w:r>
    </w:p>
    <w:p w14:paraId="75B46955">
      <w:pPr>
        <w:pStyle w:val="2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黑体" w:eastAsia="仿宋_GB2312" w:cs="Times New Roman"/>
          <w:b w:val="0"/>
          <w:bCs w:val="0"/>
          <w:color w:val="auto"/>
          <w:spacing w:val="-6"/>
          <w:kern w:val="2"/>
          <w:sz w:val="32"/>
          <w:szCs w:val="32"/>
          <w:highlight w:val="none"/>
          <w:u w:val="none" w:color="auto"/>
          <w:lang w:val="en-US" w:eastAsia="zh-CN" w:bidi="ar-SA"/>
        </w:rPr>
      </w:pPr>
      <w:r>
        <w:rPr>
          <w:rFonts w:hint="eastAsia" w:ascii="仿宋_GB2312" w:hAnsi="黑体" w:eastAsia="仿宋_GB2312" w:cs="Times New Roman"/>
          <w:b w:val="0"/>
          <w:bCs w:val="0"/>
          <w:color w:val="auto"/>
          <w:kern w:val="2"/>
          <w:sz w:val="32"/>
          <w:szCs w:val="32"/>
          <w:highlight w:val="none"/>
          <w:u w:val="none" w:color="auto"/>
          <w:lang w:val="en-US" w:eastAsia="zh-CN" w:bidi="ar-SA"/>
        </w:rPr>
        <w:t>同时，要清醒看到，赤峰市欠发达的基本市情没有变，经济总量不大、人均水平相对较低，产业结构不优、工业经济支撑不强，</w:t>
      </w:r>
      <w:r>
        <w:rPr>
          <w:rFonts w:hint="default" w:ascii="仿宋_GB2312" w:hAnsi="黑体" w:eastAsia="仿宋_GB2312" w:cs="Times New Roman"/>
          <w:b w:val="0"/>
          <w:bCs w:val="0"/>
          <w:color w:val="auto"/>
          <w:kern w:val="2"/>
          <w:sz w:val="32"/>
          <w:szCs w:val="32"/>
          <w:highlight w:val="none"/>
          <w:u w:val="none" w:color="auto"/>
          <w:lang w:val="en-US" w:eastAsia="zh-CN" w:bidi="ar-SA"/>
        </w:rPr>
        <w:t>科技</w:t>
      </w:r>
      <w:r>
        <w:rPr>
          <w:rFonts w:hint="eastAsia" w:ascii="仿宋_GB2312" w:hAnsi="黑体" w:eastAsia="仿宋_GB2312" w:cs="Times New Roman"/>
          <w:b w:val="0"/>
          <w:bCs w:val="0"/>
          <w:color w:val="auto"/>
          <w:kern w:val="2"/>
          <w:sz w:val="32"/>
          <w:szCs w:val="32"/>
          <w:highlight w:val="none"/>
          <w:u w:val="none" w:color="auto"/>
          <w:lang w:val="en-US" w:eastAsia="zh-CN" w:bidi="ar-SA"/>
        </w:rPr>
        <w:t>创新</w:t>
      </w:r>
      <w:r>
        <w:rPr>
          <w:rFonts w:hint="default" w:ascii="仿宋_GB2312" w:hAnsi="黑体" w:eastAsia="仿宋_GB2312" w:cs="Times New Roman"/>
          <w:b w:val="0"/>
          <w:bCs w:val="0"/>
          <w:color w:val="auto"/>
          <w:kern w:val="2"/>
          <w:sz w:val="32"/>
          <w:szCs w:val="32"/>
          <w:highlight w:val="none"/>
          <w:u w:val="none" w:color="auto"/>
          <w:lang w:val="en-US" w:eastAsia="zh-CN" w:bidi="ar-SA"/>
        </w:rPr>
        <w:t>能力弱</w:t>
      </w:r>
      <w:r>
        <w:rPr>
          <w:rFonts w:hint="eastAsia" w:ascii="仿宋_GB2312" w:hAnsi="黑体" w:eastAsia="仿宋_GB2312" w:cs="Times New Roman"/>
          <w:b w:val="0"/>
          <w:bCs w:val="0"/>
          <w:color w:val="auto"/>
          <w:kern w:val="2"/>
          <w:sz w:val="32"/>
          <w:szCs w:val="32"/>
          <w:highlight w:val="none"/>
          <w:u w:val="none" w:color="auto"/>
          <w:lang w:val="en-US" w:eastAsia="zh-CN" w:bidi="ar-SA"/>
        </w:rPr>
        <w:t>、科技应用不足</w:t>
      </w:r>
      <w:r>
        <w:rPr>
          <w:rFonts w:hint="default" w:ascii="仿宋_GB2312" w:hAnsi="黑体" w:eastAsia="仿宋_GB2312" w:cs="Times New Roman"/>
          <w:b w:val="0"/>
          <w:bCs w:val="0"/>
          <w:color w:val="auto"/>
          <w:kern w:val="2"/>
          <w:sz w:val="32"/>
          <w:szCs w:val="32"/>
          <w:highlight w:val="none"/>
          <w:u w:val="none" w:color="auto"/>
          <w:lang w:val="en-US" w:eastAsia="zh-CN" w:bidi="ar-SA"/>
        </w:rPr>
        <w:t>，城乡区域发展差距较大</w:t>
      </w:r>
      <w:r>
        <w:rPr>
          <w:rFonts w:hint="eastAsia" w:ascii="仿宋_GB2312" w:hAnsi="黑体" w:eastAsia="仿宋_GB2312" w:cs="Times New Roman"/>
          <w:b w:val="0"/>
          <w:bCs w:val="0"/>
          <w:color w:val="auto"/>
          <w:kern w:val="2"/>
          <w:sz w:val="32"/>
          <w:szCs w:val="32"/>
          <w:highlight w:val="none"/>
          <w:u w:val="none" w:color="auto"/>
          <w:lang w:val="en-US" w:eastAsia="zh-CN" w:bidi="ar-SA"/>
        </w:rPr>
        <w:t>、居民收入水平不高</w:t>
      </w:r>
      <w:r>
        <w:rPr>
          <w:rFonts w:hint="default" w:ascii="仿宋_GB2312" w:hAnsi="黑体" w:eastAsia="仿宋_GB2312" w:cs="Times New Roman"/>
          <w:b w:val="0"/>
          <w:bCs w:val="0"/>
          <w:color w:val="auto"/>
          <w:kern w:val="2"/>
          <w:sz w:val="32"/>
          <w:szCs w:val="32"/>
          <w:highlight w:val="none"/>
          <w:u w:val="none" w:color="auto"/>
          <w:lang w:val="en-US" w:eastAsia="zh-CN" w:bidi="ar-SA"/>
        </w:rPr>
        <w:t>，</w:t>
      </w:r>
      <w:r>
        <w:rPr>
          <w:rFonts w:hint="eastAsia" w:ascii="仿宋_GB2312" w:hAnsi="黑体" w:eastAsia="仿宋_GB2312" w:cs="Times New Roman"/>
          <w:b w:val="0"/>
          <w:bCs w:val="0"/>
          <w:color w:val="auto"/>
          <w:kern w:val="2"/>
          <w:sz w:val="32"/>
          <w:szCs w:val="32"/>
          <w:highlight w:val="none"/>
          <w:u w:val="none" w:color="auto"/>
          <w:lang w:val="en-US" w:eastAsia="zh-CN" w:bidi="ar-SA"/>
        </w:rPr>
        <w:t>人口持续流失，</w:t>
      </w:r>
      <w:r>
        <w:rPr>
          <w:rFonts w:hint="default" w:ascii="仿宋_GB2312" w:hAnsi="黑体" w:eastAsia="仿宋_GB2312" w:cs="Times New Roman"/>
          <w:b w:val="0"/>
          <w:bCs w:val="0"/>
          <w:color w:val="auto"/>
          <w:kern w:val="2"/>
          <w:sz w:val="32"/>
          <w:szCs w:val="32"/>
          <w:highlight w:val="none"/>
          <w:u w:val="none" w:color="auto"/>
          <w:lang w:val="en-US" w:eastAsia="zh-CN" w:bidi="ar-SA"/>
        </w:rPr>
        <w:t>基础设施</w:t>
      </w:r>
      <w:r>
        <w:rPr>
          <w:rFonts w:hint="eastAsia" w:ascii="仿宋_GB2312" w:hAnsi="黑体" w:eastAsia="仿宋_GB2312" w:cs="Times New Roman"/>
          <w:b w:val="0"/>
          <w:bCs w:val="0"/>
          <w:color w:val="auto"/>
          <w:kern w:val="2"/>
          <w:sz w:val="32"/>
          <w:szCs w:val="32"/>
          <w:highlight w:val="none"/>
          <w:u w:val="none" w:color="auto"/>
          <w:lang w:val="en-US" w:eastAsia="zh-CN" w:bidi="ar-SA"/>
        </w:rPr>
        <w:t>建设存在短板</w:t>
      </w:r>
      <w:r>
        <w:rPr>
          <w:rFonts w:hint="default" w:ascii="仿宋_GB2312" w:hAnsi="黑体" w:eastAsia="仿宋_GB2312" w:cs="Times New Roman"/>
          <w:b w:val="0"/>
          <w:bCs w:val="0"/>
          <w:color w:val="auto"/>
          <w:kern w:val="2"/>
          <w:sz w:val="32"/>
          <w:szCs w:val="32"/>
          <w:highlight w:val="none"/>
          <w:u w:val="none" w:color="auto"/>
          <w:lang w:val="en-US" w:eastAsia="zh-CN" w:bidi="ar-SA"/>
        </w:rPr>
        <w:t>，生态</w:t>
      </w:r>
      <w:r>
        <w:rPr>
          <w:rFonts w:hint="eastAsia" w:ascii="仿宋_GB2312" w:hAnsi="黑体" w:eastAsia="仿宋_GB2312" w:cs="Times New Roman"/>
          <w:b w:val="0"/>
          <w:bCs w:val="0"/>
          <w:color w:val="auto"/>
          <w:kern w:val="2"/>
          <w:sz w:val="32"/>
          <w:szCs w:val="32"/>
          <w:highlight w:val="none"/>
          <w:u w:val="none" w:color="auto"/>
          <w:lang w:val="en-US" w:eastAsia="zh-CN" w:bidi="ar-SA"/>
        </w:rPr>
        <w:t>修复</w:t>
      </w:r>
      <w:r>
        <w:rPr>
          <w:rFonts w:hint="default" w:ascii="仿宋_GB2312" w:hAnsi="黑体" w:eastAsia="仿宋_GB2312" w:cs="Times New Roman"/>
          <w:b w:val="0"/>
          <w:bCs w:val="0"/>
          <w:color w:val="auto"/>
          <w:kern w:val="2"/>
          <w:sz w:val="32"/>
          <w:szCs w:val="32"/>
          <w:highlight w:val="none"/>
          <w:u w:val="none" w:color="auto"/>
          <w:lang w:val="en-US" w:eastAsia="zh-CN" w:bidi="ar-SA"/>
        </w:rPr>
        <w:t>任务艰巨，社会治理有待加强</w:t>
      </w:r>
      <w:r>
        <w:rPr>
          <w:rFonts w:hint="eastAsia" w:ascii="仿宋_GB2312" w:hAnsi="黑体" w:eastAsia="仿宋_GB2312" w:cs="Times New Roman"/>
          <w:b w:val="0"/>
          <w:bCs w:val="0"/>
          <w:color w:val="auto"/>
          <w:kern w:val="2"/>
          <w:sz w:val="32"/>
          <w:szCs w:val="32"/>
          <w:highlight w:val="none"/>
          <w:u w:val="none" w:color="auto"/>
          <w:lang w:val="en-US" w:eastAsia="zh-CN" w:bidi="ar-SA"/>
        </w:rPr>
        <w:t>。要深刻认识到，赤峰市发展不平衡不充分问题仍然突出，特别是发展不充分问题。全市上下务必</w:t>
      </w:r>
      <w:r>
        <w:rPr>
          <w:rFonts w:hint="eastAsia" w:ascii="仿宋_GB2312" w:hAnsi="黑体" w:eastAsia="仿宋_GB2312" w:cs="Times New Roman"/>
          <w:b w:val="0"/>
          <w:bCs w:val="0"/>
          <w:color w:val="auto"/>
          <w:kern w:val="2"/>
          <w:sz w:val="32"/>
          <w:szCs w:val="32"/>
          <w:highlight w:val="none"/>
          <w:u w:val="none"/>
          <w:lang w:val="en-US" w:eastAsia="zh-CN" w:bidi="ar-SA"/>
        </w:rPr>
        <w:t>强化抓发展的意识、拼经济的状态，坚持把推动高质量发展这一主题贯穿“十五五”时期工作始终，把做大经济总量、提升发展质量效益、提高人均水平作为着力重点，抢抓机遇、乘势</w:t>
      </w:r>
      <w:r>
        <w:rPr>
          <w:rFonts w:hint="eastAsia" w:ascii="仿宋_GB2312" w:hAnsi="黑体" w:eastAsia="仿宋_GB2312" w:cs="Times New Roman"/>
          <w:b w:val="0"/>
          <w:bCs w:val="0"/>
          <w:color w:val="auto"/>
          <w:spacing w:val="-6"/>
          <w:kern w:val="2"/>
          <w:sz w:val="32"/>
          <w:szCs w:val="32"/>
          <w:highlight w:val="none"/>
          <w:u w:val="none"/>
          <w:lang w:val="en-US" w:eastAsia="zh-CN" w:bidi="ar-SA"/>
        </w:rPr>
        <w:t>而上，</w:t>
      </w:r>
      <w:r>
        <w:rPr>
          <w:rFonts w:hint="eastAsia" w:ascii="仿宋_GB2312" w:hAnsi="黑体" w:eastAsia="仿宋_GB2312" w:cs="Times New Roman"/>
          <w:b w:val="0"/>
          <w:bCs w:val="0"/>
          <w:color w:val="auto"/>
          <w:spacing w:val="-6"/>
          <w:kern w:val="2"/>
          <w:sz w:val="32"/>
          <w:szCs w:val="32"/>
          <w:highlight w:val="none"/>
          <w:u w:val="none" w:color="auto"/>
          <w:lang w:val="en-US" w:eastAsia="zh-CN" w:bidi="ar-SA"/>
        </w:rPr>
        <w:t>在基本实现社会主义现代化的新征程上加倍努力、接续奋斗。</w:t>
      </w:r>
    </w:p>
    <w:p w14:paraId="53D66A7B">
      <w:pPr>
        <w:keepNext w:val="0"/>
        <w:keepLines w:val="0"/>
        <w:pageBreakBefore w:val="0"/>
        <w:widowControl w:val="0"/>
        <w:numPr>
          <w:ilvl w:val="0"/>
          <w:numId w:val="1"/>
        </w:numPr>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rightChars="0" w:firstLineChars="200"/>
        <w:jc w:val="center"/>
        <w:textAlignment w:val="auto"/>
        <w:outlineLvl w:val="0"/>
        <w:rPr>
          <w:rFonts w:hint="eastAsia" w:ascii="方正小标宋简体" w:hAnsi="方正小标宋简体" w:eastAsia="方正小标宋简体" w:cs="方正小标宋简体"/>
          <w:b w:val="0"/>
          <w:bCs w:val="0"/>
          <w:color w:val="auto"/>
          <w:kern w:val="2"/>
          <w:sz w:val="32"/>
          <w:szCs w:val="32"/>
          <w:highlight w:val="none"/>
          <w:u w:val="none" w:color="auto"/>
          <w:lang w:val="en-US" w:eastAsia="zh-CN" w:bidi="ar-SA"/>
        </w:rPr>
      </w:pPr>
      <w:bookmarkStart w:id="31" w:name="_Toc14331"/>
      <w:r>
        <w:rPr>
          <w:rFonts w:hint="eastAsia" w:ascii="方正小标宋简体" w:hAnsi="方正小标宋简体" w:eastAsia="方正小标宋简体" w:cs="方正小标宋简体"/>
          <w:b w:val="0"/>
          <w:bCs w:val="0"/>
          <w:color w:val="auto"/>
          <w:kern w:val="2"/>
          <w:sz w:val="32"/>
          <w:szCs w:val="32"/>
          <w:highlight w:val="none"/>
          <w:u w:val="none" w:color="auto"/>
          <w:lang w:val="en-US" w:eastAsia="zh-CN" w:bidi="ar-SA"/>
        </w:rPr>
        <w:t>凝聚共识，擘画中国式现代化赤峰实践新图景</w:t>
      </w:r>
      <w:bookmarkEnd w:id="31"/>
    </w:p>
    <w:p w14:paraId="7C5290A3">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default"/>
          <w:b w:val="0"/>
          <w:bCs w:val="0"/>
          <w:highlight w:val="none"/>
          <w:lang w:val="en-US" w:eastAsia="zh-CN"/>
        </w:rPr>
      </w:pPr>
      <w:r>
        <w:rPr>
          <w:rFonts w:hint="eastAsia" w:eastAsia="仿宋_GB2312" w:cs="方正仿宋_GBK"/>
          <w:b w:val="0"/>
          <w:bCs w:val="0"/>
          <w:spacing w:val="0"/>
          <w:highlight w:val="none"/>
        </w:rPr>
        <w:t>“十五五”时期经济社会发展，必须牢牢把握以</w:t>
      </w:r>
      <w:r>
        <w:rPr>
          <w:rFonts w:hint="eastAsia" w:eastAsia="仿宋_GB2312" w:cs="方正仿宋_GBK"/>
          <w:b w:val="0"/>
          <w:bCs w:val="0"/>
          <w:spacing w:val="0"/>
          <w:highlight w:val="none"/>
          <w:lang w:eastAsia="zh-CN"/>
        </w:rPr>
        <w:t>下指</w:t>
      </w:r>
      <w:r>
        <w:rPr>
          <w:rFonts w:hint="eastAsia" w:eastAsia="仿宋_GB2312" w:cs="方正仿宋_GBK"/>
          <w:b w:val="0"/>
          <w:bCs w:val="0"/>
          <w:spacing w:val="0"/>
          <w:highlight w:val="none"/>
        </w:rPr>
        <w:t>导思想和基本原则</w:t>
      </w:r>
      <w:r>
        <w:rPr>
          <w:rFonts w:hint="eastAsia" w:eastAsia="仿宋_GB2312" w:cs="方正仿宋_GBK"/>
          <w:b w:val="0"/>
          <w:bCs w:val="0"/>
          <w:spacing w:val="0"/>
          <w:highlight w:val="none"/>
          <w:lang w:eastAsia="zh-CN"/>
        </w:rPr>
        <w:t>，</w:t>
      </w:r>
      <w:r>
        <w:rPr>
          <w:rFonts w:hint="eastAsia" w:eastAsia="仿宋_GB2312" w:cs="方正仿宋_GBK"/>
          <w:b w:val="0"/>
          <w:bCs w:val="0"/>
          <w:spacing w:val="0"/>
          <w:highlight w:val="none"/>
          <w:lang w:val="en-US" w:eastAsia="zh-CN"/>
        </w:rPr>
        <w:t>明确发展目标和发展战略。</w:t>
      </w:r>
    </w:p>
    <w:p w14:paraId="00DEED76">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2" w:name="_Toc6868"/>
      <w:r>
        <w:rPr>
          <w:rFonts w:hint="eastAsia" w:ascii="黑体" w:hAnsi="黑体" w:eastAsia="黑体" w:cs="黑体"/>
          <w:b w:val="0"/>
          <w:bCs w:val="0"/>
          <w:sz w:val="32"/>
          <w:szCs w:val="32"/>
          <w:highlight w:val="none"/>
          <w:lang w:val="en-US" w:eastAsia="zh-CN"/>
        </w:rPr>
        <w:t>指导思想</w:t>
      </w:r>
      <w:bookmarkEnd w:id="32"/>
    </w:p>
    <w:p w14:paraId="431CF57D">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pacing w:val="-6"/>
          <w:highlight w:val="none"/>
        </w:rPr>
      </w:pPr>
      <w:r>
        <w:rPr>
          <w:rFonts w:hint="eastAsia" w:ascii="Times New Roman" w:hAnsi="Times New Roman" w:eastAsia="仿宋_GB2312" w:cs="方正仿宋_GBK"/>
          <w:b w:val="0"/>
          <w:bCs w:val="0"/>
          <w:highlight w:val="none"/>
          <w:lang w:val="en-US" w:eastAsia="zh-CN"/>
        </w:rPr>
        <w:t>坚持马克思列宁主义、毛泽东思想、邓小平理论、“三个代表”重要思想、科学发展观，全面贯彻</w:t>
      </w:r>
      <w:r>
        <w:rPr>
          <w:rFonts w:hint="eastAsia" w:ascii="Times New Roman" w:hAnsi="Times New Roman" w:eastAsia="仿宋_GB2312" w:cs="方正仿宋_GBK"/>
          <w:b w:val="0"/>
          <w:bCs w:val="0"/>
          <w:highlight w:val="none"/>
        </w:rPr>
        <w:t>习近平新时代中国特色社会主义思想，深入贯彻党的二十大和二十届</w:t>
      </w:r>
      <w:r>
        <w:rPr>
          <w:rFonts w:hint="eastAsia" w:ascii="Times New Roman" w:hAnsi="Times New Roman" w:eastAsia="仿宋_GB2312" w:cs="方正仿宋_GBK"/>
          <w:b w:val="0"/>
          <w:bCs w:val="0"/>
          <w:highlight w:val="none"/>
          <w:lang w:val="en-US" w:eastAsia="zh-CN"/>
        </w:rPr>
        <w:t>历次</w:t>
      </w:r>
      <w:r>
        <w:rPr>
          <w:rFonts w:hint="eastAsia" w:ascii="Times New Roman" w:hAnsi="Times New Roman" w:eastAsia="仿宋_GB2312" w:cs="方正仿宋_GBK"/>
          <w:b w:val="0"/>
          <w:bCs w:val="0"/>
          <w:highlight w:val="none"/>
        </w:rPr>
        <w:t>全会精神，</w:t>
      </w:r>
      <w:r>
        <w:rPr>
          <w:rFonts w:hint="eastAsia" w:ascii="Times New Roman" w:hAnsi="Times New Roman" w:eastAsia="仿宋_GB2312" w:cs="方正仿宋_GBK"/>
          <w:b w:val="0"/>
          <w:bCs w:val="0"/>
          <w:highlight w:val="none"/>
          <w:lang w:val="en-US" w:eastAsia="zh-CN"/>
        </w:rPr>
        <w:t>贯彻落实习近平总书记对内蒙古系列重要讲话重要指示精神，全面落实自治区</w:t>
      </w:r>
      <w:r>
        <w:rPr>
          <w:rFonts w:hint="eastAsia" w:eastAsia="仿宋_GB2312" w:cs="方正仿宋_GBK"/>
          <w:b w:val="0"/>
          <w:bCs w:val="0"/>
          <w:highlight w:val="none"/>
          <w:lang w:val="en-US" w:eastAsia="zh-CN"/>
        </w:rPr>
        <w:t>党委</w:t>
      </w:r>
      <w:r>
        <w:rPr>
          <w:rFonts w:hint="eastAsia" w:ascii="Times New Roman" w:hAnsi="Times New Roman" w:eastAsia="仿宋_GB2312" w:cs="方正仿宋_GBK"/>
          <w:b w:val="0"/>
          <w:bCs w:val="0"/>
          <w:highlight w:val="none"/>
          <w:lang w:val="en-US" w:eastAsia="zh-CN"/>
        </w:rPr>
        <w:t>“1571”工作部署，坚持</w:t>
      </w:r>
      <w:r>
        <w:rPr>
          <w:rFonts w:hint="eastAsia" w:eastAsia="仿宋_GB2312" w:cs="方正仿宋_GBK"/>
          <w:b w:val="0"/>
          <w:bCs w:val="0"/>
          <w:highlight w:val="none"/>
          <w:lang w:val="en-US" w:eastAsia="zh-CN"/>
        </w:rPr>
        <w:t>市委</w:t>
      </w:r>
      <w:r>
        <w:rPr>
          <w:rFonts w:hint="eastAsia" w:ascii="Times New Roman" w:hAnsi="Times New Roman" w:eastAsia="仿宋_GB2312" w:cs="方正仿宋_GBK"/>
          <w:b w:val="0"/>
          <w:bCs w:val="0"/>
          <w:highlight w:val="none"/>
          <w:lang w:val="en-US" w:eastAsia="zh-CN"/>
        </w:rPr>
        <w:t>“贯彻一条主线、走好一条新路、突出三项重点、实现一个目标”的发展思路，统筹推进“五位一体”总体布局，协调推进“四个全面”战略布局，</w:t>
      </w:r>
      <w:r>
        <w:rPr>
          <w:rFonts w:hint="eastAsia" w:ascii="Times New Roman" w:hAnsi="Times New Roman" w:eastAsia="仿宋_GB2312" w:cs="方正仿宋_GBK"/>
          <w:b w:val="0"/>
          <w:bCs w:val="0"/>
          <w:highlight w:val="none"/>
        </w:rPr>
        <w:t>完</w:t>
      </w:r>
      <w:r>
        <w:rPr>
          <w:rFonts w:hint="eastAsia" w:ascii="Times New Roman" w:hAnsi="Times New Roman" w:eastAsia="仿宋_GB2312" w:cs="方正仿宋_GBK"/>
          <w:b w:val="0"/>
          <w:bCs w:val="0"/>
          <w:spacing w:val="-6"/>
          <w:highlight w:val="none"/>
        </w:rPr>
        <w:t>整准确全面贯彻新发展理念，</w:t>
      </w:r>
      <w:r>
        <w:rPr>
          <w:rFonts w:hint="eastAsia" w:eastAsia="仿宋_GB2312" w:cs="方正仿宋_GBK"/>
          <w:b w:val="0"/>
          <w:bCs w:val="0"/>
          <w:spacing w:val="-6"/>
          <w:highlight w:val="none"/>
          <w:lang w:val="en-US" w:eastAsia="zh-CN"/>
        </w:rPr>
        <w:t>积极</w:t>
      </w:r>
      <w:r>
        <w:rPr>
          <w:rFonts w:hint="eastAsia" w:ascii="Times New Roman" w:hAnsi="Times New Roman" w:eastAsia="仿宋_GB2312" w:cs="方正仿宋_GBK"/>
          <w:b w:val="0"/>
          <w:bCs w:val="0"/>
          <w:spacing w:val="-6"/>
          <w:highlight w:val="none"/>
          <w:lang w:val="en-US" w:eastAsia="zh-CN"/>
        </w:rPr>
        <w:t>融入和服务</w:t>
      </w:r>
      <w:r>
        <w:rPr>
          <w:rFonts w:hint="eastAsia" w:eastAsia="仿宋_GB2312" w:cs="方正仿宋_GBK"/>
          <w:b w:val="0"/>
          <w:bCs w:val="0"/>
          <w:spacing w:val="-6"/>
          <w:highlight w:val="none"/>
          <w:lang w:val="en-US" w:eastAsia="zh-CN"/>
        </w:rPr>
        <w:t>构建</w:t>
      </w:r>
      <w:r>
        <w:rPr>
          <w:rFonts w:hint="eastAsia" w:ascii="Times New Roman" w:hAnsi="Times New Roman" w:eastAsia="仿宋_GB2312" w:cs="方正仿宋_GBK"/>
          <w:b w:val="0"/>
          <w:bCs w:val="0"/>
          <w:spacing w:val="-6"/>
          <w:highlight w:val="none"/>
        </w:rPr>
        <w:t>新发展格局，</w:t>
      </w:r>
      <w:r>
        <w:rPr>
          <w:rFonts w:hint="eastAsia" w:ascii="Times New Roman" w:hAnsi="Times New Roman" w:eastAsia="仿宋_GB2312" w:cs="方正仿宋_GBK"/>
          <w:b w:val="0"/>
          <w:bCs w:val="0"/>
          <w:spacing w:val="-6"/>
          <w:highlight w:val="none"/>
          <w:lang w:val="en-US" w:eastAsia="zh-CN"/>
        </w:rPr>
        <w:t>坚持稳中求进工作总基调，坚持以经济建设为中心，以推动高质量发展为主题，以改革创新为根本动力，以满足人民日益增长的美好生活需要为根本目的，以全面从严治党为根本保障，</w:t>
      </w:r>
      <w:r>
        <w:rPr>
          <w:rFonts w:hint="eastAsia" w:eastAsia="仿宋_GB2312" w:cs="方正仿宋_GBK"/>
          <w:b w:val="0"/>
          <w:bCs w:val="0"/>
          <w:spacing w:val="-6"/>
          <w:highlight w:val="none"/>
          <w:lang w:val="en-US" w:eastAsia="zh-CN"/>
        </w:rPr>
        <w:t>紧紧围绕</w:t>
      </w:r>
      <w:r>
        <w:rPr>
          <w:rFonts w:hint="eastAsia" w:ascii="Times New Roman" w:hAnsi="Times New Roman" w:eastAsia="仿宋_GB2312" w:cs="方正仿宋_GBK"/>
          <w:b w:val="0"/>
          <w:bCs w:val="0"/>
          <w:highlight w:val="none"/>
          <w:lang w:val="en-US" w:eastAsia="zh-CN"/>
        </w:rPr>
        <w:t>铸牢中华民族共同体意识工作主线，坚持走好以生态优先、绿</w:t>
      </w:r>
      <w:r>
        <w:rPr>
          <w:rFonts w:hint="eastAsia" w:ascii="Times New Roman" w:hAnsi="Times New Roman" w:eastAsia="仿宋_GB2312" w:cs="方正仿宋_GBK"/>
          <w:b w:val="0"/>
          <w:bCs w:val="0"/>
          <w:spacing w:val="-6"/>
          <w:highlight w:val="none"/>
          <w:lang w:val="en-US" w:eastAsia="zh-CN"/>
        </w:rPr>
        <w:t>色发展为导向的高质量发展新路子，推动人的全面发展、各族人民共同富裕迈出坚实步伐，努力在自治区建设“两个屏障</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两个基地</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一个桥头堡”上发挥更大作用，为自治区实现“两个稳居”</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“两个继续走在前列”目标贡献更多力量</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呵护好“模范自治区”崇高荣誉，全力推动赤峰重振雄风、再塑辉煌，确保与全国全区一道在基本实现社会主义现代化上取得决定性进展。</w:t>
      </w:r>
    </w:p>
    <w:p w14:paraId="26E89E70">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3" w:name="_Toc7684"/>
      <w:r>
        <w:rPr>
          <w:rFonts w:hint="eastAsia" w:ascii="黑体" w:hAnsi="黑体" w:eastAsia="黑体" w:cs="黑体"/>
          <w:b w:val="0"/>
          <w:bCs w:val="0"/>
          <w:sz w:val="32"/>
          <w:szCs w:val="32"/>
          <w:highlight w:val="none"/>
          <w:lang w:val="en-US" w:eastAsia="zh-CN"/>
        </w:rPr>
        <w:t>基本原则</w:t>
      </w:r>
      <w:bookmarkEnd w:id="33"/>
    </w:p>
    <w:p w14:paraId="29B186C3">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坚持党的全面</w:t>
      </w:r>
      <w:r>
        <w:rPr>
          <w:rFonts w:hint="eastAsia" w:ascii="Times New Roman" w:hAnsi="Times New Roman" w:eastAsia="仿宋_GB2312" w:cs="方正仿宋_GBK"/>
          <w:b w:val="0"/>
          <w:bCs w:val="0"/>
          <w:highlight w:val="none"/>
          <w:lang w:val="en-US" w:eastAsia="zh-CN"/>
        </w:rPr>
        <w:t>领导</w:t>
      </w:r>
      <w:r>
        <w:rPr>
          <w:rFonts w:hint="eastAsia" w:ascii="Times New Roman" w:hAnsi="Times New Roman" w:eastAsia="仿宋_GB2312" w:cs="方正仿宋_GBK"/>
          <w:b w:val="0"/>
          <w:bCs w:val="0"/>
          <w:highlight w:val="none"/>
          <w:lang w:eastAsia="zh-CN"/>
        </w:rPr>
        <w:t>。坚决维护党中央权威和集中统一领导，</w:t>
      </w:r>
      <w:r>
        <w:rPr>
          <w:rFonts w:hint="eastAsia" w:ascii="Times New Roman" w:hAnsi="Times New Roman" w:eastAsia="仿宋_GB2312" w:cs="方正仿宋_GBK"/>
          <w:b w:val="0"/>
          <w:bCs w:val="0"/>
          <w:highlight w:val="none"/>
        </w:rPr>
        <w:t>充分发挥党总揽全局、协调各方的领导核心作用，把党的领导落实到现代化建设各领域各方面各环节</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为社会主义现代化建设提供根本保证。</w:t>
      </w:r>
    </w:p>
    <w:p w14:paraId="24914CD3">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坚持人民至上</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始终把人民利益放在最高位置，坚持发展为了人民、发展依靠人民、发展成果由人民共享，注重在发展中保障和改善民生，在满足民生需求中拓展发展空间，推动经济和社会协调发展、物质文明和精神文明相得益彰，让现代化建设成果更多更公平惠及全体人民。</w:t>
      </w:r>
    </w:p>
    <w:p w14:paraId="131B9891">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lang w:val="en-US" w:eastAsia="zh-CN"/>
        </w:rPr>
        <w:t>坚持高质量发展。把高质量发展作为全面建设社会主义现代化</w:t>
      </w:r>
      <w:r>
        <w:rPr>
          <w:rFonts w:hint="eastAsia" w:eastAsia="仿宋_GB2312" w:cs="方正仿宋_GBK"/>
          <w:b w:val="0"/>
          <w:bCs w:val="0"/>
          <w:highlight w:val="none"/>
          <w:lang w:val="en-US" w:eastAsia="zh-CN"/>
        </w:rPr>
        <w:t>赤峰</w:t>
      </w:r>
      <w:r>
        <w:rPr>
          <w:rFonts w:hint="eastAsia" w:ascii="Times New Roman" w:hAnsi="Times New Roman" w:eastAsia="仿宋_GB2312" w:cs="方正仿宋_GBK"/>
          <w:b w:val="0"/>
          <w:bCs w:val="0"/>
          <w:highlight w:val="none"/>
          <w:lang w:val="en-US" w:eastAsia="zh-CN"/>
        </w:rPr>
        <w:t>的首要任务，以新发展理念引领发展，因地制宜发展新质生产力，加快培育新动能，促进经济结构优化升级，塑造竞争新优势，推动经济持续健康发展和社会全面进步。</w:t>
      </w:r>
    </w:p>
    <w:p w14:paraId="52ADBD8F">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坚持绿色低碳发展</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牢固树立和践行绿水青山就是金山银山的理念，站在人与自然和谐共生的高度谋划发展</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推动</w:t>
      </w:r>
      <w:r>
        <w:rPr>
          <w:rFonts w:hint="eastAsia" w:ascii="Times New Roman" w:hAnsi="Times New Roman" w:eastAsia="仿宋_GB2312" w:cs="方正仿宋_GBK"/>
          <w:b w:val="0"/>
          <w:bCs w:val="0"/>
          <w:highlight w:val="none"/>
        </w:rPr>
        <w:t>发展方式绿色转型，持续改善生态环境质量</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筑牢生态安全屏障</w:t>
      </w:r>
      <w:r>
        <w:rPr>
          <w:rFonts w:hint="eastAsia" w:ascii="Times New Roman" w:hAnsi="Times New Roman" w:eastAsia="仿宋_GB2312" w:cs="方正仿宋_GBK"/>
          <w:b w:val="0"/>
          <w:bCs w:val="0"/>
          <w:highlight w:val="none"/>
        </w:rPr>
        <w:t>。</w:t>
      </w:r>
    </w:p>
    <w:p w14:paraId="401CA100">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w:t>
      </w:r>
      <w:r>
        <w:rPr>
          <w:rFonts w:hint="eastAsia" w:ascii="Times New Roman" w:hAnsi="Times New Roman" w:eastAsia="仿宋_GB2312" w:cs="方正仿宋_GBK"/>
          <w:b w:val="0"/>
          <w:bCs w:val="0"/>
          <w:highlight w:val="none"/>
          <w:lang w:val="en-US" w:eastAsia="zh-CN"/>
        </w:rPr>
        <w:t>全面</w:t>
      </w:r>
      <w:r>
        <w:rPr>
          <w:rFonts w:hint="eastAsia" w:ascii="Times New Roman" w:hAnsi="Times New Roman" w:eastAsia="仿宋_GB2312" w:cs="方正仿宋_GBK"/>
          <w:b w:val="0"/>
          <w:bCs w:val="0"/>
          <w:highlight w:val="none"/>
        </w:rPr>
        <w:t>深化改革</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坚持社会主义市场经济改革方向，聚焦制约高质量发展的体制机制障碍，推进深层次改革</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加强改革系统集成、协同高效，</w:t>
      </w:r>
      <w:r>
        <w:rPr>
          <w:rFonts w:hint="eastAsia" w:ascii="Times New Roman" w:hAnsi="Times New Roman" w:eastAsia="仿宋_GB2312" w:cs="方正仿宋_GBK"/>
          <w:b w:val="0"/>
          <w:bCs w:val="0"/>
          <w:highlight w:val="none"/>
          <w:lang w:val="en-US" w:eastAsia="zh-CN"/>
        </w:rPr>
        <w:t>扩大</w:t>
      </w:r>
      <w:r>
        <w:rPr>
          <w:rFonts w:hint="eastAsia" w:ascii="Times New Roman" w:hAnsi="Times New Roman" w:eastAsia="仿宋_GB2312" w:cs="方正仿宋_GBK"/>
          <w:b w:val="0"/>
          <w:bCs w:val="0"/>
          <w:highlight w:val="none"/>
        </w:rPr>
        <w:t>高水平开放，持续增强发展动力和社会活力。</w:t>
      </w:r>
    </w:p>
    <w:p w14:paraId="7EFD6DA8">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lang w:val="en-US" w:eastAsia="zh-CN"/>
        </w:rPr>
        <w:t>坚持有效市场和有为政府相结合。充分发挥市场在资源配置中的决定性作用，更好发挥政府作用，推动有效市场和有为政府更好结合，打造市场化、法治化、国际化一流营商环境，形成既“放得活”又“管得好”的经济秩序。</w:t>
      </w:r>
    </w:p>
    <w:p w14:paraId="7C52EF7C">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坚持统筹发展和安全</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把安全发展贯穿经济社会发展各领域全过程</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在发展中固安全，在安全中谋发展，强化底线思维，有效防范化解各类风险，增强经济和社会韧性，以新安全格局保障新发展格局。</w:t>
      </w:r>
    </w:p>
    <w:p w14:paraId="5D6DF27C">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4" w:name="_Toc21630"/>
      <w:r>
        <w:rPr>
          <w:rFonts w:hint="eastAsia" w:ascii="黑体" w:hAnsi="黑体" w:eastAsia="黑体" w:cs="黑体"/>
          <w:b w:val="0"/>
          <w:bCs w:val="0"/>
          <w:sz w:val="32"/>
          <w:szCs w:val="32"/>
          <w:highlight w:val="none"/>
          <w:lang w:val="en-US" w:eastAsia="zh-CN"/>
        </w:rPr>
        <w:t>发展目标</w:t>
      </w:r>
      <w:bookmarkEnd w:id="34"/>
    </w:p>
    <w:p w14:paraId="530826CC">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default" w:ascii="Times New Roman" w:hAnsi="Times New Roman" w:eastAsia="仿宋_GB2312" w:cs="方正仿宋_GBK"/>
          <w:b w:val="0"/>
          <w:bCs w:val="0"/>
          <w:spacing w:val="0"/>
          <w:szCs w:val="36"/>
          <w:highlight w:val="none"/>
          <w:lang w:val="en-US" w:eastAsia="zh-CN"/>
        </w:rPr>
      </w:pPr>
      <w:r>
        <w:rPr>
          <w:rFonts w:hint="eastAsia" w:ascii="Times New Roman" w:hAnsi="Times New Roman" w:eastAsia="仿宋_GB2312" w:cs="方正仿宋_GBK"/>
          <w:b w:val="0"/>
          <w:bCs w:val="0"/>
          <w:spacing w:val="0"/>
          <w:szCs w:val="36"/>
          <w:highlight w:val="none"/>
          <w:lang w:val="en-US" w:eastAsia="zh-CN"/>
        </w:rPr>
        <w:t>“十五五”时期</w:t>
      </w:r>
      <w:r>
        <w:rPr>
          <w:rFonts w:hint="eastAsia" w:eastAsia="仿宋_GB2312" w:cs="方正仿宋_GBK"/>
          <w:b w:val="0"/>
          <w:bCs w:val="0"/>
          <w:spacing w:val="0"/>
          <w:szCs w:val="36"/>
          <w:highlight w:val="none"/>
          <w:lang w:val="en-US" w:eastAsia="zh-CN"/>
        </w:rPr>
        <w:t>全市</w:t>
      </w:r>
      <w:r>
        <w:rPr>
          <w:rFonts w:hint="eastAsia" w:ascii="Times New Roman" w:hAnsi="Times New Roman" w:eastAsia="仿宋_GB2312" w:cs="方正仿宋_GBK"/>
          <w:b w:val="0"/>
          <w:bCs w:val="0"/>
          <w:spacing w:val="0"/>
          <w:szCs w:val="36"/>
          <w:highlight w:val="none"/>
          <w:lang w:val="en-US" w:eastAsia="zh-CN"/>
        </w:rPr>
        <w:t>经济社会发展的主要目标是：</w:t>
      </w:r>
    </w:p>
    <w:p w14:paraId="1B2A2CED">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0"/>
        <w:textAlignment w:val="auto"/>
        <w:rPr>
          <w:rFonts w:hint="default" w:ascii="Times New Roman" w:hAnsi="Times New Roman" w:eastAsia="仿宋_GB2312" w:cs="方正仿宋_GBK"/>
          <w:b w:val="0"/>
          <w:bCs w:val="0"/>
          <w:spacing w:val="0"/>
          <w:szCs w:val="36"/>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spacing w:val="0"/>
          <w:szCs w:val="36"/>
          <w:highlight w:val="none"/>
          <w:lang w:val="en-US" w:eastAsia="zh-CN"/>
        </w:rPr>
        <w:t>铸牢中华民族共同体意识取得</w:t>
      </w:r>
      <w:r>
        <w:rPr>
          <w:rFonts w:hint="eastAsia" w:eastAsia="仿宋_GB2312" w:cs="方正仿宋_GBK"/>
          <w:b w:val="0"/>
          <w:bCs w:val="0"/>
          <w:spacing w:val="0"/>
          <w:szCs w:val="36"/>
          <w:highlight w:val="none"/>
          <w:lang w:val="en-US" w:eastAsia="zh-CN"/>
        </w:rPr>
        <w:t>更大</w:t>
      </w:r>
      <w:r>
        <w:rPr>
          <w:rFonts w:hint="eastAsia" w:ascii="Times New Roman" w:hAnsi="Times New Roman" w:eastAsia="仿宋_GB2312" w:cs="方正仿宋_GBK"/>
          <w:b w:val="0"/>
          <w:bCs w:val="0"/>
          <w:spacing w:val="0"/>
          <w:szCs w:val="36"/>
          <w:highlight w:val="none"/>
          <w:lang w:val="en-US" w:eastAsia="zh-CN"/>
        </w:rPr>
        <w:t>成效。各族群众“五个认同”更加坚定，“四个与共”的共同体理念更加牢固，交往交流交融更加深入，民族团结进步创建持续深化，中华民族共同体建设扎实推进。</w:t>
      </w:r>
    </w:p>
    <w:p w14:paraId="17863892">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pacing w:val="-6"/>
          <w:szCs w:val="36"/>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lang w:val="en-US" w:eastAsia="zh-CN"/>
        </w:rPr>
        <w:t>综合经济实力实现更大跃升</w:t>
      </w:r>
      <w:r>
        <w:rPr>
          <w:rFonts w:hint="eastAsia" w:ascii="Times New Roman" w:hAnsi="Times New Roman" w:eastAsia="仿宋_GB2312" w:cs="方正仿宋_GBK"/>
          <w:b w:val="0"/>
          <w:bCs w:val="0"/>
          <w:highlight w:val="none"/>
          <w:lang w:eastAsia="zh-CN"/>
        </w:rPr>
        <w:t>。</w:t>
      </w:r>
      <w:r>
        <w:rPr>
          <w:rFonts w:hint="eastAsia" w:eastAsia="仿宋_GB2312" w:cs="方正仿宋_GBK"/>
          <w:b w:val="0"/>
          <w:bCs w:val="0"/>
          <w:highlight w:val="none"/>
          <w:lang w:val="en-US" w:eastAsia="zh-CN"/>
        </w:rPr>
        <w:t>高质量发展取得显著进展，</w:t>
      </w:r>
      <w:r>
        <w:rPr>
          <w:rFonts w:hint="eastAsia" w:ascii="Times New Roman" w:hAnsi="Times New Roman" w:eastAsia="仿宋_GB2312" w:cs="方正仿宋_GBK"/>
          <w:b w:val="0"/>
          <w:bCs w:val="0"/>
          <w:szCs w:val="36"/>
          <w:highlight w:val="none"/>
          <w:lang w:val="en-US" w:eastAsia="zh-CN"/>
        </w:rPr>
        <w:t>全市地区生产总值平均增速高于全国全区平均</w:t>
      </w:r>
      <w:r>
        <w:rPr>
          <w:rFonts w:hint="eastAsia" w:eastAsia="仿宋_GB2312" w:cs="方正仿宋_GBK"/>
          <w:b w:val="0"/>
          <w:bCs w:val="0"/>
          <w:szCs w:val="36"/>
          <w:highlight w:val="none"/>
          <w:lang w:val="en-US" w:eastAsia="zh-CN"/>
        </w:rPr>
        <w:t>增速</w:t>
      </w:r>
      <w:r>
        <w:rPr>
          <w:rFonts w:hint="eastAsia" w:ascii="Times New Roman" w:hAnsi="Times New Roman" w:eastAsia="仿宋_GB2312" w:cs="方正仿宋_GBK"/>
          <w:b w:val="0"/>
          <w:bCs w:val="0"/>
          <w:szCs w:val="36"/>
          <w:highlight w:val="none"/>
          <w:lang w:val="en-US" w:eastAsia="zh-CN"/>
        </w:rPr>
        <w:t>，在蒙东加快全面振兴中的龙头作用更为凸显。经济</w:t>
      </w:r>
      <w:r>
        <w:rPr>
          <w:rFonts w:hint="eastAsia" w:ascii="Times New Roman" w:hAnsi="Times New Roman" w:eastAsia="仿宋_GB2312" w:cs="方正仿宋_GBK"/>
          <w:b w:val="0"/>
          <w:bCs w:val="0"/>
          <w:szCs w:val="36"/>
          <w:highlight w:val="none"/>
        </w:rPr>
        <w:t>结构持续优化，农牧业现代化水平持续提升，</w:t>
      </w:r>
      <w:r>
        <w:rPr>
          <w:rFonts w:hint="eastAsia" w:eastAsia="仿宋_GB2312" w:cs="方正仿宋_GBK"/>
          <w:b w:val="0"/>
          <w:bCs w:val="0"/>
          <w:szCs w:val="36"/>
          <w:highlight w:val="none"/>
          <w:lang w:val="en-US" w:eastAsia="zh-CN"/>
        </w:rPr>
        <w:t>“五链条、两集群”工业体系</w:t>
      </w:r>
      <w:r>
        <w:rPr>
          <w:rFonts w:hint="eastAsia" w:ascii="Times New Roman" w:hAnsi="Times New Roman" w:eastAsia="仿宋_GB2312" w:cs="方正仿宋_GBK"/>
          <w:b w:val="0"/>
          <w:bCs w:val="0"/>
          <w:szCs w:val="36"/>
          <w:highlight w:val="none"/>
          <w:lang w:val="en-US" w:eastAsia="zh-CN"/>
        </w:rPr>
        <w:t>建设</w:t>
      </w:r>
      <w:r>
        <w:rPr>
          <w:rFonts w:hint="eastAsia" w:ascii="Times New Roman" w:hAnsi="Times New Roman" w:eastAsia="仿宋_GB2312" w:cs="方正仿宋_GBK"/>
          <w:b w:val="0"/>
          <w:bCs w:val="0"/>
          <w:szCs w:val="36"/>
          <w:highlight w:val="none"/>
        </w:rPr>
        <w:t>取得重要进展，</w:t>
      </w:r>
      <w:r>
        <w:rPr>
          <w:rFonts w:hint="eastAsia" w:ascii="Times New Roman" w:hAnsi="Times New Roman" w:eastAsia="仿宋_GB2312" w:cs="方正仿宋_GBK"/>
          <w:b w:val="0"/>
          <w:bCs w:val="0"/>
          <w:szCs w:val="36"/>
          <w:highlight w:val="none"/>
          <w:lang w:val="en-US" w:eastAsia="zh-CN"/>
        </w:rPr>
        <w:t>现代服务业实现</w:t>
      </w:r>
      <w:r>
        <w:rPr>
          <w:rFonts w:hint="eastAsia" w:eastAsia="仿宋_GB2312" w:cs="方正仿宋_GBK"/>
          <w:b w:val="0"/>
          <w:bCs w:val="0"/>
          <w:szCs w:val="36"/>
          <w:highlight w:val="none"/>
          <w:lang w:val="en-US" w:eastAsia="zh-CN"/>
        </w:rPr>
        <w:t>优质</w:t>
      </w:r>
      <w:r>
        <w:rPr>
          <w:rFonts w:hint="eastAsia" w:ascii="Times New Roman" w:hAnsi="Times New Roman" w:eastAsia="仿宋_GB2312" w:cs="方正仿宋_GBK"/>
          <w:b w:val="0"/>
          <w:bCs w:val="0"/>
          <w:szCs w:val="36"/>
          <w:highlight w:val="none"/>
          <w:lang w:val="en-US" w:eastAsia="zh-CN"/>
        </w:rPr>
        <w:t>高效</w:t>
      </w:r>
      <w:r>
        <w:rPr>
          <w:rFonts w:hint="eastAsia" w:eastAsia="仿宋_GB2312" w:cs="方正仿宋_GBK"/>
          <w:b w:val="0"/>
          <w:bCs w:val="0"/>
          <w:szCs w:val="36"/>
          <w:highlight w:val="none"/>
          <w:lang w:val="en-US" w:eastAsia="zh-CN"/>
        </w:rPr>
        <w:t>发展</w:t>
      </w:r>
      <w:r>
        <w:rPr>
          <w:rFonts w:hint="eastAsia" w:ascii="Times New Roman" w:hAnsi="Times New Roman" w:eastAsia="仿宋_GB2312" w:cs="方正仿宋_GBK"/>
          <w:b w:val="0"/>
          <w:bCs w:val="0"/>
          <w:szCs w:val="36"/>
          <w:highlight w:val="none"/>
        </w:rPr>
        <w:t>，在总量、质量、效益同步</w:t>
      </w:r>
      <w:r>
        <w:rPr>
          <w:rFonts w:hint="eastAsia" w:ascii="Times New Roman" w:hAnsi="Times New Roman" w:eastAsia="仿宋_GB2312" w:cs="方正仿宋_GBK"/>
          <w:b w:val="0"/>
          <w:bCs w:val="0"/>
          <w:spacing w:val="-6"/>
          <w:szCs w:val="36"/>
          <w:highlight w:val="none"/>
        </w:rPr>
        <w:t>提升的基础上</w:t>
      </w:r>
      <w:r>
        <w:rPr>
          <w:rFonts w:hint="eastAsia" w:ascii="Times New Roman" w:hAnsi="Times New Roman" w:eastAsia="仿宋_GB2312" w:cs="方正仿宋_GBK"/>
          <w:b w:val="0"/>
          <w:bCs w:val="0"/>
          <w:spacing w:val="-6"/>
          <w:szCs w:val="36"/>
          <w:highlight w:val="none"/>
          <w:lang w:eastAsia="zh-CN"/>
        </w:rPr>
        <w:t>，</w:t>
      </w:r>
      <w:r>
        <w:rPr>
          <w:rFonts w:hint="eastAsia" w:ascii="Times New Roman" w:hAnsi="Times New Roman" w:eastAsia="仿宋_GB2312" w:cs="方正仿宋_GBK"/>
          <w:b w:val="0"/>
          <w:bCs w:val="0"/>
          <w:spacing w:val="-6"/>
          <w:szCs w:val="36"/>
          <w:highlight w:val="none"/>
        </w:rPr>
        <w:t>实现经济持续健康发展</w:t>
      </w:r>
      <w:r>
        <w:rPr>
          <w:rFonts w:hint="eastAsia" w:eastAsia="仿宋_GB2312" w:cs="方正仿宋_GBK"/>
          <w:b w:val="0"/>
          <w:bCs w:val="0"/>
          <w:spacing w:val="-6"/>
          <w:szCs w:val="36"/>
          <w:highlight w:val="none"/>
          <w:lang w:eastAsia="zh-CN"/>
        </w:rPr>
        <w:t>，</w:t>
      </w:r>
      <w:r>
        <w:rPr>
          <w:rFonts w:hint="eastAsia" w:eastAsia="仿宋_GB2312" w:cs="方正仿宋_GBK"/>
          <w:b w:val="0"/>
          <w:bCs w:val="0"/>
          <w:spacing w:val="-6"/>
          <w:szCs w:val="36"/>
          <w:highlight w:val="none"/>
          <w:lang w:val="en-US" w:eastAsia="zh-CN"/>
        </w:rPr>
        <w:t>推动质量强市迈上新台阶</w:t>
      </w:r>
      <w:r>
        <w:rPr>
          <w:rFonts w:hint="eastAsia" w:ascii="Times New Roman" w:hAnsi="Times New Roman" w:eastAsia="仿宋_GB2312" w:cs="方正仿宋_GBK"/>
          <w:b w:val="0"/>
          <w:bCs w:val="0"/>
          <w:spacing w:val="-6"/>
          <w:szCs w:val="36"/>
          <w:highlight w:val="none"/>
        </w:rPr>
        <w:t>。</w:t>
      </w:r>
    </w:p>
    <w:p w14:paraId="5FA94C35">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zCs w:val="36"/>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szCs w:val="36"/>
          <w:highlight w:val="none"/>
          <w:lang w:val="en-US" w:eastAsia="zh-CN"/>
        </w:rPr>
        <w:t>科技创新能力实现更大提高</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val="en-US" w:eastAsia="zh-CN"/>
        </w:rPr>
        <w:t>科技创新主体和平台不断壮大，科技创新成果不断涌现，要素集聚能力、科技创新能力、成果转化能力大幅提升，全过程创新链加速形成，在优势领域取得一批重大科技成果，科技应用和服务实体经济能力显著提升。</w:t>
      </w:r>
    </w:p>
    <w:p w14:paraId="310F1A63">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zCs w:val="36"/>
          <w:highlight w:val="none"/>
          <w:lang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cs="Times New Roman"/>
          <w:b w:val="0"/>
          <w:bCs w:val="0"/>
          <w:color w:val="auto"/>
          <w:sz w:val="32"/>
          <w:szCs w:val="32"/>
          <w:highlight w:val="none"/>
          <w:u w:val="none" w:color="auto"/>
          <w:lang w:val="en-US" w:eastAsia="zh-CN"/>
        </w:rPr>
        <w:t>生态文明建设取得更大进步。两大沙地歼灭战全面打赢，生态建设成果持续巩固，污染防治攻坚战持续推进，生态系统稳定性明显增强，</w:t>
      </w:r>
      <w:r>
        <w:rPr>
          <w:rFonts w:hint="eastAsia" w:ascii="Times New Roman" w:hAnsi="Times New Roman" w:eastAsia="仿宋_GB2312" w:cs="方正仿宋_GBK"/>
          <w:b w:val="0"/>
          <w:bCs w:val="0"/>
          <w:szCs w:val="36"/>
          <w:highlight w:val="none"/>
          <w:lang w:val="en-US" w:eastAsia="zh-CN"/>
        </w:rPr>
        <w:t>生态</w:t>
      </w:r>
      <w:r>
        <w:rPr>
          <w:rFonts w:hint="eastAsia" w:ascii="Times New Roman" w:hAnsi="Times New Roman" w:eastAsia="仿宋_GB2312" w:cs="方正仿宋_GBK"/>
          <w:b w:val="0"/>
          <w:bCs w:val="0"/>
          <w:szCs w:val="36"/>
          <w:highlight w:val="none"/>
        </w:rPr>
        <w:t>环境治理体系进一步健全，</w:t>
      </w:r>
      <w:r>
        <w:rPr>
          <w:rFonts w:hint="eastAsia" w:ascii="Times New Roman" w:hAnsi="Times New Roman" w:eastAsia="仿宋_GB2312" w:cs="方正仿宋_GBK"/>
          <w:b w:val="0"/>
          <w:bCs w:val="0"/>
          <w:szCs w:val="36"/>
          <w:highlight w:val="none"/>
          <w:lang w:val="en-US" w:eastAsia="zh-CN"/>
        </w:rPr>
        <w:t>绿色生产生活方式基本形成，</w:t>
      </w:r>
      <w:r>
        <w:rPr>
          <w:rFonts w:hint="eastAsia" w:eastAsia="仿宋_GB2312" w:cs="方正仿宋_GBK"/>
          <w:b w:val="0"/>
          <w:bCs w:val="0"/>
          <w:szCs w:val="36"/>
          <w:highlight w:val="none"/>
          <w:lang w:val="en-US" w:eastAsia="zh-CN"/>
        </w:rPr>
        <w:t>2030年前</w:t>
      </w:r>
      <w:r>
        <w:rPr>
          <w:rFonts w:hint="eastAsia" w:ascii="仿宋_GB2312" w:hAnsi="黑体" w:eastAsia="仿宋_GB2312" w:cs="Times New Roman"/>
          <w:b w:val="0"/>
          <w:bCs w:val="0"/>
          <w:color w:val="auto"/>
          <w:sz w:val="32"/>
          <w:szCs w:val="32"/>
          <w:highlight w:val="none"/>
          <w:u w:val="none" w:color="auto"/>
          <w:lang w:val="en-US" w:eastAsia="zh-CN"/>
        </w:rPr>
        <w:t>碳达峰目标如期实现</w:t>
      </w:r>
      <w:r>
        <w:rPr>
          <w:rFonts w:hint="eastAsia" w:ascii="Times New Roman" w:hAnsi="Times New Roman"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rPr>
        <w:t>生态安全屏障更加稳固</w:t>
      </w:r>
      <w:r>
        <w:rPr>
          <w:rFonts w:hint="eastAsia" w:ascii="Times New Roman" w:hAnsi="Times New Roman" w:eastAsia="仿宋_GB2312" w:cs="方正仿宋_GBK"/>
          <w:b w:val="0"/>
          <w:bCs w:val="0"/>
          <w:szCs w:val="36"/>
          <w:highlight w:val="none"/>
          <w:lang w:eastAsia="zh-CN"/>
        </w:rPr>
        <w:t>。</w:t>
      </w:r>
    </w:p>
    <w:p w14:paraId="6F07064A">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pacing w:val="-6"/>
          <w:szCs w:val="36"/>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cs="Times New Roman"/>
          <w:b w:val="0"/>
          <w:bCs w:val="0"/>
          <w:color w:val="auto"/>
          <w:sz w:val="32"/>
          <w:szCs w:val="32"/>
          <w:highlight w:val="none"/>
          <w:u w:val="none" w:color="auto"/>
          <w:lang w:val="en-US" w:eastAsia="zh-CN"/>
        </w:rPr>
        <w:t>改革开放取得更大突破。</w:t>
      </w:r>
      <w:r>
        <w:rPr>
          <w:rFonts w:hint="eastAsia" w:ascii="仿宋_GB2312" w:hAnsi="黑体" w:eastAsia="仿宋_GB2312" w:cs="Times New Roman"/>
          <w:b w:val="0"/>
          <w:bCs w:val="0"/>
          <w:color w:val="auto"/>
          <w:sz w:val="32"/>
          <w:szCs w:val="32"/>
          <w:highlight w:val="none"/>
          <w:u w:val="none" w:color="auto"/>
        </w:rPr>
        <w:t>重</w:t>
      </w:r>
      <w:r>
        <w:rPr>
          <w:rFonts w:hint="eastAsia" w:ascii="仿宋_GB2312" w:hAnsi="黑体" w:eastAsia="仿宋_GB2312" w:cs="Times New Roman"/>
          <w:b w:val="0"/>
          <w:bCs w:val="0"/>
          <w:color w:val="auto"/>
          <w:sz w:val="32"/>
          <w:szCs w:val="32"/>
          <w:highlight w:val="none"/>
          <w:u w:val="none" w:color="auto"/>
          <w:lang w:val="en-US" w:eastAsia="zh-CN"/>
        </w:rPr>
        <w:t>点</w:t>
      </w:r>
      <w:r>
        <w:rPr>
          <w:rFonts w:hint="eastAsia" w:ascii="仿宋_GB2312" w:hAnsi="黑体" w:eastAsia="仿宋_GB2312" w:cs="Times New Roman"/>
          <w:b w:val="0"/>
          <w:bCs w:val="0"/>
          <w:color w:val="auto"/>
          <w:sz w:val="32"/>
          <w:szCs w:val="32"/>
          <w:highlight w:val="none"/>
          <w:u w:val="none" w:color="auto"/>
        </w:rPr>
        <w:t>领域和</w:t>
      </w:r>
      <w:r>
        <w:rPr>
          <w:rFonts w:hint="eastAsia" w:ascii="仿宋_GB2312" w:hAnsi="黑体" w:eastAsia="仿宋_GB2312"/>
          <w:b w:val="0"/>
          <w:bCs w:val="0"/>
          <w:color w:val="auto"/>
          <w:sz w:val="32"/>
          <w:szCs w:val="32"/>
          <w:highlight w:val="none"/>
          <w:u w:val="none" w:color="auto"/>
        </w:rPr>
        <w:t>关键环节改革取得</w:t>
      </w:r>
      <w:r>
        <w:rPr>
          <w:rFonts w:hint="eastAsia" w:ascii="仿宋_GB2312" w:hAnsi="黑体" w:eastAsia="仿宋_GB2312"/>
          <w:b w:val="0"/>
          <w:bCs w:val="0"/>
          <w:color w:val="auto"/>
          <w:sz w:val="32"/>
          <w:szCs w:val="32"/>
          <w:highlight w:val="none"/>
          <w:u w:val="none" w:color="auto"/>
          <w:lang w:val="en-US" w:eastAsia="zh-CN"/>
        </w:rPr>
        <w:t>明显进展</w:t>
      </w:r>
      <w:r>
        <w:rPr>
          <w:rFonts w:hint="eastAsia" w:ascii="仿宋_GB2312" w:hAnsi="黑体" w:eastAsia="仿宋_GB2312"/>
          <w:b w:val="0"/>
          <w:bCs w:val="0"/>
          <w:color w:val="auto"/>
          <w:sz w:val="32"/>
          <w:szCs w:val="32"/>
          <w:highlight w:val="none"/>
          <w:u w:val="none" w:color="auto"/>
        </w:rPr>
        <w:t>，</w:t>
      </w:r>
      <w:r>
        <w:rPr>
          <w:rFonts w:hint="eastAsia" w:ascii="仿宋_GB2312" w:hAnsi="黑体" w:eastAsia="仿宋_GB2312"/>
          <w:b w:val="0"/>
          <w:bCs w:val="0"/>
          <w:color w:val="auto"/>
          <w:sz w:val="32"/>
          <w:szCs w:val="32"/>
          <w:highlight w:val="none"/>
          <w:u w:val="none" w:color="auto"/>
          <w:lang w:val="en-US" w:eastAsia="zh-CN"/>
        </w:rPr>
        <w:t>营商环境持续优化，</w:t>
      </w:r>
      <w:r>
        <w:rPr>
          <w:rFonts w:hint="eastAsia" w:ascii="仿宋_GB2312" w:hAnsi="黑体" w:eastAsia="仿宋_GB2312"/>
          <w:b w:val="0"/>
          <w:bCs w:val="0"/>
          <w:color w:val="auto"/>
          <w:sz w:val="32"/>
          <w:szCs w:val="32"/>
          <w:highlight w:val="none"/>
          <w:u w:val="none" w:color="auto"/>
        </w:rPr>
        <w:t>对内对外开放水平</w:t>
      </w:r>
      <w:r>
        <w:rPr>
          <w:rFonts w:hint="eastAsia" w:ascii="仿宋_GB2312" w:hAnsi="黑体" w:eastAsia="仿宋_GB2312"/>
          <w:b w:val="0"/>
          <w:bCs w:val="0"/>
          <w:color w:val="auto"/>
          <w:sz w:val="32"/>
          <w:szCs w:val="32"/>
          <w:highlight w:val="none"/>
          <w:u w:val="none" w:color="auto"/>
          <w:lang w:val="en-US" w:eastAsia="zh-CN"/>
        </w:rPr>
        <w:t>显著</w:t>
      </w:r>
      <w:r>
        <w:rPr>
          <w:rFonts w:hint="eastAsia" w:ascii="仿宋_GB2312" w:hAnsi="黑体" w:eastAsia="仿宋_GB2312"/>
          <w:b w:val="0"/>
          <w:bCs w:val="0"/>
          <w:color w:val="auto"/>
          <w:sz w:val="32"/>
          <w:szCs w:val="32"/>
          <w:highlight w:val="none"/>
          <w:u w:val="none" w:color="auto"/>
        </w:rPr>
        <w:t>提升，</w:t>
      </w:r>
      <w:r>
        <w:rPr>
          <w:rFonts w:hint="eastAsia" w:ascii="仿宋_GB2312" w:hAnsi="黑体" w:eastAsia="仿宋_GB2312"/>
          <w:b w:val="0"/>
          <w:bCs w:val="0"/>
          <w:color w:val="auto"/>
          <w:sz w:val="32"/>
          <w:szCs w:val="32"/>
          <w:highlight w:val="none"/>
          <w:u w:val="none" w:color="auto"/>
          <w:lang w:val="en-US" w:eastAsia="zh-CN"/>
        </w:rPr>
        <w:t>商</w:t>
      </w:r>
      <w:r>
        <w:rPr>
          <w:rFonts w:hint="eastAsia" w:ascii="仿宋_GB2312" w:hAnsi="黑体" w:eastAsia="仿宋_GB2312"/>
          <w:b w:val="0"/>
          <w:bCs w:val="0"/>
          <w:color w:val="auto"/>
          <w:spacing w:val="-6"/>
          <w:sz w:val="32"/>
          <w:szCs w:val="32"/>
          <w:highlight w:val="none"/>
          <w:u w:val="none" w:color="auto"/>
          <w:lang w:val="en-US" w:eastAsia="zh-CN"/>
        </w:rPr>
        <w:t>贸服务型</w:t>
      </w:r>
      <w:r>
        <w:rPr>
          <w:rFonts w:hint="eastAsia" w:ascii="仿宋_GB2312" w:hAnsi="黑体" w:eastAsia="仿宋_GB2312"/>
          <w:b w:val="0"/>
          <w:bCs w:val="0"/>
          <w:color w:val="auto"/>
          <w:spacing w:val="-6"/>
          <w:sz w:val="32"/>
          <w:szCs w:val="32"/>
          <w:highlight w:val="none"/>
          <w:u w:val="none" w:color="auto"/>
        </w:rPr>
        <w:t>国家物流枢纽和</w:t>
      </w:r>
      <w:r>
        <w:rPr>
          <w:rFonts w:hint="eastAsia" w:ascii="仿宋_GB2312" w:hAnsi="黑体" w:eastAsia="仿宋_GB2312"/>
          <w:b w:val="0"/>
          <w:bCs w:val="0"/>
          <w:color w:val="auto"/>
          <w:spacing w:val="-6"/>
          <w:sz w:val="32"/>
          <w:szCs w:val="32"/>
          <w:highlight w:val="none"/>
          <w:u w:val="none" w:color="auto"/>
          <w:lang w:val="en-US" w:eastAsia="zh-CN"/>
        </w:rPr>
        <w:t>向北开放</w:t>
      </w:r>
      <w:r>
        <w:rPr>
          <w:rFonts w:hint="eastAsia" w:ascii="仿宋_GB2312" w:hAnsi="黑体" w:eastAsia="仿宋_GB2312"/>
          <w:b w:val="0"/>
          <w:bCs w:val="0"/>
          <w:color w:val="auto"/>
          <w:spacing w:val="-6"/>
          <w:sz w:val="32"/>
          <w:szCs w:val="32"/>
          <w:highlight w:val="none"/>
          <w:u w:val="none" w:color="auto"/>
        </w:rPr>
        <w:t>口岸腹地建设取得标志性成果</w:t>
      </w:r>
      <w:r>
        <w:rPr>
          <w:rFonts w:hint="eastAsia" w:ascii="仿宋_GB2312" w:hAnsi="黑体" w:eastAsia="仿宋_GB2312"/>
          <w:b w:val="0"/>
          <w:bCs w:val="0"/>
          <w:color w:val="auto"/>
          <w:spacing w:val="-6"/>
          <w:sz w:val="32"/>
          <w:szCs w:val="32"/>
          <w:highlight w:val="none"/>
          <w:u w:val="none" w:color="auto"/>
          <w:lang w:eastAsia="zh-CN"/>
        </w:rPr>
        <w:t>。</w:t>
      </w:r>
    </w:p>
    <w:p w14:paraId="188B9467">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仿宋_GB2312" w:hAnsi="黑体" w:eastAsia="仿宋_GB2312"/>
          <w:b w:val="0"/>
          <w:bCs w:val="0"/>
          <w:color w:val="auto"/>
          <w:sz w:val="32"/>
          <w:szCs w:val="32"/>
          <w:highlight w:val="none"/>
          <w:u w:val="none" w:color="auto"/>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b w:val="0"/>
          <w:bCs w:val="0"/>
          <w:color w:val="auto"/>
          <w:sz w:val="32"/>
          <w:szCs w:val="32"/>
          <w:highlight w:val="none"/>
          <w:u w:val="none" w:color="auto"/>
        </w:rPr>
        <w:t>民生福祉</w:t>
      </w:r>
      <w:r>
        <w:rPr>
          <w:rFonts w:hint="eastAsia" w:ascii="仿宋_GB2312" w:hAnsi="黑体" w:eastAsia="仿宋_GB2312"/>
          <w:b w:val="0"/>
          <w:bCs w:val="0"/>
          <w:color w:val="auto"/>
          <w:sz w:val="32"/>
          <w:szCs w:val="32"/>
          <w:highlight w:val="none"/>
          <w:u w:val="none" w:color="auto"/>
          <w:lang w:val="en-US" w:eastAsia="zh-CN"/>
        </w:rPr>
        <w:t>实现更大改善</w:t>
      </w:r>
      <w:r>
        <w:rPr>
          <w:rFonts w:hint="eastAsia" w:ascii="仿宋_GB2312" w:hAnsi="黑体" w:eastAsia="仿宋_GB2312"/>
          <w:b w:val="0"/>
          <w:bCs w:val="0"/>
          <w:color w:val="auto"/>
          <w:sz w:val="32"/>
          <w:szCs w:val="32"/>
          <w:highlight w:val="none"/>
          <w:u w:val="none" w:color="auto"/>
          <w:lang w:eastAsia="zh-CN"/>
        </w:rPr>
        <w:t>。</w:t>
      </w:r>
      <w:r>
        <w:rPr>
          <w:rFonts w:hint="eastAsia" w:ascii="仿宋_GB2312" w:hAnsi="黑体" w:eastAsia="仿宋_GB2312"/>
          <w:b w:val="0"/>
          <w:bCs w:val="0"/>
          <w:color w:val="auto"/>
          <w:sz w:val="32"/>
          <w:szCs w:val="32"/>
          <w:highlight w:val="none"/>
          <w:u w:val="none" w:color="auto"/>
        </w:rPr>
        <w:t>城乡居民收入</w:t>
      </w:r>
      <w:r>
        <w:rPr>
          <w:rFonts w:hint="eastAsia" w:ascii="仿宋_GB2312" w:hAnsi="黑体" w:eastAsia="仿宋_GB2312"/>
          <w:b w:val="0"/>
          <w:bCs w:val="0"/>
          <w:color w:val="auto"/>
          <w:sz w:val="32"/>
          <w:szCs w:val="32"/>
          <w:highlight w:val="none"/>
          <w:u w:val="none" w:color="auto"/>
          <w:lang w:val="en-US" w:eastAsia="zh-CN"/>
        </w:rPr>
        <w:t>增速</w:t>
      </w:r>
      <w:r>
        <w:rPr>
          <w:rFonts w:hint="eastAsia" w:ascii="仿宋_GB2312" w:hAnsi="黑体" w:eastAsia="仿宋_GB2312"/>
          <w:b w:val="0"/>
          <w:bCs w:val="0"/>
          <w:color w:val="auto"/>
          <w:sz w:val="32"/>
          <w:szCs w:val="32"/>
          <w:highlight w:val="none"/>
          <w:u w:val="none" w:color="auto"/>
        </w:rPr>
        <w:t>高于经济</w:t>
      </w:r>
      <w:r>
        <w:rPr>
          <w:rFonts w:hint="eastAsia" w:ascii="仿宋_GB2312" w:hAnsi="黑体" w:eastAsia="仿宋_GB2312"/>
          <w:b w:val="0"/>
          <w:bCs w:val="0"/>
          <w:color w:val="auto"/>
          <w:sz w:val="32"/>
          <w:szCs w:val="32"/>
          <w:highlight w:val="none"/>
          <w:u w:val="none" w:color="auto"/>
          <w:lang w:val="en-US" w:eastAsia="zh-CN"/>
        </w:rPr>
        <w:t>增速</w:t>
      </w:r>
      <w:r>
        <w:rPr>
          <w:rFonts w:hint="eastAsia" w:ascii="仿宋_GB2312" w:hAnsi="黑体" w:eastAsia="仿宋_GB2312"/>
          <w:b w:val="0"/>
          <w:bCs w:val="0"/>
          <w:color w:val="auto"/>
          <w:sz w:val="32"/>
          <w:szCs w:val="32"/>
          <w:highlight w:val="none"/>
          <w:u w:val="none" w:color="auto"/>
        </w:rPr>
        <w:t>，就业更有质量更加充分，基本公共服务更加优质均衡，脱贫攻坚成果巩固拓展，人民对美好生活的向往得到更好满足。</w:t>
      </w:r>
    </w:p>
    <w:p w14:paraId="26DE8FFC">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仿宋_GB2312" w:hAnsi="黑体" w:eastAsia="仿宋_GB2312" w:cs="Times New Roman"/>
          <w:b w:val="0"/>
          <w:bCs w:val="0"/>
          <w:color w:val="auto"/>
          <w:sz w:val="32"/>
          <w:szCs w:val="32"/>
          <w:highlight w:val="none"/>
          <w:u w:val="none" w:color="auto"/>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b w:val="0"/>
          <w:bCs w:val="0"/>
          <w:color w:val="auto"/>
          <w:sz w:val="32"/>
          <w:szCs w:val="32"/>
          <w:highlight w:val="none"/>
          <w:u w:val="none" w:color="auto"/>
        </w:rPr>
        <w:t>社会治理效能</w:t>
      </w:r>
      <w:r>
        <w:rPr>
          <w:rFonts w:hint="eastAsia" w:ascii="仿宋_GB2312" w:hAnsi="黑体" w:eastAsia="仿宋_GB2312"/>
          <w:b w:val="0"/>
          <w:bCs w:val="0"/>
          <w:color w:val="auto"/>
          <w:sz w:val="32"/>
          <w:szCs w:val="32"/>
          <w:highlight w:val="none"/>
          <w:u w:val="none" w:color="auto"/>
          <w:lang w:val="en-US" w:eastAsia="zh-CN"/>
        </w:rPr>
        <w:t>实现更大</w:t>
      </w:r>
      <w:r>
        <w:rPr>
          <w:rFonts w:hint="eastAsia" w:ascii="仿宋_GB2312" w:hAnsi="黑体" w:eastAsia="仿宋_GB2312"/>
          <w:b w:val="0"/>
          <w:bCs w:val="0"/>
          <w:color w:val="auto"/>
          <w:sz w:val="32"/>
          <w:szCs w:val="32"/>
          <w:highlight w:val="none"/>
          <w:u w:val="none" w:color="auto"/>
        </w:rPr>
        <w:t>提升</w:t>
      </w:r>
      <w:r>
        <w:rPr>
          <w:rFonts w:hint="eastAsia" w:ascii="仿宋_GB2312" w:hAnsi="黑体" w:eastAsia="仿宋_GB2312"/>
          <w:b w:val="0"/>
          <w:bCs w:val="0"/>
          <w:color w:val="auto"/>
          <w:sz w:val="32"/>
          <w:szCs w:val="32"/>
          <w:highlight w:val="none"/>
          <w:u w:val="none" w:color="auto"/>
          <w:lang w:eastAsia="zh-CN"/>
        </w:rPr>
        <w:t>。</w:t>
      </w:r>
      <w:r>
        <w:rPr>
          <w:rFonts w:hint="eastAsia" w:ascii="仿宋_GB2312" w:hAnsi="黑体" w:eastAsia="仿宋_GB2312" w:cs="Times New Roman"/>
          <w:b w:val="0"/>
          <w:bCs w:val="0"/>
          <w:color w:val="auto"/>
          <w:sz w:val="32"/>
          <w:szCs w:val="32"/>
          <w:highlight w:val="none"/>
          <w:u w:val="none" w:color="auto"/>
        </w:rPr>
        <w:t>平安</w:t>
      </w:r>
      <w:r>
        <w:rPr>
          <w:rFonts w:hint="eastAsia" w:ascii="仿宋_GB2312" w:hAnsi="黑体" w:eastAsia="仿宋_GB2312" w:cs="Times New Roman"/>
          <w:b w:val="0"/>
          <w:bCs w:val="0"/>
          <w:color w:val="auto"/>
          <w:sz w:val="32"/>
          <w:szCs w:val="32"/>
          <w:highlight w:val="none"/>
          <w:u w:val="none" w:color="auto"/>
          <w:lang w:val="en-US" w:eastAsia="zh-CN"/>
        </w:rPr>
        <w:t>建设</w:t>
      </w:r>
      <w:r>
        <w:rPr>
          <w:rFonts w:hint="eastAsia" w:ascii="仿宋_GB2312" w:hAnsi="黑体" w:eastAsia="仿宋_GB2312" w:cs="Times New Roman"/>
          <w:b w:val="0"/>
          <w:bCs w:val="0"/>
          <w:color w:val="auto"/>
          <w:sz w:val="32"/>
          <w:szCs w:val="32"/>
          <w:highlight w:val="none"/>
          <w:u w:val="none" w:color="auto"/>
        </w:rPr>
        <w:t>、法治</w:t>
      </w:r>
      <w:r>
        <w:rPr>
          <w:rFonts w:hint="eastAsia" w:ascii="仿宋_GB2312" w:hAnsi="黑体" w:eastAsia="仿宋_GB2312" w:cs="Times New Roman"/>
          <w:b w:val="0"/>
          <w:bCs w:val="0"/>
          <w:color w:val="auto"/>
          <w:sz w:val="32"/>
          <w:szCs w:val="32"/>
          <w:highlight w:val="none"/>
          <w:u w:val="none" w:color="auto"/>
          <w:lang w:val="en-US" w:eastAsia="zh-CN"/>
        </w:rPr>
        <w:t>建设</w:t>
      </w:r>
      <w:r>
        <w:rPr>
          <w:rFonts w:hint="eastAsia" w:ascii="仿宋_GB2312" w:hAnsi="黑体" w:eastAsia="仿宋_GB2312" w:cs="Times New Roman"/>
          <w:b w:val="0"/>
          <w:bCs w:val="0"/>
          <w:color w:val="auto"/>
          <w:sz w:val="32"/>
          <w:szCs w:val="32"/>
          <w:highlight w:val="none"/>
          <w:u w:val="none" w:color="auto"/>
        </w:rPr>
        <w:t>、诚信建设深入推进，防范化解重大风险体制机制不断健全，</w:t>
      </w:r>
      <w:r>
        <w:rPr>
          <w:rFonts w:hint="eastAsia" w:ascii="仿宋_GB2312" w:hAnsi="黑体" w:eastAsia="仿宋_GB2312"/>
          <w:b w:val="0"/>
          <w:bCs w:val="0"/>
          <w:color w:val="auto"/>
          <w:sz w:val="32"/>
          <w:szCs w:val="32"/>
          <w:highlight w:val="none"/>
          <w:u w:val="none" w:color="auto"/>
          <w:lang w:val="en-US" w:eastAsia="zh-CN"/>
        </w:rPr>
        <w:t>社会治理体系更加完备，</w:t>
      </w:r>
      <w:r>
        <w:rPr>
          <w:rFonts w:hint="eastAsia" w:ascii="仿宋_GB2312" w:hAnsi="黑体" w:eastAsia="仿宋_GB2312" w:cs="Times New Roman"/>
          <w:b w:val="0"/>
          <w:bCs w:val="0"/>
          <w:color w:val="auto"/>
          <w:sz w:val="32"/>
          <w:szCs w:val="32"/>
          <w:highlight w:val="none"/>
          <w:u w:val="none" w:color="auto"/>
          <w:lang w:eastAsia="zh-CN"/>
        </w:rPr>
        <w:t>安全体系和能力</w:t>
      </w:r>
      <w:r>
        <w:rPr>
          <w:rFonts w:hint="eastAsia" w:ascii="仿宋_GB2312" w:hAnsi="黑体" w:eastAsia="仿宋_GB2312" w:cs="Times New Roman"/>
          <w:b w:val="0"/>
          <w:bCs w:val="0"/>
          <w:color w:val="auto"/>
          <w:sz w:val="32"/>
          <w:szCs w:val="32"/>
          <w:highlight w:val="none"/>
          <w:u w:val="none" w:color="auto"/>
        </w:rPr>
        <w:t>现代化水平</w:t>
      </w:r>
      <w:r>
        <w:rPr>
          <w:rFonts w:hint="eastAsia" w:ascii="仿宋_GB2312" w:hAnsi="黑体" w:eastAsia="仿宋_GB2312" w:cs="Times New Roman"/>
          <w:b w:val="0"/>
          <w:bCs w:val="0"/>
          <w:color w:val="auto"/>
          <w:sz w:val="32"/>
          <w:szCs w:val="32"/>
          <w:highlight w:val="none"/>
          <w:u w:val="none" w:color="auto"/>
          <w:lang w:eastAsia="zh-CN"/>
        </w:rPr>
        <w:t>显著</w:t>
      </w:r>
      <w:r>
        <w:rPr>
          <w:rFonts w:hint="eastAsia" w:ascii="仿宋_GB2312" w:hAnsi="黑体" w:eastAsia="仿宋_GB2312" w:cs="Times New Roman"/>
          <w:b w:val="0"/>
          <w:bCs w:val="0"/>
          <w:color w:val="auto"/>
          <w:sz w:val="32"/>
          <w:szCs w:val="32"/>
          <w:highlight w:val="none"/>
          <w:u w:val="none" w:color="auto"/>
        </w:rPr>
        <w:t>提升，</w:t>
      </w:r>
      <w:r>
        <w:rPr>
          <w:rFonts w:hint="eastAsia" w:ascii="仿宋_GB2312" w:hAnsi="黑体" w:eastAsia="仿宋_GB2312" w:cs="Times New Roman"/>
          <w:b w:val="0"/>
          <w:bCs w:val="0"/>
          <w:color w:val="auto"/>
          <w:sz w:val="32"/>
          <w:szCs w:val="32"/>
          <w:highlight w:val="none"/>
          <w:u w:val="none" w:color="auto"/>
          <w:lang w:val="en-US" w:eastAsia="zh-CN"/>
        </w:rPr>
        <w:t>为筑牢</w:t>
      </w:r>
      <w:r>
        <w:rPr>
          <w:rFonts w:hint="eastAsia" w:ascii="仿宋_GB2312" w:hAnsi="黑体" w:eastAsia="仿宋_GB2312" w:cs="Times New Roman"/>
          <w:b w:val="0"/>
          <w:bCs w:val="0"/>
          <w:color w:val="auto"/>
          <w:sz w:val="32"/>
          <w:szCs w:val="32"/>
          <w:highlight w:val="none"/>
          <w:u w:val="none" w:color="auto"/>
        </w:rPr>
        <w:t>祖国北疆安全稳定屏障</w:t>
      </w:r>
      <w:r>
        <w:rPr>
          <w:rFonts w:hint="eastAsia" w:ascii="仿宋_GB2312" w:hAnsi="黑体" w:eastAsia="仿宋_GB2312" w:cs="Times New Roman"/>
          <w:b w:val="0"/>
          <w:bCs w:val="0"/>
          <w:color w:val="auto"/>
          <w:sz w:val="32"/>
          <w:szCs w:val="32"/>
          <w:highlight w:val="none"/>
          <w:u w:val="none" w:color="auto"/>
          <w:lang w:val="en-US" w:eastAsia="zh-CN"/>
        </w:rPr>
        <w:t>作出更大贡献</w:t>
      </w:r>
      <w:r>
        <w:rPr>
          <w:rFonts w:hint="eastAsia" w:ascii="仿宋_GB2312" w:hAnsi="黑体" w:eastAsia="仿宋_GB2312" w:cs="Times New Roman"/>
          <w:b w:val="0"/>
          <w:bCs w:val="0"/>
          <w:color w:val="auto"/>
          <w:sz w:val="32"/>
          <w:szCs w:val="32"/>
          <w:highlight w:val="none"/>
          <w:u w:val="none" w:color="auto"/>
        </w:rPr>
        <w:t>。</w:t>
      </w:r>
    </w:p>
    <w:p w14:paraId="713E308D">
      <w:pPr>
        <w:pStyle w:val="43"/>
        <w:keepNext w:val="0"/>
        <w:keepLines w:val="0"/>
        <w:pageBreakBefore w:val="0"/>
        <w:widowControl w:val="0"/>
        <w:shd w:val="clear" w:color="auto" w:fill="auto"/>
        <w:kinsoku/>
        <w:wordWrap/>
        <w:overflowPunct w:val="0"/>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eastAsia" w:ascii="仿宋_GB2312" w:hAnsi="黑体" w:eastAsia="仿宋_GB2312" w:cs="Times New Roman"/>
          <w:b w:val="0"/>
          <w:bCs w:val="0"/>
          <w:color w:val="auto"/>
          <w:sz w:val="32"/>
          <w:szCs w:val="32"/>
          <w:highlight w:val="none"/>
          <w:u w:val="none" w:color="auto"/>
          <w:lang w:val="en-US" w:eastAsia="zh-CN"/>
        </w:rPr>
        <w:t>完成以上目标的同时，立足实际，聚焦对赤峰市高质量发展具有支撑性、牵引性的重要领域，扬优势、补短板、求突破，推进“五市五区”建设。</w:t>
      </w:r>
    </w:p>
    <w:p w14:paraId="3E796F8B">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default" w:ascii="仿宋_GB2312" w:hAnsi="黑体"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铸牢中华民族共同体意识先进市。全国民族团结进步示范市创建成果持续巩固，铸牢中华民族共同体意识宣传教育、理论研究、阵地建设取得重要成果，在全方位建设模范自治区中走在前列，在铸牢中华民族共同体意识、推进中华民族共同体建设中出典型。</w:t>
      </w:r>
    </w:p>
    <w:p w14:paraId="5DC6CA3F">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建设现代化区域性中心城市。</w:t>
      </w:r>
      <w:r>
        <w:rPr>
          <w:rFonts w:hint="eastAsia" w:ascii="仿宋_GB2312" w:hAnsi="黑体" w:eastAsia="仿宋_GB2312" w:cs="Times New Roman"/>
          <w:b w:val="0"/>
          <w:bCs w:val="0"/>
          <w:color w:val="auto"/>
          <w:sz w:val="32"/>
          <w:szCs w:val="32"/>
          <w:highlight w:val="none"/>
          <w:u w:val="none" w:color="auto"/>
          <w:lang w:val="en-US" w:eastAsia="zh-CN"/>
        </w:rPr>
        <w:t>区域竞争力进一步增强，公共服务保障能力、要素集聚能力、产业支撑能力和现代化水平进一步提高，内生发展动力和活力进一步彰显，对周边地区的辐射带动作用显著增强。</w:t>
      </w:r>
    </w:p>
    <w:p w14:paraId="6BF076FA">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default" w:ascii="仿宋_GB2312" w:hAnsi="黑体"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建设全国文明城市。</w:t>
      </w:r>
      <w:r>
        <w:rPr>
          <w:rFonts w:hint="default" w:ascii="仿宋_GB2312" w:hAnsi="黑体" w:eastAsia="仿宋_GB2312" w:cs="Times New Roman"/>
          <w:b w:val="0"/>
          <w:bCs w:val="0"/>
          <w:color w:val="auto"/>
          <w:kern w:val="2"/>
          <w:sz w:val="32"/>
          <w:szCs w:val="32"/>
          <w:highlight w:val="none"/>
          <w:u w:val="none" w:color="auto"/>
          <w:lang w:val="en-US" w:eastAsia="zh-CN" w:bidi="ar-SA"/>
        </w:rPr>
        <w:t>社会主义核心价值观深入人心，人民群众思想道德素质、科学文化素质和身心健康素质明显提高，公共文化服务体系更加健全，人民精神文化生活日益丰富，优秀传统文化</w:t>
      </w:r>
      <w:r>
        <w:rPr>
          <w:rFonts w:hint="eastAsia" w:ascii="仿宋_GB2312" w:hAnsi="黑体" w:eastAsia="仿宋_GB2312" w:cs="Times New Roman"/>
          <w:b w:val="0"/>
          <w:bCs w:val="0"/>
          <w:color w:val="auto"/>
          <w:kern w:val="2"/>
          <w:sz w:val="32"/>
          <w:szCs w:val="32"/>
          <w:highlight w:val="none"/>
          <w:u w:val="none" w:color="auto"/>
          <w:lang w:val="en-US" w:eastAsia="zh-CN" w:bidi="ar-SA"/>
        </w:rPr>
        <w:t>和革命文化</w:t>
      </w:r>
      <w:r>
        <w:rPr>
          <w:rFonts w:hint="default" w:ascii="仿宋_GB2312" w:hAnsi="黑体" w:eastAsia="仿宋_GB2312" w:cs="Times New Roman"/>
          <w:b w:val="0"/>
          <w:bCs w:val="0"/>
          <w:color w:val="auto"/>
          <w:kern w:val="2"/>
          <w:sz w:val="32"/>
          <w:szCs w:val="32"/>
          <w:highlight w:val="none"/>
          <w:u w:val="none" w:color="auto"/>
          <w:lang w:val="en-US" w:eastAsia="zh-CN" w:bidi="ar-SA"/>
        </w:rPr>
        <w:t>传承弘扬，</w:t>
      </w:r>
      <w:r>
        <w:rPr>
          <w:rFonts w:hint="eastAsia" w:ascii="仿宋_GB2312" w:hAnsi="黑体" w:eastAsia="仿宋_GB2312" w:cs="Times New Roman"/>
          <w:b w:val="0"/>
          <w:bCs w:val="0"/>
          <w:color w:val="auto"/>
          <w:kern w:val="2"/>
          <w:sz w:val="32"/>
          <w:szCs w:val="32"/>
          <w:highlight w:val="none"/>
          <w:u w:val="none" w:color="auto"/>
          <w:lang w:val="en-US" w:eastAsia="zh-CN" w:bidi="ar-SA"/>
        </w:rPr>
        <w:t>社会文明程度得到新提高</w:t>
      </w:r>
      <w:r>
        <w:rPr>
          <w:rFonts w:hint="default" w:ascii="仿宋_GB2312" w:hAnsi="黑体" w:eastAsia="仿宋_GB2312" w:cs="Times New Roman"/>
          <w:b w:val="0"/>
          <w:bCs w:val="0"/>
          <w:color w:val="auto"/>
          <w:kern w:val="2"/>
          <w:sz w:val="32"/>
          <w:szCs w:val="32"/>
          <w:highlight w:val="none"/>
          <w:u w:val="none" w:color="auto"/>
          <w:lang w:val="en-US" w:eastAsia="zh-CN" w:bidi="ar-SA"/>
        </w:rPr>
        <w:t>。</w:t>
      </w:r>
    </w:p>
    <w:p w14:paraId="5CFAB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建设生态文明建设先进市。</w:t>
      </w:r>
      <w:r>
        <w:rPr>
          <w:rFonts w:hint="eastAsia" w:ascii="仿宋_GB2312" w:hAnsi="黑体" w:eastAsia="仿宋_GB2312" w:cs="Times New Roman"/>
          <w:b w:val="0"/>
          <w:bCs w:val="0"/>
          <w:color w:val="auto"/>
          <w:kern w:val="2"/>
          <w:sz w:val="32"/>
          <w:szCs w:val="32"/>
          <w:highlight w:val="none"/>
          <w:u w:val="none" w:color="auto"/>
          <w:lang w:val="en-US" w:eastAsia="zh-CN" w:bidi="ar-SA"/>
        </w:rPr>
        <w:t>国家森林城市、国家园林城市、全国防沙治沙综合示范区建设成果巩固提升，</w:t>
      </w:r>
      <w:r>
        <w:rPr>
          <w:rFonts w:hint="eastAsia" w:ascii="仿宋_GB2312" w:hAnsi="黑体" w:eastAsia="仿宋_GB2312" w:cs="Times New Roman"/>
          <w:b w:val="0"/>
          <w:bCs w:val="0"/>
          <w:color w:val="auto"/>
          <w:sz w:val="32"/>
          <w:szCs w:val="32"/>
          <w:highlight w:val="none"/>
          <w:u w:val="none" w:color="auto"/>
          <w:lang w:val="en-US" w:eastAsia="zh-CN"/>
        </w:rPr>
        <w:t>经济社会发展全面绿色转型成效显著，</w:t>
      </w:r>
      <w:r>
        <w:rPr>
          <w:rFonts w:hint="eastAsia" w:ascii="仿宋_GB2312" w:hAnsi="黑体" w:eastAsia="仿宋_GB2312" w:cs="Times New Roman"/>
          <w:b w:val="0"/>
          <w:bCs w:val="0"/>
          <w:color w:val="auto"/>
          <w:kern w:val="2"/>
          <w:sz w:val="32"/>
          <w:szCs w:val="32"/>
          <w:highlight w:val="none"/>
          <w:u w:val="none" w:color="auto"/>
          <w:lang w:val="en-US" w:eastAsia="zh-CN" w:bidi="ar-SA"/>
        </w:rPr>
        <w:t>形成一批可复制、可推广的生态文明建设经验典型</w:t>
      </w:r>
      <w:r>
        <w:rPr>
          <w:rFonts w:hint="eastAsia" w:ascii="仿宋_GB2312" w:hAnsi="黑体" w:eastAsia="仿宋_GB2312" w:cs="Times New Roman"/>
          <w:b w:val="0"/>
          <w:bCs w:val="0"/>
          <w:color w:val="auto"/>
          <w:sz w:val="32"/>
          <w:szCs w:val="32"/>
          <w:highlight w:val="none"/>
          <w:u w:val="none" w:color="auto"/>
          <w:lang w:val="en-US" w:eastAsia="zh-CN"/>
        </w:rPr>
        <w:t>，更好助力自治区建设美丽中国先行区、国家生态文明试验区</w:t>
      </w:r>
      <w:r>
        <w:rPr>
          <w:rFonts w:hint="eastAsia" w:ascii="仿宋_GB2312" w:hAnsi="黑体" w:eastAsia="仿宋_GB2312" w:cs="Times New Roman"/>
          <w:b w:val="0"/>
          <w:bCs w:val="0"/>
          <w:color w:val="auto"/>
          <w:kern w:val="2"/>
          <w:sz w:val="32"/>
          <w:szCs w:val="32"/>
          <w:highlight w:val="none"/>
          <w:u w:val="none" w:color="auto"/>
          <w:lang w:val="en-US" w:eastAsia="zh-CN" w:bidi="ar-SA"/>
        </w:rPr>
        <w:t>。</w:t>
      </w:r>
    </w:p>
    <w:p w14:paraId="503AC481">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eastAsia" w:ascii="仿宋_GB2312" w:hAnsi="黑体" w:eastAsia="仿宋_GB2312"/>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建设社会治理现代化城市。</w:t>
      </w:r>
      <w:r>
        <w:rPr>
          <w:rFonts w:hint="eastAsia" w:ascii="仿宋_GB2312" w:hAnsi="黑体" w:eastAsia="仿宋_GB2312" w:cs="Times New Roman"/>
          <w:b w:val="0"/>
          <w:bCs w:val="0"/>
          <w:color w:val="auto"/>
          <w:kern w:val="2"/>
          <w:sz w:val="32"/>
          <w:szCs w:val="32"/>
          <w:highlight w:val="none"/>
          <w:u w:val="none" w:color="auto"/>
          <w:lang w:val="en-US" w:eastAsia="zh-CN" w:bidi="ar-SA"/>
        </w:rPr>
        <w:t>社会治理工作体制、布局、方式现代化水平明显提高，防范化解重大风险有力有效，平安和法治建设达到更高水平，体现时代特征、地区特色的社会治理模式基本形成。</w:t>
      </w:r>
    </w:p>
    <w:p w14:paraId="47CA96F9">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建设承接产业转移集聚区。</w:t>
      </w:r>
      <w:r>
        <w:rPr>
          <w:rFonts w:hint="eastAsia" w:ascii="仿宋_GB2312" w:hAnsi="黑体" w:eastAsia="仿宋_GB2312" w:cs="Times New Roman"/>
          <w:b w:val="0"/>
          <w:bCs w:val="0"/>
          <w:color w:val="auto"/>
          <w:sz w:val="32"/>
          <w:szCs w:val="32"/>
          <w:highlight w:val="none"/>
          <w:u w:val="none" w:color="auto"/>
          <w:lang w:val="en-US" w:eastAsia="zh-CN"/>
        </w:rPr>
        <w:t>产业承接能力和园区承载能力不断增强，招商引资和重点项目建设高位推进，投资保持较高增速，优势特色产业链式集群发展迈出坚实步伐，</w:t>
      </w:r>
      <w:r>
        <w:rPr>
          <w:rFonts w:hint="eastAsia" w:ascii="仿宋_GB2312" w:hAnsi="黑体" w:eastAsia="仿宋_GB2312"/>
          <w:b w:val="0"/>
          <w:bCs w:val="0"/>
          <w:color w:val="auto"/>
          <w:sz w:val="32"/>
          <w:szCs w:val="32"/>
          <w:highlight w:val="none"/>
          <w:u w:val="none" w:color="auto"/>
          <w:lang w:val="en-US" w:eastAsia="zh-CN"/>
        </w:rPr>
        <w:t>现代化产业体系基本建成</w:t>
      </w:r>
      <w:r>
        <w:rPr>
          <w:rFonts w:hint="eastAsia" w:ascii="仿宋_GB2312" w:hAnsi="黑体" w:eastAsia="仿宋_GB2312" w:cs="Times New Roman"/>
          <w:b w:val="0"/>
          <w:bCs w:val="0"/>
          <w:color w:val="auto"/>
          <w:sz w:val="32"/>
          <w:szCs w:val="32"/>
          <w:highlight w:val="none"/>
          <w:u w:val="none" w:color="auto"/>
          <w:lang w:val="en-US" w:eastAsia="zh-CN"/>
        </w:rPr>
        <w:t>。</w:t>
      </w:r>
    </w:p>
    <w:p w14:paraId="450DB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建设现代农牧业高质量发展样板区。</w:t>
      </w:r>
      <w:r>
        <w:rPr>
          <w:rFonts w:hint="eastAsia" w:ascii="仿宋_GB2312" w:hAnsi="黑体" w:eastAsia="仿宋_GB2312" w:cs="Times New Roman"/>
          <w:b w:val="0"/>
          <w:bCs w:val="0"/>
          <w:color w:val="auto"/>
          <w:sz w:val="32"/>
          <w:szCs w:val="32"/>
          <w:highlight w:val="none"/>
          <w:u w:val="none" w:color="auto"/>
          <w:lang w:val="en-US" w:eastAsia="zh-CN"/>
        </w:rPr>
        <w:t>粮食综合生产能力稳步提升，农牧业质量效益和竞争力明显增强，农牧业区域公用品牌影响力进一步扩大，一二三产深度融合，现代农牧业大产业发展格局初步建成。</w:t>
      </w:r>
    </w:p>
    <w:p w14:paraId="5DD05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建设绿色能源综合应用先行区。</w:t>
      </w:r>
      <w:r>
        <w:rPr>
          <w:rFonts w:hint="eastAsia" w:ascii="仿宋_GB2312" w:hAnsi="黑体" w:eastAsia="仿宋_GB2312" w:cs="Times New Roman"/>
          <w:b w:val="0"/>
          <w:bCs w:val="0"/>
          <w:color w:val="auto"/>
          <w:sz w:val="32"/>
          <w:szCs w:val="32"/>
          <w:highlight w:val="none"/>
          <w:u w:val="none" w:color="auto"/>
          <w:lang w:val="en-US" w:eastAsia="zh-CN"/>
        </w:rPr>
        <w:t>以风光氢储为支撑的新能源产业成为重要支柱产业，以多能平衡互济、源荷高效匹配、</w:t>
      </w:r>
      <w:r>
        <w:rPr>
          <w:rFonts w:hint="eastAsia" w:ascii="仿宋_GB2312" w:hAnsi="黑体" w:eastAsia="仿宋_GB2312" w:cs="Times New Roman"/>
          <w:b w:val="0"/>
          <w:bCs w:val="0"/>
          <w:i w:val="0"/>
          <w:iCs w:val="0"/>
          <w:color w:val="auto"/>
          <w:sz w:val="32"/>
          <w:szCs w:val="32"/>
          <w:highlight w:val="none"/>
          <w:u w:val="none" w:color="auto"/>
          <w:lang w:val="en-US" w:eastAsia="zh-CN"/>
        </w:rPr>
        <w:t>电网智能通畅、</w:t>
      </w:r>
      <w:r>
        <w:rPr>
          <w:rFonts w:hint="eastAsia" w:ascii="仿宋_GB2312" w:hAnsi="黑体" w:eastAsia="仿宋_GB2312" w:cs="Times New Roman"/>
          <w:b w:val="0"/>
          <w:bCs w:val="0"/>
          <w:color w:val="auto"/>
          <w:sz w:val="32"/>
          <w:szCs w:val="32"/>
          <w:highlight w:val="none"/>
          <w:u w:val="none" w:color="auto"/>
          <w:lang w:val="en-US" w:eastAsia="zh-CN"/>
        </w:rPr>
        <w:t>新能源就地消纳为主要特征的“新能源+”产业发展模式初步成型，承接高载能产业转移成果显著，成为全国重</w:t>
      </w:r>
      <w:r>
        <w:rPr>
          <w:rFonts w:hint="default" w:ascii="Times New Roman" w:hAnsi="Times New Roman" w:eastAsia="仿宋_GB2312" w:cs="Times New Roman"/>
          <w:b w:val="0"/>
          <w:bCs w:val="0"/>
          <w:color w:val="auto"/>
          <w:sz w:val="32"/>
          <w:szCs w:val="32"/>
          <w:highlight w:val="none"/>
          <w:u w:val="none" w:color="auto"/>
          <w:lang w:val="en-US" w:eastAsia="zh-CN"/>
        </w:rPr>
        <w:t>要</w:t>
      </w:r>
      <w:r>
        <w:rPr>
          <w:rFonts w:hint="eastAsia" w:ascii="Times New Roman" w:hAnsi="Times New Roman" w:eastAsia="仿宋_GB2312" w:cs="Times New Roman"/>
          <w:b w:val="0"/>
          <w:bCs w:val="0"/>
          <w:color w:val="auto"/>
          <w:sz w:val="32"/>
          <w:szCs w:val="32"/>
          <w:highlight w:val="none"/>
          <w:u w:val="none" w:color="auto"/>
          <w:lang w:val="en-US" w:eastAsia="zh-CN"/>
        </w:rPr>
        <w:t>的</w:t>
      </w:r>
      <w:r>
        <w:rPr>
          <w:rFonts w:hint="default" w:ascii="Times New Roman" w:hAnsi="Times New Roman" w:eastAsia="仿宋_GB2312" w:cs="Times New Roman"/>
          <w:b w:val="0"/>
          <w:bCs w:val="0"/>
          <w:color w:val="auto"/>
          <w:sz w:val="32"/>
          <w:szCs w:val="32"/>
          <w:highlight w:val="none"/>
          <w:u w:val="none" w:color="auto"/>
          <w:lang w:val="en-US" w:eastAsia="zh-CN"/>
        </w:rPr>
        <w:t>现代能源产业基地。</w:t>
      </w:r>
    </w:p>
    <w:p w14:paraId="04FFCE62">
      <w:pPr>
        <w:keepNext w:val="0"/>
        <w:keepLines w:val="0"/>
        <w:pageBreakBefore w:val="0"/>
        <w:widowControl w:val="0"/>
        <w:numPr>
          <w:ilvl w:val="0"/>
          <w:numId w:val="0"/>
        </w:numPr>
        <w:shd w:val="clear" w:color="auto" w:fill="auto"/>
        <w:kinsoku/>
        <w:wordWrap/>
        <w:topLinePunct w:val="0"/>
        <w:autoSpaceDE/>
        <w:autoSpaceDN/>
        <w:bidi w:val="0"/>
        <w:adjustRightInd/>
        <w:snapToGrid/>
        <w:spacing w:line="560" w:lineRule="exact"/>
        <w:ind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建设文旅体农商融合发展引领区。</w:t>
      </w:r>
      <w:r>
        <w:rPr>
          <w:rFonts w:hint="eastAsia" w:ascii="仿宋_GB2312" w:hAnsi="黑体" w:eastAsia="仿宋_GB2312" w:cs="Times New Roman"/>
          <w:b w:val="0"/>
          <w:bCs w:val="0"/>
          <w:color w:val="auto"/>
          <w:sz w:val="32"/>
          <w:szCs w:val="32"/>
          <w:highlight w:val="none"/>
          <w:u w:val="none" w:color="auto"/>
          <w:lang w:val="en-US" w:eastAsia="zh-CN"/>
        </w:rPr>
        <w:t>旅游产品供给和品牌影响力大幅提升，文旅体农商融合的业态更加丰富，点线面串联贯通的融合发展格局初步形成，文旅产业成为驱动区域经济高质量发展的重要引擎和群众增收致富的重要支柱。</w:t>
      </w:r>
    </w:p>
    <w:p w14:paraId="0E9F6ACF">
      <w:pPr>
        <w:keepNext w:val="0"/>
        <w:keepLines w:val="0"/>
        <w:pageBreakBefore w:val="0"/>
        <w:widowControl w:val="0"/>
        <w:numPr>
          <w:ilvl w:val="0"/>
          <w:numId w:val="0"/>
        </w:numPr>
        <w:shd w:val="clear" w:color="auto" w:fill="auto"/>
        <w:kinsoku/>
        <w:wordWrap/>
        <w:topLinePunct w:val="0"/>
        <w:autoSpaceDE/>
        <w:autoSpaceDN/>
        <w:bidi w:val="0"/>
        <w:adjustRightInd/>
        <w:snapToGrid/>
        <w:spacing w:line="560" w:lineRule="exact"/>
        <w:ind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建设区域性现代物流核心区。</w:t>
      </w:r>
      <w:r>
        <w:rPr>
          <w:rFonts w:hint="eastAsia" w:ascii="仿宋_GB2312" w:hAnsi="黑体" w:eastAsia="仿宋_GB2312" w:cs="Times New Roman"/>
          <w:b w:val="0"/>
          <w:bCs w:val="0"/>
          <w:color w:val="auto"/>
          <w:sz w:val="32"/>
          <w:szCs w:val="32"/>
          <w:highlight w:val="none"/>
          <w:u w:val="none" w:color="auto"/>
          <w:lang w:val="en-US" w:eastAsia="zh-CN"/>
        </w:rPr>
        <w:t>商贸服务型国家物流枢纽承载城市、国家现代流通战略支点城市、全国性邮政快递枢纽承载城市建设取得明显进展，现代化商贸物流体系更加健全，成为“服务蒙东、辐射全国、融入国际”的现代物流枢纽城市。</w:t>
      </w:r>
    </w:p>
    <w:p w14:paraId="70C88F2F">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eastAsia" w:ascii="Times New Roman" w:hAnsi="Times New Roman" w:eastAsia="仿宋_GB2312" w:cs="方正仿宋_GBK"/>
          <w:b w:val="0"/>
          <w:bCs w:val="0"/>
          <w:spacing w:val="0"/>
          <w:szCs w:val="36"/>
          <w:highlight w:val="none"/>
          <w:lang w:val="en-US" w:eastAsia="zh-CN"/>
        </w:rPr>
        <w:t>在“十五五”基础上再奋斗五年，到二〇三五年全市综合经济实力大幅跃升，经济总量、人均地区生产总值和城乡居民收入迈上新台阶，中华民族共同体意识更加深入人心，共同富裕取得更为明显的实质性进展，为自治区</w:t>
      </w:r>
      <w:r>
        <w:rPr>
          <w:rFonts w:hint="eastAsia" w:eastAsia="仿宋_GB2312" w:cs="方正仿宋_GBK"/>
          <w:b w:val="0"/>
          <w:bCs w:val="0"/>
          <w:spacing w:val="0"/>
          <w:szCs w:val="36"/>
          <w:highlight w:val="none"/>
          <w:lang w:val="en-US" w:eastAsia="zh-CN"/>
        </w:rPr>
        <w:t>“两个稳居”、</w:t>
      </w:r>
      <w:r>
        <w:rPr>
          <w:rFonts w:hint="eastAsia" w:ascii="Times New Roman" w:hAnsi="Times New Roman" w:eastAsia="仿宋_GB2312" w:cs="方正仿宋_GBK"/>
          <w:b w:val="0"/>
          <w:bCs w:val="0"/>
          <w:spacing w:val="0"/>
          <w:szCs w:val="36"/>
          <w:highlight w:val="none"/>
          <w:lang w:val="en-US" w:eastAsia="zh-CN"/>
        </w:rPr>
        <w:t>“两个继续走在前列”作出更大贡献，与全国全区一道基本实现社会主义现代化</w:t>
      </w:r>
      <w:r>
        <w:rPr>
          <w:rFonts w:hint="eastAsia" w:ascii="Times New Roman" w:hAnsi="Times New Roman" w:eastAsia="仿宋_GB2312" w:cs="方正仿宋_GBK"/>
          <w:b w:val="0"/>
          <w:bCs w:val="0"/>
          <w:spacing w:val="0"/>
          <w:szCs w:val="36"/>
          <w:highlight w:val="none"/>
        </w:rPr>
        <w:t>。</w:t>
      </w:r>
    </w:p>
    <w:p w14:paraId="1092C23D">
      <w:pPr>
        <w:pStyle w:val="32"/>
        <w:rPr>
          <w:rFonts w:hint="eastAsia" w:ascii="仿宋_GB2312" w:hAnsi="黑体" w:eastAsia="仿宋_GB2312" w:cs="Times New Roman"/>
          <w:b w:val="0"/>
          <w:bCs w:val="0"/>
          <w:color w:val="auto"/>
          <w:sz w:val="32"/>
          <w:szCs w:val="32"/>
          <w:highlight w:val="none"/>
          <w:u w:val="none" w:color="auto"/>
          <w:lang w:val="en-US" w:eastAsia="zh-CN"/>
        </w:rPr>
      </w:pPr>
    </w:p>
    <w:p w14:paraId="590AC4D2">
      <w:pPr>
        <w:pStyle w:val="32"/>
        <w:rPr>
          <w:rFonts w:hint="eastAsia" w:ascii="仿宋_GB2312" w:hAnsi="黑体" w:eastAsia="仿宋_GB2312" w:cs="Times New Roman"/>
          <w:b w:val="0"/>
          <w:bCs w:val="0"/>
          <w:color w:val="auto"/>
          <w:sz w:val="32"/>
          <w:szCs w:val="32"/>
          <w:highlight w:val="none"/>
          <w:u w:val="none" w:color="auto"/>
          <w:lang w:val="en-US" w:eastAsia="zh-CN"/>
        </w:rPr>
        <w:sectPr>
          <w:footerReference r:id="rId12" w:type="default"/>
          <w:footerReference r:id="rId13" w:type="even"/>
          <w:pgSz w:w="11906" w:h="16838"/>
          <w:pgMar w:top="2098" w:right="1474" w:bottom="1984" w:left="1587" w:header="851" w:footer="992" w:gutter="0"/>
          <w:pgNumType w:fmt="numberInDash" w:start="1"/>
          <w:cols w:space="720" w:num="1"/>
          <w:docGrid w:type="lines" w:linePitch="312" w:charSpace="0"/>
        </w:sectPr>
      </w:pPr>
    </w:p>
    <w:tbl>
      <w:tblPr>
        <w:tblStyle w:val="25"/>
        <w:tblW w:w="10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615"/>
        <w:gridCol w:w="1359"/>
        <w:gridCol w:w="1560"/>
        <w:gridCol w:w="1080"/>
        <w:gridCol w:w="912"/>
        <w:gridCol w:w="1160"/>
        <w:gridCol w:w="1930"/>
        <w:gridCol w:w="1013"/>
      </w:tblGrid>
      <w:tr w14:paraId="6176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445" w:type="dxa"/>
            <w:gridSpan w:val="9"/>
            <w:noWrap w:val="0"/>
            <w:vAlign w:val="center"/>
          </w:tcPr>
          <w:p w14:paraId="7D91883C">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 w:val="28"/>
                <w:szCs w:val="28"/>
                <w:highlight w:val="none"/>
                <w:lang w:val="en-US" w:eastAsia="zh-CN"/>
              </w:rPr>
              <w:t>专栏1 赤峰市“十五五”时期经济社会发展主要指标</w:t>
            </w:r>
          </w:p>
        </w:tc>
      </w:tr>
      <w:tr w14:paraId="6FFF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6" w:type="dxa"/>
            <w:noWrap w:val="0"/>
            <w:vAlign w:val="center"/>
          </w:tcPr>
          <w:p w14:paraId="2289C86A">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类型</w:t>
            </w:r>
          </w:p>
        </w:tc>
        <w:tc>
          <w:tcPr>
            <w:tcW w:w="615" w:type="dxa"/>
            <w:noWrap w:val="0"/>
            <w:vAlign w:val="center"/>
          </w:tcPr>
          <w:p w14:paraId="26D4911E">
            <w:pPr>
              <w:shd w:val="clear" w:color="auto" w:fill="auto"/>
              <w:snapToGrid w:val="0"/>
              <w:spacing w:line="240" w:lineRule="atLeast"/>
              <w:ind w:left="-34" w:leftChars="-16" w:right="-65" w:rightChars="-31"/>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序号</w:t>
            </w:r>
          </w:p>
        </w:tc>
        <w:tc>
          <w:tcPr>
            <w:tcW w:w="3999" w:type="dxa"/>
            <w:gridSpan w:val="3"/>
            <w:noWrap w:val="0"/>
            <w:vAlign w:val="center"/>
          </w:tcPr>
          <w:p w14:paraId="7917298C">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指标名称</w:t>
            </w:r>
          </w:p>
        </w:tc>
        <w:tc>
          <w:tcPr>
            <w:tcW w:w="912" w:type="dxa"/>
            <w:noWrap w:val="0"/>
            <w:vAlign w:val="center"/>
          </w:tcPr>
          <w:p w14:paraId="4615F035">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2025年</w:t>
            </w:r>
          </w:p>
        </w:tc>
        <w:tc>
          <w:tcPr>
            <w:tcW w:w="1160" w:type="dxa"/>
            <w:noWrap w:val="0"/>
            <w:vAlign w:val="center"/>
          </w:tcPr>
          <w:p w14:paraId="6D2344FE">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2030年</w:t>
            </w:r>
          </w:p>
        </w:tc>
        <w:tc>
          <w:tcPr>
            <w:tcW w:w="1930" w:type="dxa"/>
            <w:noWrap w:val="0"/>
            <w:vAlign w:val="center"/>
          </w:tcPr>
          <w:p w14:paraId="5A0B075C">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年均/累计</w:t>
            </w:r>
          </w:p>
        </w:tc>
        <w:tc>
          <w:tcPr>
            <w:tcW w:w="1013" w:type="dxa"/>
            <w:noWrap w:val="0"/>
            <w:vAlign w:val="center"/>
          </w:tcPr>
          <w:p w14:paraId="5A1E781E">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属性</w:t>
            </w:r>
          </w:p>
        </w:tc>
      </w:tr>
      <w:tr w14:paraId="7FD6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04A0F406">
            <w:pPr>
              <w:widowControl/>
              <w:shd w:val="clear" w:color="auto" w:fill="auto"/>
              <w:snapToGrid w:val="0"/>
              <w:spacing w:line="240" w:lineRule="atLeast"/>
              <w:jc w:val="center"/>
              <w:rPr>
                <w:rFonts w:hint="default" w:ascii="Times New Roman" w:hAnsi="Times New Roman" w:eastAsia="黑体" w:cs="Times New Roman"/>
                <w:b w:val="0"/>
                <w:bCs w:val="0"/>
                <w:kern w:val="0"/>
                <w:sz w:val="21"/>
                <w:szCs w:val="21"/>
                <w:highlight w:val="none"/>
                <w:lang w:val="en-US" w:eastAsia="zh-CN" w:bidi="ar-SA"/>
              </w:rPr>
            </w:pPr>
            <w:r>
              <w:rPr>
                <w:rFonts w:hint="default" w:ascii="Times New Roman" w:hAnsi="Times New Roman" w:eastAsia="黑体" w:cs="Times New Roman"/>
                <w:b w:val="0"/>
                <w:bCs w:val="0"/>
                <w:kern w:val="0"/>
                <w:szCs w:val="21"/>
                <w:highlight w:val="none"/>
              </w:rPr>
              <w:t>经济发展</w:t>
            </w:r>
          </w:p>
          <w:p w14:paraId="754624CB">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7A698BF6">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1</w:t>
            </w:r>
          </w:p>
        </w:tc>
        <w:tc>
          <w:tcPr>
            <w:tcW w:w="3999" w:type="dxa"/>
            <w:gridSpan w:val="3"/>
            <w:shd w:val="clear" w:color="auto" w:fill="auto"/>
            <w:noWrap w:val="0"/>
            <w:tcMar>
              <w:left w:w="57" w:type="dxa"/>
              <w:right w:w="57" w:type="dxa"/>
            </w:tcMar>
            <w:vAlign w:val="center"/>
          </w:tcPr>
          <w:p w14:paraId="4A7504CE">
            <w:pPr>
              <w:widowControl/>
              <w:shd w:val="clear" w:color="auto" w:fill="auto"/>
              <w:snapToGrid w:val="0"/>
              <w:spacing w:line="240" w:lineRule="atLeast"/>
              <w:jc w:val="left"/>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地区生产总值增长</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5D474575">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4.9</w:t>
            </w:r>
          </w:p>
        </w:tc>
        <w:tc>
          <w:tcPr>
            <w:tcW w:w="1160" w:type="dxa"/>
            <w:shd w:val="clear" w:color="auto" w:fill="auto"/>
            <w:noWrap w:val="0"/>
            <w:vAlign w:val="center"/>
          </w:tcPr>
          <w:p w14:paraId="0B1F23E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6437D66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5.5</w:t>
            </w:r>
          </w:p>
        </w:tc>
        <w:tc>
          <w:tcPr>
            <w:tcW w:w="1013" w:type="dxa"/>
            <w:shd w:val="clear" w:color="auto" w:fill="auto"/>
            <w:noWrap w:val="0"/>
            <w:vAlign w:val="center"/>
          </w:tcPr>
          <w:p w14:paraId="63308DB8">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1EFB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70D69E30">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637F6625">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2</w:t>
            </w:r>
          </w:p>
        </w:tc>
        <w:tc>
          <w:tcPr>
            <w:tcW w:w="3999" w:type="dxa"/>
            <w:gridSpan w:val="3"/>
            <w:shd w:val="clear" w:color="auto" w:fill="auto"/>
            <w:noWrap w:val="0"/>
            <w:tcMar>
              <w:left w:w="57" w:type="dxa"/>
              <w:right w:w="57" w:type="dxa"/>
            </w:tcMar>
            <w:vAlign w:val="center"/>
          </w:tcPr>
          <w:p w14:paraId="396BA571">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全员劳动生产率增长</w:t>
            </w:r>
            <w:r>
              <w:rPr>
                <w:rFonts w:hint="eastAsia" w:ascii="Times New Roman" w:hAnsi="Times New Roman" w:eastAsia="方正仿宋_GB2312" w:cs="Times New Roman"/>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6734AED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6.5</w:t>
            </w:r>
          </w:p>
        </w:tc>
        <w:tc>
          <w:tcPr>
            <w:tcW w:w="1160" w:type="dxa"/>
            <w:shd w:val="clear" w:color="auto" w:fill="auto"/>
            <w:noWrap w:val="0"/>
            <w:vAlign w:val="center"/>
          </w:tcPr>
          <w:p w14:paraId="2C82561B">
            <w:pPr>
              <w:widowControl/>
              <w:shd w:val="clear" w:color="auto" w:fill="auto"/>
              <w:snapToGrid w:val="0"/>
              <w:spacing w:line="240" w:lineRule="atLeast"/>
              <w:jc w:val="center"/>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28F0BA1F">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高于GDP增长</w:t>
            </w:r>
          </w:p>
        </w:tc>
        <w:tc>
          <w:tcPr>
            <w:tcW w:w="1013" w:type="dxa"/>
            <w:shd w:val="clear" w:color="auto" w:fill="auto"/>
            <w:noWrap w:val="0"/>
            <w:vAlign w:val="center"/>
          </w:tcPr>
          <w:p w14:paraId="0CB63F40">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0A08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6C57813F">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1318B0C4">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3</w:t>
            </w:r>
          </w:p>
        </w:tc>
        <w:tc>
          <w:tcPr>
            <w:tcW w:w="3999" w:type="dxa"/>
            <w:gridSpan w:val="3"/>
            <w:shd w:val="clear" w:color="auto" w:fill="auto"/>
            <w:noWrap w:val="0"/>
            <w:tcMar>
              <w:left w:w="57" w:type="dxa"/>
              <w:right w:w="57" w:type="dxa"/>
            </w:tcMar>
            <w:vAlign w:val="center"/>
          </w:tcPr>
          <w:p w14:paraId="5A512A66">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常住人口城镇化率</w:t>
            </w:r>
            <w:r>
              <w:rPr>
                <w:rFonts w:hint="eastAsia" w:ascii="Times New Roman" w:hAnsi="Times New Roman" w:eastAsia="方正仿宋_GB2312" w:cs="Times New Roman"/>
                <w:b w:val="0"/>
                <w:bCs w:val="0"/>
                <w:kern w:val="0"/>
                <w:szCs w:val="21"/>
                <w:highlight w:val="none"/>
                <w:lang w:eastAsia="zh-CN"/>
              </w:rPr>
              <w:t>（</w:t>
            </w:r>
            <w:r>
              <w:rPr>
                <w:rFonts w:hint="default" w:ascii="Times New Roman" w:hAnsi="Times New Roman" w:eastAsia="方正仿宋_GB2312" w:cs="Times New Roman"/>
                <w:b w:val="0"/>
                <w:bCs w:val="0"/>
                <w:kern w:val="0"/>
                <w:szCs w:val="21"/>
                <w:highlight w:val="none"/>
              </w:rPr>
              <w:t>%</w:t>
            </w:r>
            <w:r>
              <w:rPr>
                <w:rFonts w:hint="eastAsia" w:ascii="Times New Roman" w:hAnsi="Times New Roman" w:eastAsia="方正仿宋_GB2312" w:cs="Times New Roman"/>
                <w:b w:val="0"/>
                <w:bCs w:val="0"/>
                <w:kern w:val="0"/>
                <w:szCs w:val="21"/>
                <w:highlight w:val="none"/>
                <w:lang w:eastAsia="zh-CN"/>
              </w:rPr>
              <w:t>）</w:t>
            </w:r>
          </w:p>
        </w:tc>
        <w:tc>
          <w:tcPr>
            <w:tcW w:w="912" w:type="dxa"/>
            <w:shd w:val="clear" w:color="auto" w:fill="auto"/>
            <w:noWrap w:val="0"/>
            <w:vAlign w:val="center"/>
          </w:tcPr>
          <w:p w14:paraId="63A810FC">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56.67*</w:t>
            </w:r>
          </w:p>
        </w:tc>
        <w:tc>
          <w:tcPr>
            <w:tcW w:w="1160" w:type="dxa"/>
            <w:shd w:val="clear" w:color="auto" w:fill="auto"/>
            <w:noWrap w:val="0"/>
            <w:vAlign w:val="center"/>
          </w:tcPr>
          <w:p w14:paraId="45D5434A">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63</w:t>
            </w:r>
          </w:p>
        </w:tc>
        <w:tc>
          <w:tcPr>
            <w:tcW w:w="1930" w:type="dxa"/>
            <w:shd w:val="clear" w:color="auto" w:fill="auto"/>
            <w:noWrap w:val="0"/>
            <w:vAlign w:val="center"/>
          </w:tcPr>
          <w:p w14:paraId="5B41DDA6">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1AD8CB93">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796D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2D49E4DF">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创新驱动</w:t>
            </w:r>
          </w:p>
          <w:p w14:paraId="2A35890E">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558CDDC1">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4</w:t>
            </w:r>
          </w:p>
        </w:tc>
        <w:tc>
          <w:tcPr>
            <w:tcW w:w="3999" w:type="dxa"/>
            <w:gridSpan w:val="3"/>
            <w:shd w:val="clear" w:color="auto" w:fill="auto"/>
            <w:noWrap w:val="0"/>
            <w:tcMar>
              <w:left w:w="57" w:type="dxa"/>
              <w:right w:w="57" w:type="dxa"/>
            </w:tcMar>
            <w:vAlign w:val="center"/>
          </w:tcPr>
          <w:p w14:paraId="2748B740">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全社会研发经费投入增长</w:t>
            </w:r>
            <w:r>
              <w:rPr>
                <w:rFonts w:hint="eastAsia" w:ascii="Times New Roman" w:hAnsi="Times New Roman" w:eastAsia="方正仿宋_GB2312" w:cs="Times New Roman"/>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42DC11E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377BFD99">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38D5410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10</w:t>
            </w:r>
          </w:p>
        </w:tc>
        <w:tc>
          <w:tcPr>
            <w:tcW w:w="1013" w:type="dxa"/>
            <w:shd w:val="clear" w:color="auto" w:fill="auto"/>
            <w:noWrap w:val="0"/>
            <w:vAlign w:val="center"/>
          </w:tcPr>
          <w:p w14:paraId="3507D963">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258A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1E07C708">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2BD8CE89">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5</w:t>
            </w:r>
          </w:p>
        </w:tc>
        <w:tc>
          <w:tcPr>
            <w:tcW w:w="3999" w:type="dxa"/>
            <w:gridSpan w:val="3"/>
            <w:shd w:val="clear" w:color="auto" w:fill="auto"/>
            <w:noWrap w:val="0"/>
            <w:tcMar>
              <w:left w:w="57" w:type="dxa"/>
              <w:right w:w="57" w:type="dxa"/>
            </w:tcMar>
            <w:vAlign w:val="center"/>
          </w:tcPr>
          <w:p w14:paraId="0A4E0A77">
            <w:pPr>
              <w:widowControl/>
              <w:shd w:val="clear" w:color="auto" w:fill="auto"/>
              <w:snapToGrid w:val="0"/>
              <w:spacing w:line="240" w:lineRule="atLeast"/>
              <w:jc w:val="left"/>
              <w:rPr>
                <w:rFonts w:hint="eastAsia" w:ascii="Times New Roman" w:hAnsi="Times New Roman" w:eastAsia="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每万人口高价值发明专利拥有量</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件</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35CD5F4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0.84</w:t>
            </w:r>
          </w:p>
        </w:tc>
        <w:tc>
          <w:tcPr>
            <w:tcW w:w="1160" w:type="dxa"/>
            <w:shd w:val="clear" w:color="auto" w:fill="auto"/>
            <w:noWrap w:val="0"/>
            <w:vAlign w:val="center"/>
          </w:tcPr>
          <w:p w14:paraId="7FAAA90F">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1.02</w:t>
            </w:r>
          </w:p>
        </w:tc>
        <w:tc>
          <w:tcPr>
            <w:tcW w:w="1930" w:type="dxa"/>
            <w:shd w:val="clear" w:color="auto" w:fill="auto"/>
            <w:noWrap w:val="0"/>
            <w:vAlign w:val="center"/>
          </w:tcPr>
          <w:p w14:paraId="1C56E6C7">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09EB7CC0">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7233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noWrap w:val="0"/>
            <w:vAlign w:val="center"/>
          </w:tcPr>
          <w:p w14:paraId="2E545243">
            <w:pPr>
              <w:shd w:val="clear" w:color="auto" w:fill="auto"/>
              <w:snapToGrid w:val="0"/>
              <w:spacing w:line="240" w:lineRule="atLeast"/>
              <w:jc w:val="center"/>
              <w:rPr>
                <w:rFonts w:hint="eastAsia"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民生福祉</w:t>
            </w:r>
          </w:p>
        </w:tc>
        <w:tc>
          <w:tcPr>
            <w:tcW w:w="615" w:type="dxa"/>
            <w:shd w:val="clear" w:color="auto" w:fill="auto"/>
            <w:noWrap w:val="0"/>
            <w:tcMar>
              <w:left w:w="28" w:type="dxa"/>
              <w:right w:w="28" w:type="dxa"/>
            </w:tcMar>
            <w:vAlign w:val="center"/>
          </w:tcPr>
          <w:p w14:paraId="19C09F15">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6</w:t>
            </w:r>
          </w:p>
        </w:tc>
        <w:tc>
          <w:tcPr>
            <w:tcW w:w="3999" w:type="dxa"/>
            <w:gridSpan w:val="3"/>
            <w:shd w:val="clear" w:color="auto" w:fill="auto"/>
            <w:noWrap w:val="0"/>
            <w:tcMar>
              <w:left w:w="57" w:type="dxa"/>
              <w:right w:w="57" w:type="dxa"/>
            </w:tcMar>
            <w:vAlign w:val="center"/>
          </w:tcPr>
          <w:p w14:paraId="413D26C2">
            <w:pPr>
              <w:widowControl/>
              <w:shd w:val="clear" w:color="auto" w:fill="auto"/>
              <w:snapToGrid w:val="0"/>
              <w:spacing w:line="240" w:lineRule="atLeast"/>
              <w:jc w:val="left"/>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居民人均可支配收入</w:t>
            </w:r>
            <w:r>
              <w:rPr>
                <w:rFonts w:hint="eastAsia" w:ascii="Times New Roman" w:hAnsi="Times New Roman" w:eastAsia="仿宋_GB2312" w:cs="方正仿宋_GBK"/>
                <w:b w:val="0"/>
                <w:bCs w:val="0"/>
                <w:szCs w:val="21"/>
                <w:highlight w:val="none"/>
                <w:lang w:val="en-US" w:eastAsia="zh-CN"/>
              </w:rPr>
              <w:t>增长（</w:t>
            </w:r>
            <w:r>
              <w:rPr>
                <w:rFonts w:hint="eastAsia" w:ascii="Times New Roman" w:hAnsi="Times New Roman" w:eastAsia="方正仿宋_GB2312" w:cs="Times New Roman"/>
                <w:b w:val="0"/>
                <w:bCs w:val="0"/>
                <w:szCs w:val="21"/>
                <w:highlight w:val="none"/>
                <w:lang w:val="en-US" w:eastAsia="zh-CN"/>
              </w:rPr>
              <w:t>%）</w:t>
            </w:r>
          </w:p>
        </w:tc>
        <w:tc>
          <w:tcPr>
            <w:tcW w:w="912" w:type="dxa"/>
            <w:shd w:val="clear" w:color="auto" w:fill="auto"/>
            <w:noWrap w:val="0"/>
            <w:vAlign w:val="center"/>
          </w:tcPr>
          <w:p w14:paraId="717A155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5.2</w:t>
            </w:r>
          </w:p>
        </w:tc>
        <w:tc>
          <w:tcPr>
            <w:tcW w:w="1160" w:type="dxa"/>
            <w:shd w:val="clear" w:color="auto" w:fill="auto"/>
            <w:noWrap w:val="0"/>
            <w:vAlign w:val="center"/>
          </w:tcPr>
          <w:p w14:paraId="40D3B75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52718590">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5.5</w:t>
            </w:r>
            <w:r>
              <w:rPr>
                <w:rFonts w:hint="eastAsia" w:ascii="仿宋_GB2312" w:hAnsi="仿宋_GB2312" w:eastAsia="仿宋_GB2312" w:cs="仿宋_GB2312"/>
                <w:b w:val="0"/>
                <w:bCs w:val="0"/>
                <w:kern w:val="2"/>
                <w:sz w:val="21"/>
                <w:szCs w:val="21"/>
                <w:highlight w:val="none"/>
                <w:lang w:val="en-US" w:eastAsia="zh-CN" w:bidi="ar-SA"/>
              </w:rPr>
              <w:t>以上</w:t>
            </w:r>
          </w:p>
        </w:tc>
        <w:tc>
          <w:tcPr>
            <w:tcW w:w="1013" w:type="dxa"/>
            <w:shd w:val="clear" w:color="auto" w:fill="auto"/>
            <w:noWrap w:val="0"/>
            <w:vAlign w:val="center"/>
          </w:tcPr>
          <w:p w14:paraId="515EB164">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3562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7AFFEF4B">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4315715E">
            <w:pPr>
              <w:widowControl/>
              <w:shd w:val="clear" w:color="auto" w:fill="auto"/>
              <w:snapToGrid w:val="0"/>
              <w:spacing w:line="240" w:lineRule="atLeast"/>
              <w:jc w:val="center"/>
              <w:rPr>
                <w:rFonts w:hint="eastAsia"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7</w:t>
            </w:r>
          </w:p>
        </w:tc>
        <w:tc>
          <w:tcPr>
            <w:tcW w:w="3999" w:type="dxa"/>
            <w:gridSpan w:val="3"/>
            <w:shd w:val="clear" w:color="auto" w:fill="auto"/>
            <w:noWrap w:val="0"/>
            <w:tcMar>
              <w:left w:w="57" w:type="dxa"/>
              <w:right w:w="57" w:type="dxa"/>
            </w:tcMar>
            <w:vAlign w:val="center"/>
          </w:tcPr>
          <w:p w14:paraId="604DF717">
            <w:pPr>
              <w:widowControl/>
              <w:shd w:val="clear" w:color="auto" w:fill="auto"/>
              <w:snapToGrid w:val="0"/>
              <w:spacing w:line="240" w:lineRule="atLeast"/>
              <w:jc w:val="left"/>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城镇新增就业人数</w:t>
            </w:r>
            <w:r>
              <w:rPr>
                <w:rFonts w:hint="eastAsia" w:ascii="Times New Roman" w:hAnsi="Times New Roman" w:eastAsia="仿宋_GB2312" w:cs="方正仿宋_GBK"/>
                <w:b w:val="0"/>
                <w:bCs w:val="0"/>
                <w:szCs w:val="21"/>
                <w:highlight w:val="none"/>
                <w:lang w:val="en-US" w:eastAsia="zh-CN"/>
              </w:rPr>
              <w:t>（万人）</w:t>
            </w:r>
          </w:p>
        </w:tc>
        <w:tc>
          <w:tcPr>
            <w:tcW w:w="912" w:type="dxa"/>
            <w:shd w:val="clear" w:color="auto" w:fill="auto"/>
            <w:noWrap w:val="0"/>
            <w:vAlign w:val="center"/>
          </w:tcPr>
          <w:p w14:paraId="68B5E176">
            <w:pPr>
              <w:widowControl/>
              <w:shd w:val="clear" w:color="auto" w:fill="auto"/>
              <w:snapToGrid w:val="0"/>
              <w:spacing w:line="240" w:lineRule="atLeast"/>
              <w:jc w:val="center"/>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b w:val="0"/>
                <w:bCs w:val="0"/>
                <w:szCs w:val="21"/>
                <w:highlight w:val="none"/>
              </w:rPr>
              <w:t>1.97</w:t>
            </w:r>
          </w:p>
        </w:tc>
        <w:tc>
          <w:tcPr>
            <w:tcW w:w="1160" w:type="dxa"/>
            <w:shd w:val="clear" w:color="auto" w:fill="auto"/>
            <w:noWrap w:val="0"/>
            <w:vAlign w:val="center"/>
          </w:tcPr>
          <w:p w14:paraId="3C41459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11935A44">
            <w:pPr>
              <w:widowControl/>
              <w:shd w:val="clear" w:color="auto" w:fill="auto"/>
              <w:snapToGrid w:val="0"/>
              <w:spacing w:line="240" w:lineRule="atLeast"/>
              <w:jc w:val="center"/>
              <w:rPr>
                <w:rFonts w:hint="default" w:ascii="Times New Roman" w:hAnsi="Times New Roman" w:eastAsia="方正仿宋_GB2312" w:cs="方正仿宋_GB2312"/>
                <w:b w:val="0"/>
                <w:bCs w:val="0"/>
                <w:kern w:val="0"/>
                <w:szCs w:val="21"/>
                <w:highlight w:val="none"/>
                <w:lang w:val="en-US" w:eastAsia="zh-CN"/>
              </w:rPr>
            </w:pPr>
            <w:r>
              <w:rPr>
                <w:rFonts w:hint="eastAsia" w:ascii="Times New Roman" w:hAnsi="Times New Roman" w:eastAsia="方正仿宋_GB2312" w:cs="方正仿宋_GB2312"/>
                <w:b w:val="0"/>
                <w:bCs w:val="0"/>
                <w:kern w:val="0"/>
                <w:szCs w:val="21"/>
                <w:highlight w:val="none"/>
                <w:lang w:val="en-US" w:eastAsia="zh-CN"/>
              </w:rPr>
              <w:t>1.5</w:t>
            </w:r>
          </w:p>
        </w:tc>
        <w:tc>
          <w:tcPr>
            <w:tcW w:w="1013" w:type="dxa"/>
            <w:shd w:val="clear" w:color="auto" w:fill="auto"/>
            <w:noWrap w:val="0"/>
            <w:vAlign w:val="center"/>
          </w:tcPr>
          <w:p w14:paraId="3DC24A21">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预期性</w:t>
            </w:r>
          </w:p>
        </w:tc>
      </w:tr>
      <w:tr w14:paraId="4859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05BD176B">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7A3B2608">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8</w:t>
            </w:r>
          </w:p>
        </w:tc>
        <w:tc>
          <w:tcPr>
            <w:tcW w:w="3999" w:type="dxa"/>
            <w:gridSpan w:val="3"/>
            <w:shd w:val="clear" w:color="auto" w:fill="auto"/>
            <w:noWrap w:val="0"/>
            <w:tcMar>
              <w:left w:w="57" w:type="dxa"/>
              <w:right w:w="57" w:type="dxa"/>
            </w:tcMar>
            <w:vAlign w:val="center"/>
          </w:tcPr>
          <w:p w14:paraId="145D7DBD">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劳动年龄人口平均受教育年限</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年</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4817491F">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10.81*</w:t>
            </w:r>
          </w:p>
        </w:tc>
        <w:tc>
          <w:tcPr>
            <w:tcW w:w="1160" w:type="dxa"/>
            <w:shd w:val="clear" w:color="auto" w:fill="auto"/>
            <w:noWrap w:val="0"/>
            <w:vAlign w:val="center"/>
          </w:tcPr>
          <w:p w14:paraId="4D946F9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11.7</w:t>
            </w:r>
          </w:p>
        </w:tc>
        <w:tc>
          <w:tcPr>
            <w:tcW w:w="1930" w:type="dxa"/>
            <w:shd w:val="clear" w:color="auto" w:fill="auto"/>
            <w:noWrap w:val="0"/>
            <w:vAlign w:val="center"/>
          </w:tcPr>
          <w:p w14:paraId="4E8FAA7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4985DCF7">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2708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6" w:type="dxa"/>
            <w:vMerge w:val="continue"/>
            <w:noWrap w:val="0"/>
            <w:vAlign w:val="center"/>
          </w:tcPr>
          <w:p w14:paraId="154D0EED">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vMerge w:val="restart"/>
            <w:shd w:val="clear" w:color="auto" w:fill="auto"/>
            <w:noWrap w:val="0"/>
            <w:tcMar>
              <w:left w:w="28" w:type="dxa"/>
              <w:right w:w="28" w:type="dxa"/>
            </w:tcMar>
            <w:vAlign w:val="center"/>
          </w:tcPr>
          <w:p w14:paraId="455FBD4F">
            <w:pPr>
              <w:widowControl/>
              <w:shd w:val="clear" w:color="auto" w:fill="auto"/>
              <w:snapToGrid w:val="0"/>
              <w:spacing w:line="240" w:lineRule="atLeast"/>
              <w:jc w:val="center"/>
              <w:rPr>
                <w:rFonts w:hint="default" w:ascii="Times New Roman" w:hAnsi="Times New Roman" w:eastAsia="方正仿宋_GB2312" w:cs="Times New Roman"/>
                <w:b w:val="0"/>
                <w:bCs w:val="0"/>
                <w:kern w:val="0"/>
                <w:szCs w:val="21"/>
                <w:highlight w:val="none"/>
                <w:lang w:val="en-US" w:eastAsia="zh-CN"/>
              </w:rPr>
            </w:pPr>
            <w:r>
              <w:rPr>
                <w:rFonts w:hint="eastAsia" w:ascii="Times New Roman" w:hAnsi="Times New Roman" w:eastAsia="方正仿宋_GB2312" w:cs="Times New Roman"/>
                <w:b w:val="0"/>
                <w:bCs w:val="0"/>
                <w:kern w:val="0"/>
                <w:szCs w:val="21"/>
                <w:highlight w:val="none"/>
                <w:lang w:val="en-US" w:eastAsia="zh-CN"/>
              </w:rPr>
              <w:t>9</w:t>
            </w:r>
          </w:p>
        </w:tc>
        <w:tc>
          <w:tcPr>
            <w:tcW w:w="1359" w:type="dxa"/>
            <w:vMerge w:val="restart"/>
            <w:shd w:val="clear" w:color="auto" w:fill="auto"/>
            <w:noWrap w:val="0"/>
            <w:tcMar>
              <w:left w:w="57" w:type="dxa"/>
              <w:right w:w="57" w:type="dxa"/>
            </w:tcMar>
            <w:vAlign w:val="center"/>
          </w:tcPr>
          <w:p w14:paraId="32DE9D98">
            <w:pPr>
              <w:widowControl/>
              <w:shd w:val="clear" w:color="auto" w:fill="auto"/>
              <w:snapToGrid w:val="0"/>
              <w:spacing w:line="240" w:lineRule="atLeast"/>
              <w:jc w:val="left"/>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pacing w:val="-6"/>
                <w:szCs w:val="21"/>
                <w:highlight w:val="none"/>
                <w:lang w:val="en-US" w:eastAsia="zh-CN"/>
              </w:rPr>
              <w:t>每千人口拥有医护人员数</w:t>
            </w:r>
          </w:p>
        </w:tc>
        <w:tc>
          <w:tcPr>
            <w:tcW w:w="1560" w:type="dxa"/>
            <w:shd w:val="clear" w:color="auto" w:fill="auto"/>
            <w:noWrap w:val="0"/>
            <w:tcMar>
              <w:left w:w="57" w:type="dxa"/>
              <w:right w:w="57" w:type="dxa"/>
            </w:tcMar>
            <w:vAlign w:val="center"/>
          </w:tcPr>
          <w:p w14:paraId="037A6612">
            <w:pPr>
              <w:widowControl/>
              <w:shd w:val="clear" w:color="auto" w:fill="auto"/>
              <w:snapToGrid w:val="0"/>
              <w:spacing w:line="240" w:lineRule="atLeast"/>
              <w:jc w:val="left"/>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执业医师数</w:t>
            </w:r>
          </w:p>
        </w:tc>
        <w:tc>
          <w:tcPr>
            <w:tcW w:w="1080" w:type="dxa"/>
            <w:shd w:val="clear" w:color="auto" w:fill="auto"/>
            <w:noWrap w:val="0"/>
            <w:vAlign w:val="center"/>
          </w:tcPr>
          <w:p w14:paraId="5194CD08">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人</w:t>
            </w:r>
          </w:p>
        </w:tc>
        <w:tc>
          <w:tcPr>
            <w:tcW w:w="912" w:type="dxa"/>
            <w:shd w:val="clear" w:color="auto" w:fill="auto"/>
            <w:noWrap w:val="0"/>
            <w:vAlign w:val="center"/>
          </w:tcPr>
          <w:p w14:paraId="058832B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3.72</w:t>
            </w:r>
          </w:p>
        </w:tc>
        <w:tc>
          <w:tcPr>
            <w:tcW w:w="1160" w:type="dxa"/>
            <w:shd w:val="clear" w:color="auto" w:fill="auto"/>
            <w:noWrap w:val="0"/>
            <w:vAlign w:val="center"/>
          </w:tcPr>
          <w:p w14:paraId="59372A1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4.5</w:t>
            </w:r>
          </w:p>
        </w:tc>
        <w:tc>
          <w:tcPr>
            <w:tcW w:w="1930" w:type="dxa"/>
            <w:shd w:val="clear" w:color="auto" w:fill="auto"/>
            <w:noWrap w:val="0"/>
            <w:vAlign w:val="center"/>
          </w:tcPr>
          <w:p w14:paraId="220D1966">
            <w:pPr>
              <w:widowControl/>
              <w:shd w:val="clear" w:color="auto" w:fill="auto"/>
              <w:snapToGrid w:val="0"/>
              <w:spacing w:line="240" w:lineRule="atLeast"/>
              <w:jc w:val="center"/>
              <w:rPr>
                <w:rFonts w:hint="eastAsia" w:ascii="Times New Roman" w:hAnsi="Times New Roman" w:eastAsia="方正仿宋_GB2312" w:cs="方正仿宋_GB2312"/>
                <w:b w:val="0"/>
                <w:bCs w:val="0"/>
                <w:kern w:val="0"/>
                <w:szCs w:val="21"/>
                <w:highlight w:val="none"/>
                <w:lang w:val="en-US" w:eastAsia="zh-CN"/>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1E3D8426">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预期性</w:t>
            </w:r>
          </w:p>
        </w:tc>
      </w:tr>
      <w:tr w14:paraId="4483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6" w:type="dxa"/>
            <w:vMerge w:val="continue"/>
            <w:noWrap w:val="0"/>
            <w:vAlign w:val="center"/>
          </w:tcPr>
          <w:p w14:paraId="381B8A1C">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vMerge w:val="continue"/>
            <w:shd w:val="clear" w:color="auto" w:fill="auto"/>
            <w:noWrap w:val="0"/>
            <w:tcMar>
              <w:left w:w="28" w:type="dxa"/>
              <w:right w:w="28" w:type="dxa"/>
            </w:tcMar>
            <w:vAlign w:val="center"/>
          </w:tcPr>
          <w:p w14:paraId="792D7085">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p>
        </w:tc>
        <w:tc>
          <w:tcPr>
            <w:tcW w:w="1359" w:type="dxa"/>
            <w:vMerge w:val="continue"/>
            <w:shd w:val="clear" w:color="auto" w:fill="auto"/>
            <w:noWrap w:val="0"/>
            <w:tcMar>
              <w:left w:w="57" w:type="dxa"/>
              <w:right w:w="57" w:type="dxa"/>
            </w:tcMar>
            <w:vAlign w:val="center"/>
          </w:tcPr>
          <w:p w14:paraId="557B2334">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rPr>
            </w:pPr>
          </w:p>
        </w:tc>
        <w:tc>
          <w:tcPr>
            <w:tcW w:w="1560" w:type="dxa"/>
            <w:shd w:val="clear" w:color="auto" w:fill="auto"/>
            <w:noWrap w:val="0"/>
            <w:tcMar>
              <w:left w:w="57" w:type="dxa"/>
              <w:right w:w="57" w:type="dxa"/>
            </w:tcMar>
            <w:vAlign w:val="center"/>
          </w:tcPr>
          <w:p w14:paraId="4A5EC0A9">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注册护士数</w:t>
            </w:r>
          </w:p>
        </w:tc>
        <w:tc>
          <w:tcPr>
            <w:tcW w:w="1080" w:type="dxa"/>
            <w:shd w:val="clear" w:color="auto" w:fill="auto"/>
            <w:noWrap w:val="0"/>
            <w:vAlign w:val="center"/>
          </w:tcPr>
          <w:p w14:paraId="28C6E1A0">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人</w:t>
            </w:r>
          </w:p>
        </w:tc>
        <w:tc>
          <w:tcPr>
            <w:tcW w:w="912" w:type="dxa"/>
            <w:shd w:val="clear" w:color="auto" w:fill="auto"/>
            <w:noWrap w:val="0"/>
            <w:vAlign w:val="center"/>
          </w:tcPr>
          <w:p w14:paraId="22C8665C">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4.24</w:t>
            </w:r>
          </w:p>
        </w:tc>
        <w:tc>
          <w:tcPr>
            <w:tcW w:w="1160" w:type="dxa"/>
            <w:shd w:val="clear" w:color="auto" w:fill="auto"/>
            <w:noWrap w:val="0"/>
            <w:vAlign w:val="center"/>
          </w:tcPr>
          <w:p w14:paraId="3E8F74D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5.5</w:t>
            </w:r>
          </w:p>
        </w:tc>
        <w:tc>
          <w:tcPr>
            <w:tcW w:w="1930" w:type="dxa"/>
            <w:shd w:val="clear" w:color="auto" w:fill="auto"/>
            <w:noWrap w:val="0"/>
            <w:vAlign w:val="center"/>
          </w:tcPr>
          <w:p w14:paraId="4DDB3552">
            <w:pPr>
              <w:widowControl/>
              <w:shd w:val="clear" w:color="auto" w:fill="auto"/>
              <w:snapToGrid w:val="0"/>
              <w:spacing w:line="240" w:lineRule="atLeast"/>
              <w:jc w:val="center"/>
              <w:rPr>
                <w:rFonts w:hint="eastAsia" w:ascii="Times New Roman" w:hAnsi="Times New Roman" w:eastAsia="方正仿宋_GB2312" w:cs="方正仿宋_GB2312"/>
                <w:b w:val="0"/>
                <w:bCs w:val="0"/>
                <w:kern w:val="0"/>
                <w:szCs w:val="21"/>
                <w:highlight w:val="none"/>
                <w:lang w:val="en-US" w:eastAsia="zh-CN"/>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7D7599ED">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预期性</w:t>
            </w:r>
          </w:p>
        </w:tc>
      </w:tr>
      <w:tr w14:paraId="77F8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180FBE95">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51061E60">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1</w:t>
            </w:r>
            <w:r>
              <w:rPr>
                <w:rFonts w:hint="eastAsia" w:ascii="Times New Roman" w:hAnsi="Times New Roman" w:eastAsia="方正仿宋_GB2312" w:cs="Times New Roman"/>
                <w:b w:val="0"/>
                <w:bCs w:val="0"/>
                <w:kern w:val="0"/>
                <w:szCs w:val="21"/>
                <w:highlight w:val="none"/>
                <w:lang w:val="en-US" w:eastAsia="zh-CN"/>
              </w:rPr>
              <w:t>0</w:t>
            </w:r>
          </w:p>
        </w:tc>
        <w:tc>
          <w:tcPr>
            <w:tcW w:w="3999" w:type="dxa"/>
            <w:gridSpan w:val="3"/>
            <w:shd w:val="clear" w:color="auto" w:fill="auto"/>
            <w:noWrap w:val="0"/>
            <w:tcMar>
              <w:left w:w="57" w:type="dxa"/>
              <w:right w:w="57" w:type="dxa"/>
            </w:tcMar>
            <w:vAlign w:val="center"/>
          </w:tcPr>
          <w:p w14:paraId="7F9AF572">
            <w:pPr>
              <w:widowControl/>
              <w:shd w:val="clear" w:color="auto" w:fill="auto"/>
              <w:snapToGrid w:val="0"/>
              <w:spacing w:line="240" w:lineRule="atLeast"/>
              <w:jc w:val="left"/>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养老机构护理型床位占比（</w:t>
            </w:r>
            <w:r>
              <w:rPr>
                <w:rFonts w:hint="eastAsia" w:ascii="Times New Roman" w:hAnsi="Times New Roman" w:eastAsia="方正仿宋_GB2312" w:cs="Times New Roman"/>
                <w:b w:val="0"/>
                <w:bCs w:val="0"/>
                <w:szCs w:val="21"/>
                <w:highlight w:val="none"/>
                <w:lang w:val="en-US" w:eastAsia="zh-CN"/>
              </w:rPr>
              <w:t>%）</w:t>
            </w:r>
          </w:p>
        </w:tc>
        <w:tc>
          <w:tcPr>
            <w:tcW w:w="912" w:type="dxa"/>
            <w:shd w:val="clear" w:color="auto" w:fill="auto"/>
            <w:noWrap w:val="0"/>
            <w:vAlign w:val="center"/>
          </w:tcPr>
          <w:p w14:paraId="49EF5F35">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70</w:t>
            </w:r>
          </w:p>
        </w:tc>
        <w:tc>
          <w:tcPr>
            <w:tcW w:w="1160" w:type="dxa"/>
            <w:shd w:val="clear" w:color="auto" w:fill="auto"/>
            <w:noWrap w:val="0"/>
            <w:vAlign w:val="center"/>
          </w:tcPr>
          <w:p w14:paraId="34166CD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75</w:t>
            </w:r>
          </w:p>
        </w:tc>
        <w:tc>
          <w:tcPr>
            <w:tcW w:w="1930" w:type="dxa"/>
            <w:shd w:val="clear" w:color="auto" w:fill="auto"/>
            <w:noWrap w:val="0"/>
            <w:vAlign w:val="center"/>
          </w:tcPr>
          <w:p w14:paraId="45AEB61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4F576CA2">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7EBD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408CA3C2">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35985311">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1</w:t>
            </w:r>
            <w:r>
              <w:rPr>
                <w:rFonts w:hint="eastAsia" w:ascii="Times New Roman" w:hAnsi="Times New Roman" w:eastAsia="方正仿宋_GB2312" w:cs="Times New Roman"/>
                <w:b w:val="0"/>
                <w:bCs w:val="0"/>
                <w:kern w:val="0"/>
                <w:szCs w:val="21"/>
                <w:highlight w:val="none"/>
                <w:lang w:val="en-US" w:eastAsia="zh-CN"/>
              </w:rPr>
              <w:t>1</w:t>
            </w:r>
          </w:p>
        </w:tc>
        <w:tc>
          <w:tcPr>
            <w:tcW w:w="3999" w:type="dxa"/>
            <w:gridSpan w:val="3"/>
            <w:shd w:val="clear" w:color="auto" w:fill="auto"/>
            <w:noWrap w:val="0"/>
            <w:tcMar>
              <w:left w:w="57" w:type="dxa"/>
              <w:right w:w="57" w:type="dxa"/>
            </w:tcMar>
            <w:vAlign w:val="center"/>
          </w:tcPr>
          <w:p w14:paraId="71F45595">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三</w:t>
            </w:r>
            <w:r>
              <w:rPr>
                <w:rFonts w:hint="default" w:ascii="Times New Roman" w:hAnsi="Times New Roman" w:eastAsia="仿宋_GB2312" w:cs="方正仿宋_GBK"/>
                <w:b w:val="0"/>
                <w:bCs w:val="0"/>
                <w:szCs w:val="21"/>
                <w:highlight w:val="none"/>
                <w:lang w:val="en-US" w:eastAsia="zh-CN"/>
              </w:rPr>
              <w:t>岁以下婴幼儿入托率提高</w:t>
            </w:r>
            <w:r>
              <w:rPr>
                <w:rFonts w:hint="eastAsia" w:ascii="Times New Roman" w:hAnsi="Times New Roman" w:eastAsia="仿宋_GB2312" w:cs="方正仿宋_GBK"/>
                <w:b w:val="0"/>
                <w:bCs w:val="0"/>
                <w:szCs w:val="21"/>
                <w:highlight w:val="none"/>
                <w:lang w:val="en-US" w:eastAsia="zh-CN"/>
              </w:rPr>
              <w:t>（百分点）</w:t>
            </w:r>
          </w:p>
        </w:tc>
        <w:tc>
          <w:tcPr>
            <w:tcW w:w="912" w:type="dxa"/>
            <w:shd w:val="clear" w:color="auto" w:fill="auto"/>
            <w:noWrap w:val="0"/>
            <w:vAlign w:val="center"/>
          </w:tcPr>
          <w:p w14:paraId="3B7E4AA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798CE957">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2BC17811">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微软雅黑" w:hAnsi="微软雅黑" w:eastAsia="微软雅黑" w:cs="微软雅黑"/>
                <w:b w:val="0"/>
                <w:bCs w:val="0"/>
                <w:szCs w:val="21"/>
                <w:highlight w:val="none"/>
                <w:lang w:val="en-US" w:eastAsia="zh-CN"/>
              </w:rPr>
              <w:t>〔</w:t>
            </w:r>
            <w:r>
              <w:rPr>
                <w:rFonts w:hint="eastAsia" w:ascii="Times New Roman" w:hAnsi="Times New Roman" w:eastAsia="方正仿宋_GB2312" w:cs="方正仿宋_GB2312"/>
                <w:b w:val="0"/>
                <w:bCs w:val="0"/>
                <w:kern w:val="0"/>
                <w:szCs w:val="21"/>
                <w:highlight w:val="none"/>
                <w:lang w:val="en-US" w:eastAsia="zh-CN"/>
              </w:rPr>
              <w:t>5.5</w:t>
            </w:r>
            <w:r>
              <w:rPr>
                <w:rFonts w:hint="eastAsia" w:ascii="微软雅黑" w:hAnsi="微软雅黑" w:eastAsia="微软雅黑" w:cs="微软雅黑"/>
                <w:b w:val="0"/>
                <w:bCs w:val="0"/>
                <w:szCs w:val="21"/>
                <w:highlight w:val="none"/>
                <w:lang w:val="en-US" w:eastAsia="zh-CN"/>
              </w:rPr>
              <w:t>〕</w:t>
            </w:r>
          </w:p>
        </w:tc>
        <w:tc>
          <w:tcPr>
            <w:tcW w:w="1013" w:type="dxa"/>
            <w:shd w:val="clear" w:color="auto" w:fill="auto"/>
            <w:noWrap w:val="0"/>
            <w:vAlign w:val="center"/>
          </w:tcPr>
          <w:p w14:paraId="6BB44809">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7AD3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3D98C452">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4FDF3A7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2</w:t>
            </w:r>
          </w:p>
        </w:tc>
        <w:tc>
          <w:tcPr>
            <w:tcW w:w="3999" w:type="dxa"/>
            <w:gridSpan w:val="3"/>
            <w:shd w:val="clear" w:color="auto" w:fill="auto"/>
            <w:noWrap w:val="0"/>
            <w:tcMar>
              <w:left w:w="57" w:type="dxa"/>
              <w:right w:w="57" w:type="dxa"/>
            </w:tcMar>
            <w:vAlign w:val="center"/>
          </w:tcPr>
          <w:p w14:paraId="4B8A493C">
            <w:pPr>
              <w:widowControl/>
              <w:shd w:val="clear" w:color="auto" w:fill="auto"/>
              <w:snapToGrid w:val="0"/>
              <w:spacing w:line="240" w:lineRule="atLeast"/>
              <w:jc w:val="left"/>
              <w:rPr>
                <w:rFonts w:hint="eastAsia" w:ascii="Times New Roman" w:hAnsi="Times New Roman" w:eastAsia="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人均预期寿命</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岁</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3A12B6C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79.62</w:t>
            </w:r>
          </w:p>
        </w:tc>
        <w:tc>
          <w:tcPr>
            <w:tcW w:w="1160" w:type="dxa"/>
            <w:shd w:val="clear" w:color="auto" w:fill="auto"/>
            <w:noWrap w:val="0"/>
            <w:vAlign w:val="center"/>
          </w:tcPr>
          <w:p w14:paraId="36FDF32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80.73</w:t>
            </w:r>
          </w:p>
        </w:tc>
        <w:tc>
          <w:tcPr>
            <w:tcW w:w="1930" w:type="dxa"/>
            <w:shd w:val="clear" w:color="auto" w:fill="auto"/>
            <w:noWrap w:val="0"/>
            <w:vAlign w:val="center"/>
          </w:tcPr>
          <w:p w14:paraId="69C312E1">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2EF4A34D">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3947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70F24D1A">
            <w:pPr>
              <w:shd w:val="clear" w:color="auto" w:fill="auto"/>
              <w:snapToGrid w:val="0"/>
              <w:spacing w:line="240" w:lineRule="atLeast"/>
              <w:jc w:val="center"/>
              <w:rPr>
                <w:rFonts w:hint="default" w:ascii="Times New Roman" w:hAnsi="Times New Roman" w:eastAsia="等线" w:cs="Times New Roman"/>
                <w:b w:val="0"/>
                <w:bCs w:val="0"/>
                <w:highlight w:val="none"/>
                <w:lang w:val="en-US" w:eastAsia="zh-CN"/>
              </w:rPr>
            </w:pPr>
            <w:r>
              <w:rPr>
                <w:rFonts w:hint="default" w:ascii="Times New Roman" w:hAnsi="Times New Roman" w:eastAsia="黑体" w:cs="Times New Roman"/>
                <w:b w:val="0"/>
                <w:bCs w:val="0"/>
                <w:kern w:val="0"/>
                <w:szCs w:val="21"/>
                <w:highlight w:val="none"/>
                <w:lang w:val="en-US" w:eastAsia="zh-CN"/>
              </w:rPr>
              <w:t>绿色低碳</w:t>
            </w:r>
          </w:p>
        </w:tc>
        <w:tc>
          <w:tcPr>
            <w:tcW w:w="615" w:type="dxa"/>
            <w:shd w:val="clear" w:color="auto" w:fill="auto"/>
            <w:noWrap w:val="0"/>
            <w:tcMar>
              <w:left w:w="28" w:type="dxa"/>
              <w:right w:w="28" w:type="dxa"/>
            </w:tcMar>
            <w:vAlign w:val="center"/>
          </w:tcPr>
          <w:p w14:paraId="75A8169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3</w:t>
            </w:r>
          </w:p>
        </w:tc>
        <w:tc>
          <w:tcPr>
            <w:tcW w:w="3999" w:type="dxa"/>
            <w:gridSpan w:val="3"/>
            <w:shd w:val="clear" w:color="auto" w:fill="auto"/>
            <w:noWrap w:val="0"/>
            <w:tcMar>
              <w:left w:w="57" w:type="dxa"/>
              <w:right w:w="57" w:type="dxa"/>
            </w:tcMar>
            <w:vAlign w:val="center"/>
          </w:tcPr>
          <w:p w14:paraId="5B3988E1">
            <w:pPr>
              <w:widowControl/>
              <w:shd w:val="clear" w:color="auto" w:fill="auto"/>
              <w:snapToGrid w:val="0"/>
              <w:spacing w:line="240" w:lineRule="atLeast"/>
              <w:jc w:val="left"/>
              <w:rPr>
                <w:rFonts w:hint="eastAsia"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单位地区生产总值二氧化碳排放降低</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3756ED8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7E72F10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1248110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完成经自治区审核衔接后确定的目标</w:t>
            </w:r>
          </w:p>
        </w:tc>
        <w:tc>
          <w:tcPr>
            <w:tcW w:w="1013" w:type="dxa"/>
            <w:shd w:val="clear" w:color="auto" w:fill="auto"/>
            <w:noWrap w:val="0"/>
            <w:vAlign w:val="center"/>
          </w:tcPr>
          <w:p w14:paraId="1FE3CC38">
            <w:pPr>
              <w:widowControl/>
              <w:shd w:val="clear" w:color="auto" w:fill="auto"/>
              <w:snapToGrid w:val="0"/>
              <w:spacing w:line="240" w:lineRule="atLeast"/>
              <w:jc w:val="center"/>
              <w:rPr>
                <w:rFonts w:hint="eastAsia" w:ascii="Times New Roman" w:hAnsi="Times New Roman" w:eastAsia="方正仿宋_GBK" w:cs="方正仿宋_GBK"/>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1458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1B89AF1D">
            <w:pPr>
              <w:widowControl/>
              <w:shd w:val="clear" w:color="auto" w:fill="auto"/>
              <w:snapToGrid w:val="0"/>
              <w:spacing w:line="240" w:lineRule="atLeast"/>
              <w:jc w:val="both"/>
              <w:rPr>
                <w:rFonts w:hint="default" w:ascii="Times New Roman" w:hAnsi="Times New Roman" w:eastAsia="黑体" w:cs="Times New Roman"/>
                <w:b w:val="0"/>
                <w:bCs w:val="0"/>
                <w:kern w:val="0"/>
                <w:szCs w:val="21"/>
                <w:highlight w:val="none"/>
                <w:lang w:val="en-US" w:eastAsia="zh-CN"/>
              </w:rPr>
            </w:pPr>
            <w:r>
              <w:rPr>
                <w:rFonts w:hint="default" w:ascii="Times New Roman" w:hAnsi="Times New Roman" w:eastAsia="黑体" w:cs="Times New Roman"/>
                <w:b w:val="0"/>
                <w:bCs w:val="0"/>
                <w:kern w:val="0"/>
                <w:szCs w:val="21"/>
                <w:highlight w:val="none"/>
                <w:lang w:val="en-US" w:eastAsia="zh-CN"/>
              </w:rPr>
              <w:t>绿色</w:t>
            </w:r>
          </w:p>
        </w:tc>
        <w:tc>
          <w:tcPr>
            <w:tcW w:w="615" w:type="dxa"/>
            <w:shd w:val="clear" w:color="auto" w:fill="auto"/>
            <w:noWrap w:val="0"/>
            <w:tcMar>
              <w:left w:w="28" w:type="dxa"/>
              <w:right w:w="28" w:type="dxa"/>
            </w:tcMar>
            <w:vAlign w:val="center"/>
          </w:tcPr>
          <w:p w14:paraId="1ADDA56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4</w:t>
            </w:r>
          </w:p>
        </w:tc>
        <w:tc>
          <w:tcPr>
            <w:tcW w:w="3999" w:type="dxa"/>
            <w:gridSpan w:val="3"/>
            <w:shd w:val="clear" w:color="auto" w:fill="auto"/>
            <w:noWrap w:val="0"/>
            <w:tcMar>
              <w:left w:w="57" w:type="dxa"/>
              <w:right w:w="57" w:type="dxa"/>
            </w:tcMar>
            <w:vAlign w:val="center"/>
          </w:tcPr>
          <w:p w14:paraId="6D5F4392">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非</w:t>
            </w:r>
            <w:r>
              <w:rPr>
                <w:rFonts w:hint="eastAsia" w:ascii="Times New Roman" w:hAnsi="Times New Roman" w:eastAsia="仿宋_GB2312" w:cs="方正仿宋_GBK"/>
                <w:b w:val="0"/>
                <w:bCs w:val="0"/>
                <w:szCs w:val="21"/>
                <w:highlight w:val="none"/>
              </w:rPr>
              <w:t>化石能源占能源消费</w:t>
            </w:r>
            <w:r>
              <w:rPr>
                <w:rFonts w:hint="eastAsia" w:ascii="Times New Roman" w:hAnsi="Times New Roman" w:eastAsia="仿宋_GB2312" w:cs="方正仿宋_GBK"/>
                <w:b w:val="0"/>
                <w:bCs w:val="0"/>
                <w:szCs w:val="21"/>
                <w:highlight w:val="none"/>
                <w:lang w:val="en-US" w:eastAsia="zh-CN"/>
              </w:rPr>
              <w:t>总量比重（</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3F3EF8C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02ACF04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4322E5C1">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完成经自治区审核衔接后确定的目标</w:t>
            </w:r>
          </w:p>
        </w:tc>
        <w:tc>
          <w:tcPr>
            <w:tcW w:w="1013" w:type="dxa"/>
            <w:shd w:val="clear" w:color="auto" w:fill="auto"/>
            <w:noWrap w:val="0"/>
            <w:vAlign w:val="center"/>
          </w:tcPr>
          <w:p w14:paraId="59856F18">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0EFD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618EDEC1">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618547AC">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5</w:t>
            </w:r>
          </w:p>
        </w:tc>
        <w:tc>
          <w:tcPr>
            <w:tcW w:w="3999" w:type="dxa"/>
            <w:gridSpan w:val="3"/>
            <w:shd w:val="clear" w:color="auto" w:fill="auto"/>
            <w:noWrap w:val="0"/>
            <w:tcMar>
              <w:left w:w="57" w:type="dxa"/>
              <w:right w:w="57" w:type="dxa"/>
            </w:tcMar>
            <w:vAlign w:val="center"/>
          </w:tcPr>
          <w:p w14:paraId="5099AA9C">
            <w:pPr>
              <w:widowControl/>
              <w:shd w:val="clear" w:color="auto" w:fill="auto"/>
              <w:snapToGrid w:val="0"/>
              <w:spacing w:line="240" w:lineRule="atLeast"/>
              <w:jc w:val="left"/>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城市细颗粒物（PM</w:t>
            </w:r>
            <w:r>
              <w:rPr>
                <w:rFonts w:hint="eastAsia" w:ascii="Times New Roman" w:hAnsi="Times New Roman" w:eastAsia="仿宋_GB2312" w:cs="方正仿宋_GBK"/>
                <w:b w:val="0"/>
                <w:bCs w:val="0"/>
                <w:szCs w:val="21"/>
                <w:highlight w:val="none"/>
                <w:vertAlign w:val="subscript"/>
                <w:lang w:val="en-US" w:eastAsia="zh-CN"/>
              </w:rPr>
              <w:t>2.5</w:t>
            </w:r>
            <w:r>
              <w:rPr>
                <w:rFonts w:hint="eastAsia" w:ascii="Times New Roman" w:hAnsi="Times New Roman" w:eastAsia="仿宋_GB2312" w:cs="方正仿宋_GBK"/>
                <w:b w:val="0"/>
                <w:bCs w:val="0"/>
                <w:szCs w:val="21"/>
                <w:highlight w:val="none"/>
                <w:lang w:val="en-US" w:eastAsia="zh-CN"/>
              </w:rPr>
              <w:t>）浓度</w:t>
            </w:r>
            <w:r>
              <w:rPr>
                <w:rFonts w:hint="eastAsia" w:ascii="楷体_GB2312" w:hAnsi="楷体_GB2312" w:eastAsia="楷体_GB2312" w:cs="楷体_GB2312"/>
                <w:b w:val="0"/>
                <w:bCs w:val="0"/>
                <w:szCs w:val="21"/>
                <w:highlight w:val="none"/>
                <w:lang w:val="en-US" w:eastAsia="zh-CN"/>
              </w:rPr>
              <w:t>（微克/立方米）</w:t>
            </w:r>
          </w:p>
        </w:tc>
        <w:tc>
          <w:tcPr>
            <w:tcW w:w="912" w:type="dxa"/>
            <w:shd w:val="clear" w:color="auto" w:fill="auto"/>
            <w:noWrap w:val="0"/>
            <w:vAlign w:val="center"/>
          </w:tcPr>
          <w:p w14:paraId="6230659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20</w:t>
            </w:r>
          </w:p>
        </w:tc>
        <w:tc>
          <w:tcPr>
            <w:tcW w:w="1160" w:type="dxa"/>
            <w:shd w:val="clear" w:color="auto" w:fill="auto"/>
            <w:noWrap w:val="0"/>
            <w:vAlign w:val="center"/>
          </w:tcPr>
          <w:p w14:paraId="4788AF86">
            <w:pPr>
              <w:widowControl/>
              <w:shd w:val="clear" w:color="auto" w:fill="auto"/>
              <w:snapToGrid w:val="0"/>
              <w:spacing w:line="240" w:lineRule="atLeast"/>
              <w:jc w:val="center"/>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930" w:type="dxa"/>
            <w:shd w:val="clear" w:color="auto" w:fill="auto"/>
            <w:noWrap w:val="0"/>
            <w:vAlign w:val="center"/>
          </w:tcPr>
          <w:p w14:paraId="2C241F60">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00972EA7">
            <w:pPr>
              <w:widowControl/>
              <w:shd w:val="clear" w:color="auto" w:fill="auto"/>
              <w:snapToGrid w:val="0"/>
              <w:spacing w:line="240" w:lineRule="atLeast"/>
              <w:jc w:val="center"/>
              <w:rPr>
                <w:rFonts w:hint="eastAsia" w:ascii="Times New Roman" w:hAnsi="Times New Roman" w:eastAsia="方正仿宋_GBK" w:cs="方正仿宋_GBK"/>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33E4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0EE1FC69">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2FF89889">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kern w:val="2"/>
                <w:sz w:val="21"/>
                <w:szCs w:val="21"/>
                <w:highlight w:val="none"/>
                <w:lang w:val="en-US" w:eastAsia="zh-CN" w:bidi="ar-SA"/>
              </w:rPr>
              <w:t>1</w:t>
            </w:r>
            <w:r>
              <w:rPr>
                <w:rFonts w:hint="eastAsia" w:ascii="Times New Roman" w:hAnsi="Times New Roman" w:eastAsia="方正仿宋_GB2312" w:cs="Times New Roman"/>
                <w:b w:val="0"/>
                <w:bCs w:val="0"/>
                <w:kern w:val="2"/>
                <w:sz w:val="21"/>
                <w:szCs w:val="21"/>
                <w:highlight w:val="none"/>
                <w:lang w:val="en-US" w:eastAsia="zh-CN" w:bidi="ar-SA"/>
              </w:rPr>
              <w:t>6</w:t>
            </w:r>
          </w:p>
        </w:tc>
        <w:tc>
          <w:tcPr>
            <w:tcW w:w="3999" w:type="dxa"/>
            <w:gridSpan w:val="3"/>
            <w:shd w:val="clear" w:color="auto" w:fill="auto"/>
            <w:noWrap w:val="0"/>
            <w:tcMar>
              <w:left w:w="57" w:type="dxa"/>
              <w:right w:w="57" w:type="dxa"/>
            </w:tcMar>
            <w:vAlign w:val="center"/>
          </w:tcPr>
          <w:p w14:paraId="0B4FC2EC">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优良</w:t>
            </w:r>
            <w:r>
              <w:rPr>
                <w:rFonts w:hint="eastAsia" w:ascii="Times New Roman" w:hAnsi="Times New Roman" w:eastAsia="仿宋_GB2312" w:cs="方正仿宋_GBK"/>
                <w:b w:val="0"/>
                <w:bCs w:val="0"/>
                <w:szCs w:val="21"/>
                <w:highlight w:val="none"/>
              </w:rPr>
              <w:t>水体比例</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0753F15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87</w:t>
            </w:r>
          </w:p>
        </w:tc>
        <w:tc>
          <w:tcPr>
            <w:tcW w:w="1160" w:type="dxa"/>
            <w:shd w:val="clear" w:color="auto" w:fill="auto"/>
            <w:noWrap w:val="0"/>
            <w:vAlign w:val="center"/>
          </w:tcPr>
          <w:p w14:paraId="3F83E407">
            <w:pPr>
              <w:widowControl/>
              <w:shd w:val="clear" w:color="auto" w:fill="auto"/>
              <w:snapToGrid w:val="0"/>
              <w:spacing w:line="240" w:lineRule="atLeast"/>
              <w:jc w:val="center"/>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930" w:type="dxa"/>
            <w:shd w:val="clear" w:color="auto" w:fill="auto"/>
            <w:noWrap w:val="0"/>
            <w:vAlign w:val="center"/>
          </w:tcPr>
          <w:p w14:paraId="0098F54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1B3B4DC2">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66DB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2409544E">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698F4CC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17</w:t>
            </w:r>
          </w:p>
        </w:tc>
        <w:tc>
          <w:tcPr>
            <w:tcW w:w="3999" w:type="dxa"/>
            <w:gridSpan w:val="3"/>
            <w:shd w:val="clear" w:color="auto" w:fill="auto"/>
            <w:noWrap w:val="0"/>
            <w:tcMar>
              <w:left w:w="57" w:type="dxa"/>
              <w:right w:w="57" w:type="dxa"/>
            </w:tcMar>
            <w:vAlign w:val="center"/>
          </w:tcPr>
          <w:p w14:paraId="00ADC906">
            <w:pPr>
              <w:widowControl/>
              <w:shd w:val="clear" w:color="auto" w:fill="auto"/>
              <w:snapToGrid w:val="0"/>
              <w:spacing w:line="240" w:lineRule="atLeast"/>
              <w:jc w:val="left"/>
              <w:rPr>
                <w:rFonts w:hint="eastAsia"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森林</w:t>
            </w:r>
            <w:r>
              <w:rPr>
                <w:rFonts w:hint="eastAsia" w:ascii="Times New Roman" w:hAnsi="Times New Roman" w:eastAsia="仿宋_GB2312" w:cs="方正仿宋_GBK"/>
                <w:b w:val="0"/>
                <w:bCs w:val="0"/>
                <w:szCs w:val="21"/>
                <w:highlight w:val="none"/>
                <w:lang w:val="en-US" w:eastAsia="zh-CN"/>
              </w:rPr>
              <w:t>覆盖率（</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77784D1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34.22*</w:t>
            </w:r>
          </w:p>
        </w:tc>
        <w:tc>
          <w:tcPr>
            <w:tcW w:w="1160" w:type="dxa"/>
            <w:shd w:val="clear" w:color="auto" w:fill="auto"/>
            <w:noWrap w:val="0"/>
            <w:vAlign w:val="center"/>
          </w:tcPr>
          <w:p w14:paraId="18D33C6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34.5</w:t>
            </w:r>
          </w:p>
        </w:tc>
        <w:tc>
          <w:tcPr>
            <w:tcW w:w="1930" w:type="dxa"/>
            <w:shd w:val="clear" w:color="auto" w:fill="auto"/>
            <w:noWrap w:val="0"/>
            <w:vAlign w:val="center"/>
          </w:tcPr>
          <w:p w14:paraId="302F4DF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62924828">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0EAD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3917F852">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安全保障</w:t>
            </w:r>
          </w:p>
        </w:tc>
        <w:tc>
          <w:tcPr>
            <w:tcW w:w="615" w:type="dxa"/>
            <w:shd w:val="clear" w:color="auto" w:fill="auto"/>
            <w:noWrap w:val="0"/>
            <w:tcMar>
              <w:left w:w="28" w:type="dxa"/>
              <w:right w:w="28" w:type="dxa"/>
            </w:tcMar>
            <w:vAlign w:val="center"/>
          </w:tcPr>
          <w:p w14:paraId="3AD42EA1">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18</w:t>
            </w:r>
          </w:p>
        </w:tc>
        <w:tc>
          <w:tcPr>
            <w:tcW w:w="3999" w:type="dxa"/>
            <w:gridSpan w:val="3"/>
            <w:shd w:val="clear" w:color="auto" w:fill="auto"/>
            <w:noWrap w:val="0"/>
            <w:tcMar>
              <w:left w:w="57" w:type="dxa"/>
              <w:right w:w="57" w:type="dxa"/>
            </w:tcMar>
            <w:vAlign w:val="center"/>
          </w:tcPr>
          <w:p w14:paraId="238EA1D5">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粮食综合生产能力</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万吨</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73CCDEC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704.5</w:t>
            </w:r>
          </w:p>
        </w:tc>
        <w:tc>
          <w:tcPr>
            <w:tcW w:w="1160" w:type="dxa"/>
            <w:shd w:val="clear" w:color="auto" w:fill="auto"/>
            <w:noWrap w:val="0"/>
            <w:vAlign w:val="center"/>
          </w:tcPr>
          <w:p w14:paraId="5F752B95">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4B9FEB1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013" w:type="dxa"/>
            <w:shd w:val="clear" w:color="auto" w:fill="auto"/>
            <w:noWrap w:val="0"/>
            <w:vAlign w:val="center"/>
          </w:tcPr>
          <w:p w14:paraId="5E6A9EEF">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6412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2EF8C30D">
            <w:pPr>
              <w:widowControl/>
              <w:shd w:val="clear" w:color="auto" w:fill="auto"/>
              <w:snapToGrid w:val="0"/>
              <w:spacing w:line="240" w:lineRule="atLeast"/>
              <w:jc w:val="center"/>
              <w:rPr>
                <w:rFonts w:hint="default" w:ascii="Times New Roman" w:hAnsi="Times New Roman" w:eastAsia="方正仿宋_GB2312" w:cs="Times New Roman"/>
                <w:b w:val="0"/>
                <w:bCs w:val="0"/>
                <w:kern w:val="0"/>
                <w:szCs w:val="21"/>
                <w:highlight w:val="none"/>
              </w:rPr>
            </w:pPr>
          </w:p>
        </w:tc>
        <w:tc>
          <w:tcPr>
            <w:tcW w:w="615" w:type="dxa"/>
            <w:shd w:val="clear" w:color="auto" w:fill="auto"/>
            <w:noWrap w:val="0"/>
            <w:tcMar>
              <w:left w:w="28" w:type="dxa"/>
              <w:right w:w="28" w:type="dxa"/>
            </w:tcMar>
            <w:vAlign w:val="center"/>
          </w:tcPr>
          <w:p w14:paraId="0747B4D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19</w:t>
            </w:r>
          </w:p>
        </w:tc>
        <w:tc>
          <w:tcPr>
            <w:tcW w:w="3999" w:type="dxa"/>
            <w:gridSpan w:val="3"/>
            <w:shd w:val="clear" w:color="auto" w:fill="auto"/>
            <w:noWrap w:val="0"/>
            <w:tcMar>
              <w:left w:w="57" w:type="dxa"/>
              <w:right w:w="57" w:type="dxa"/>
            </w:tcMar>
            <w:vAlign w:val="center"/>
          </w:tcPr>
          <w:p w14:paraId="726FD629">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能源综合生产能力</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亿吨标煤</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298B54D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0.23</w:t>
            </w:r>
          </w:p>
        </w:tc>
        <w:tc>
          <w:tcPr>
            <w:tcW w:w="1160" w:type="dxa"/>
            <w:shd w:val="clear" w:color="auto" w:fill="auto"/>
            <w:noWrap w:val="0"/>
            <w:vAlign w:val="center"/>
          </w:tcPr>
          <w:p w14:paraId="6229715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930" w:type="dxa"/>
            <w:shd w:val="clear" w:color="auto" w:fill="auto"/>
            <w:noWrap w:val="0"/>
            <w:vAlign w:val="center"/>
          </w:tcPr>
          <w:p w14:paraId="3914217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55F2D71F">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3271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5" w:type="dxa"/>
            <w:gridSpan w:val="9"/>
            <w:noWrap w:val="0"/>
            <w:vAlign w:val="center"/>
          </w:tcPr>
          <w:p w14:paraId="7022C6B8">
            <w:pPr>
              <w:widowControl/>
              <w:shd w:val="clear" w:color="auto" w:fill="auto"/>
              <w:snapToGrid w:val="0"/>
              <w:spacing w:line="240" w:lineRule="atLeast"/>
              <w:ind w:firstLine="420" w:firstLineChars="200"/>
              <w:jc w:val="both"/>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注：</w:t>
            </w:r>
            <w:r>
              <w:rPr>
                <w:rFonts w:hint="default" w:ascii="Calibri" w:hAnsi="Calibri" w:eastAsia="仿宋_GB2312" w:cs="Calibri"/>
                <w:b w:val="0"/>
                <w:bCs w:val="0"/>
                <w:szCs w:val="21"/>
                <w:highlight w:val="none"/>
                <w:lang w:val="en-US" w:eastAsia="zh-CN"/>
              </w:rPr>
              <w:t>①</w:t>
            </w:r>
            <w:r>
              <w:rPr>
                <w:rFonts w:hint="eastAsia" w:ascii="微软雅黑" w:hAnsi="微软雅黑" w:eastAsia="微软雅黑" w:cs="微软雅黑"/>
                <w:b w:val="0"/>
                <w:bCs w:val="0"/>
                <w:szCs w:val="21"/>
                <w:highlight w:val="none"/>
                <w:lang w:val="en-US" w:eastAsia="zh-CN"/>
              </w:rPr>
              <w:t>〔〕</w:t>
            </w:r>
            <w:r>
              <w:rPr>
                <w:rFonts w:hint="eastAsia" w:ascii="Times New Roman" w:hAnsi="Times New Roman" w:eastAsia="仿宋_GB2312" w:cs="方正仿宋_GBK"/>
                <w:b w:val="0"/>
                <w:bCs w:val="0"/>
                <w:szCs w:val="21"/>
                <w:highlight w:val="none"/>
                <w:lang w:val="en-US" w:eastAsia="zh-CN"/>
              </w:rPr>
              <w:t>内为5年累计数。</w:t>
            </w:r>
            <w:r>
              <w:rPr>
                <w:rFonts w:hint="default" w:ascii="Calibri" w:hAnsi="Calibri" w:eastAsia="仿宋_GB2312" w:cs="Calibri"/>
                <w:b w:val="0"/>
                <w:bCs w:val="0"/>
                <w:szCs w:val="21"/>
                <w:highlight w:val="none"/>
                <w:lang w:val="en-US" w:eastAsia="zh-CN"/>
              </w:rPr>
              <w:t>②</w:t>
            </w:r>
            <w:r>
              <w:rPr>
                <w:rFonts w:hint="eastAsia" w:ascii="Times New Roman" w:hAnsi="Times New Roman" w:eastAsia="仿宋_GB2312" w:cs="方正仿宋_GBK"/>
                <w:b w:val="0"/>
                <w:bCs w:val="0"/>
                <w:szCs w:val="21"/>
                <w:highlight w:val="none"/>
                <w:lang w:val="en-US" w:eastAsia="zh-CN"/>
              </w:rPr>
              <w:t>*为2024年数据。</w:t>
            </w:r>
            <w:r>
              <w:rPr>
                <w:rFonts w:hint="default" w:ascii="Calibri" w:hAnsi="Calibri" w:eastAsia="仿宋_GB2312" w:cs="Calibri"/>
                <w:b w:val="0"/>
                <w:bCs w:val="0"/>
                <w:szCs w:val="21"/>
                <w:highlight w:val="none"/>
                <w:lang w:val="en-US" w:eastAsia="zh-CN"/>
              </w:rPr>
              <w:t>③</w:t>
            </w:r>
            <w:r>
              <w:rPr>
                <w:rFonts w:hint="eastAsia" w:ascii="Times New Roman" w:hAnsi="Times New Roman" w:eastAsia="仿宋_GB2312" w:cs="方正仿宋_GBK"/>
                <w:b w:val="0"/>
                <w:bCs w:val="0"/>
                <w:szCs w:val="21"/>
                <w:highlight w:val="none"/>
                <w:lang w:val="en-US" w:eastAsia="zh-CN"/>
              </w:rPr>
              <w:t>2025年数据中“—”为待自治区正式发布的数据。</w:t>
            </w:r>
          </w:p>
        </w:tc>
      </w:tr>
    </w:tbl>
    <w:p w14:paraId="442FB02B">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jc w:val="left"/>
        <w:textAlignment w:val="auto"/>
        <w:outlineLvl w:val="9"/>
        <w:rPr>
          <w:rFonts w:hint="eastAsia" w:ascii="Times New Roman" w:hAnsi="Times New Roman"/>
          <w:b w:val="0"/>
          <w:bCs w:val="0"/>
          <w:highlight w:val="none"/>
          <w:lang w:val="en-US" w:eastAsia="zh-CN"/>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109609E4">
      <w:pPr>
        <w:numPr>
          <w:ilvl w:val="0"/>
          <w:numId w:val="1"/>
        </w:numPr>
        <w:shd w:val="clear" w:color="auto" w:fill="auto"/>
        <w:spacing w:before="157" w:beforeLines="50" w:after="157" w:afterLines="50" w:line="360" w:lineRule="auto"/>
        <w:jc w:val="center"/>
        <w:outlineLvl w:val="0"/>
        <w:rPr>
          <w:rFonts w:hint="eastAsia" w:ascii="Times New Roman" w:hAnsi="Times New Roman" w:eastAsia="方正黑体_GBK" w:cs="方正黑体_GBK"/>
          <w:b w:val="0"/>
          <w:bCs w:val="0"/>
          <w:sz w:val="32"/>
          <w:szCs w:val="32"/>
          <w:highlight w:val="none"/>
          <w:u w:val="none"/>
          <w:lang w:val="en-US" w:eastAsia="zh-CN"/>
        </w:rPr>
        <w:sectPr>
          <w:footerReference r:id="rId14" w:type="default"/>
          <w:pgSz w:w="11906" w:h="16838"/>
          <w:pgMar w:top="2098" w:right="1474" w:bottom="1984" w:left="1587" w:header="851" w:footer="992" w:gutter="0"/>
          <w:pgNumType w:fmt="numberInDash"/>
          <w:cols w:space="720" w:num="1"/>
          <w:docGrid w:type="lines" w:linePitch="312" w:charSpace="0"/>
        </w:sectPr>
      </w:pPr>
      <w:bookmarkStart w:id="35" w:name="_Toc4957"/>
      <w:bookmarkStart w:id="36" w:name="_Toc10352"/>
      <w:bookmarkStart w:id="37" w:name="_Toc20772"/>
      <w:bookmarkStart w:id="38" w:name="_Toc26494"/>
      <w:bookmarkStart w:id="39" w:name="_Toc8816"/>
      <w:bookmarkStart w:id="40" w:name="_Toc5273"/>
      <w:bookmarkStart w:id="41" w:name="_Toc9698"/>
      <w:bookmarkStart w:id="42" w:name="_Toc17998"/>
      <w:bookmarkStart w:id="43" w:name="_Toc21669"/>
      <w:bookmarkStart w:id="44" w:name="_Toc1379"/>
    </w:p>
    <w:p w14:paraId="369ADA33">
      <w:pPr>
        <w:keepNext w:val="0"/>
        <w:keepLines w:val="0"/>
        <w:pageBreakBefore w:val="0"/>
        <w:numPr>
          <w:ilvl w:val="0"/>
          <w:numId w:val="1"/>
        </w:numPr>
        <w:shd w:val="clear" w:color="auto" w:fill="auto"/>
        <w:kinsoku/>
        <w:wordWrap/>
        <w:topLinePunct w:val="0"/>
        <w:autoSpaceDE/>
        <w:autoSpaceDN/>
        <w:bidi w:val="0"/>
        <w:adjustRightInd/>
        <w:spacing w:before="157" w:beforeLines="50" w:after="157" w:afterLines="50" w:line="540" w:lineRule="exact"/>
        <w:jc w:val="center"/>
        <w:textAlignment w:val="auto"/>
        <w:outlineLvl w:val="0"/>
        <w:rPr>
          <w:rFonts w:hint="eastAsia" w:ascii="方正小标宋简体" w:hAnsi="方正小标宋简体" w:eastAsia="方正小标宋简体" w:cs="方正小标宋简体"/>
          <w:b w:val="0"/>
          <w:bCs w:val="0"/>
          <w:sz w:val="32"/>
          <w:szCs w:val="32"/>
          <w:highlight w:val="none"/>
          <w:u w:val="none"/>
          <w:lang w:val="en-US" w:eastAsia="zh-CN"/>
        </w:rPr>
      </w:pPr>
      <w:bookmarkStart w:id="45" w:name="_Toc5743"/>
      <w:bookmarkStart w:id="46" w:name="_Toc18073"/>
      <w:bookmarkStart w:id="47" w:name="_Toc27514"/>
      <w:bookmarkStart w:id="48" w:name="_Toc20097"/>
      <w:r>
        <w:rPr>
          <w:rFonts w:hint="eastAsia" w:ascii="方正小标宋简体" w:hAnsi="方正小标宋简体" w:eastAsia="方正小标宋简体" w:cs="方正小标宋简体"/>
          <w:b w:val="0"/>
          <w:bCs w:val="0"/>
          <w:sz w:val="32"/>
          <w:szCs w:val="32"/>
          <w:highlight w:val="none"/>
          <w:u w:val="none"/>
          <w:lang w:val="en-US" w:eastAsia="zh-CN"/>
        </w:rPr>
        <w:t>聚焦重点，践行中国式现代化赤峰实践新路径</w:t>
      </w:r>
      <w:bookmarkEnd w:id="35"/>
      <w:bookmarkEnd w:id="36"/>
      <w:bookmarkEnd w:id="37"/>
      <w:bookmarkEnd w:id="38"/>
      <w:bookmarkEnd w:id="39"/>
      <w:bookmarkEnd w:id="40"/>
      <w:bookmarkEnd w:id="41"/>
      <w:bookmarkEnd w:id="42"/>
      <w:bookmarkEnd w:id="43"/>
      <w:bookmarkEnd w:id="45"/>
      <w:bookmarkEnd w:id="46"/>
      <w:bookmarkEnd w:id="47"/>
      <w:bookmarkEnd w:id="48"/>
    </w:p>
    <w:p w14:paraId="2ABAFD5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zCs w:val="36"/>
          <w:highlight w:val="none"/>
        </w:rPr>
      </w:pPr>
      <w:r>
        <w:rPr>
          <w:rFonts w:hint="eastAsia" w:ascii="Times New Roman" w:hAnsi="Times New Roman" w:eastAsia="仿宋_GB2312" w:cs="方正仿宋_GBK"/>
          <w:b w:val="0"/>
          <w:bCs w:val="0"/>
          <w:szCs w:val="36"/>
          <w:highlight w:val="none"/>
          <w:lang w:val="en-US" w:eastAsia="zh-CN"/>
        </w:rPr>
        <w:t>锚定基本实现现代化取得决定性进展目标，按照高质量发展要求，把握好速度与质量、经济与社会、环境和安全的关系，把中国式现代化宏伟事业</w:t>
      </w:r>
      <w:r>
        <w:rPr>
          <w:rFonts w:hint="eastAsia" w:eastAsia="仿宋_GB2312" w:cs="方正仿宋_GBK"/>
          <w:b w:val="0"/>
          <w:bCs w:val="0"/>
          <w:szCs w:val="36"/>
          <w:highlight w:val="none"/>
          <w:lang w:val="en-US" w:eastAsia="zh-CN"/>
        </w:rPr>
        <w:t>赤峰实践</w:t>
      </w:r>
      <w:r>
        <w:rPr>
          <w:rFonts w:hint="eastAsia" w:ascii="Times New Roman" w:hAnsi="Times New Roman" w:eastAsia="仿宋_GB2312" w:cs="方正仿宋_GBK"/>
          <w:b w:val="0"/>
          <w:bCs w:val="0"/>
          <w:szCs w:val="36"/>
          <w:highlight w:val="none"/>
          <w:lang w:val="en-US" w:eastAsia="zh-CN"/>
        </w:rPr>
        <w:t>不断向前推进。</w:t>
      </w:r>
    </w:p>
    <w:bookmarkEnd w:id="44"/>
    <w:p w14:paraId="5FC2AF38">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49" w:name="_Toc9340"/>
      <w:bookmarkStart w:id="50" w:name="_Toc4926"/>
      <w:bookmarkStart w:id="51" w:name="_Toc17096"/>
      <w:bookmarkStart w:id="52" w:name="_Toc13816"/>
      <w:bookmarkStart w:id="53" w:name="_Toc10628"/>
      <w:bookmarkStart w:id="54" w:name="_Toc28823"/>
      <w:bookmarkStart w:id="55" w:name="_Toc26519"/>
      <w:bookmarkStart w:id="56" w:name="_Toc18787"/>
      <w:bookmarkStart w:id="57" w:name="_Toc14239"/>
      <w:bookmarkStart w:id="58" w:name="_Toc14959"/>
      <w:bookmarkStart w:id="59" w:name="_Toc4663"/>
      <w:bookmarkStart w:id="60" w:name="_Toc30344"/>
      <w:bookmarkStart w:id="61" w:name="_Toc21658"/>
      <w:bookmarkStart w:id="62" w:name="_Toc30953"/>
      <w:bookmarkStart w:id="63" w:name="_Toc15520"/>
      <w:bookmarkStart w:id="64" w:name="_Toc2916"/>
      <w:bookmarkStart w:id="65" w:name="_Toc5720"/>
      <w:bookmarkStart w:id="66" w:name="_Toc29553"/>
      <w:bookmarkStart w:id="67" w:name="_Toc8516"/>
      <w:bookmarkStart w:id="68" w:name="_Toc13664"/>
      <w:bookmarkStart w:id="69" w:name="_Toc18264"/>
      <w:bookmarkStart w:id="70" w:name="_Toc2036"/>
      <w:bookmarkStart w:id="71" w:name="_Toc14189"/>
      <w:r>
        <w:rPr>
          <w:rFonts w:hint="eastAsia" w:ascii="黑体" w:hAnsi="黑体" w:eastAsia="黑体" w:cs="黑体"/>
          <w:b w:val="0"/>
          <w:bCs w:val="0"/>
          <w:sz w:val="32"/>
          <w:szCs w:val="32"/>
          <w:highlight w:val="none"/>
          <w:lang w:eastAsia="zh-CN"/>
        </w:rPr>
        <w:t>铸牢中华民族共同体意识，</w:t>
      </w:r>
      <w:bookmarkEnd w:id="49"/>
      <w:r>
        <w:rPr>
          <w:rFonts w:hint="eastAsia" w:ascii="黑体" w:hAnsi="黑体" w:eastAsia="黑体" w:cs="黑体"/>
          <w:b w:val="0"/>
          <w:bCs w:val="0"/>
          <w:sz w:val="32"/>
          <w:szCs w:val="32"/>
          <w:highlight w:val="none"/>
          <w:lang w:val="en-US" w:eastAsia="zh-CN"/>
        </w:rPr>
        <w:t>推进民族工作高质量发展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CB15DCC">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牢牢把握铸牢中华民族共同体意识这一新时代党的民族工作和民族地区各项工作的主线，</w:t>
      </w:r>
      <w:r>
        <w:rPr>
          <w:rFonts w:hint="eastAsia" w:eastAsia="仿宋_GB2312" w:cs="方正仿宋_GBK"/>
          <w:b w:val="0"/>
          <w:bCs w:val="0"/>
          <w:color w:val="auto"/>
          <w:sz w:val="32"/>
          <w:szCs w:val="32"/>
          <w:highlight w:val="none"/>
          <w:lang w:val="en-US" w:eastAsia="zh-CN"/>
        </w:rPr>
        <w:t>把主线要求具体深入地贯彻落实到全市</w:t>
      </w:r>
      <w:r>
        <w:rPr>
          <w:rFonts w:hint="eastAsia" w:ascii="Times New Roman" w:hAnsi="Times New Roman" w:eastAsia="仿宋_GB2312" w:cs="方正仿宋_GBK"/>
          <w:b w:val="0"/>
          <w:bCs w:val="0"/>
          <w:color w:val="auto"/>
          <w:sz w:val="32"/>
          <w:szCs w:val="32"/>
          <w:highlight w:val="none"/>
        </w:rPr>
        <w:t>经济建设、政治建设</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文化建设、社会建设、生态文明建设和党的建设等工作中</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有形有感有效推进中华民族</w:t>
      </w:r>
      <w:r>
        <w:rPr>
          <w:rFonts w:hint="eastAsia" w:eastAsia="仿宋_GB2312" w:cs="方正仿宋_GBK"/>
          <w:b w:val="0"/>
          <w:bCs w:val="0"/>
          <w:color w:val="auto"/>
          <w:sz w:val="32"/>
          <w:szCs w:val="32"/>
          <w:highlight w:val="none"/>
          <w:lang w:val="en-US" w:eastAsia="zh-CN"/>
        </w:rPr>
        <w:t>共同体</w:t>
      </w:r>
      <w:r>
        <w:rPr>
          <w:rFonts w:hint="eastAsia" w:ascii="Times New Roman" w:hAnsi="Times New Roman" w:eastAsia="仿宋_GB2312" w:cs="方正仿宋_GBK"/>
          <w:b w:val="0"/>
          <w:bCs w:val="0"/>
          <w:color w:val="auto"/>
          <w:sz w:val="32"/>
          <w:szCs w:val="32"/>
          <w:highlight w:val="none"/>
        </w:rPr>
        <w:t>建设。</w:t>
      </w:r>
    </w:p>
    <w:p w14:paraId="376D5F46">
      <w:pPr>
        <w:keepNext w:val="0"/>
        <w:keepLines w:val="0"/>
        <w:pageBreakBefore w:val="0"/>
        <w:widowControl/>
        <w:numPr>
          <w:ilvl w:val="0"/>
          <w:numId w:val="3"/>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72" w:name="_Toc12832"/>
      <w:bookmarkStart w:id="73" w:name="_Toc361"/>
      <w:bookmarkStart w:id="74" w:name="_Toc9904"/>
      <w:bookmarkStart w:id="75" w:name="_Toc15005"/>
      <w:bookmarkStart w:id="76" w:name="_Toc10540"/>
      <w:bookmarkStart w:id="77" w:name="_Toc24184"/>
      <w:bookmarkStart w:id="78" w:name="_Toc19974"/>
      <w:bookmarkStart w:id="79" w:name="_Toc13720"/>
      <w:bookmarkStart w:id="80" w:name="_Toc30852"/>
      <w:bookmarkStart w:id="81" w:name="_Toc21558"/>
      <w:bookmarkStart w:id="82" w:name="_Toc30390"/>
      <w:bookmarkStart w:id="83" w:name="_Toc24789"/>
      <w:bookmarkStart w:id="84" w:name="_Toc7264"/>
      <w:bookmarkStart w:id="85" w:name="_Toc3819"/>
      <w:bookmarkStart w:id="86" w:name="_Toc12287"/>
      <w:r>
        <w:rPr>
          <w:rFonts w:hint="eastAsia" w:ascii="楷体_GB2312" w:hAnsi="楷体_GB2312" w:eastAsia="楷体_GB2312" w:cs="楷体_GB2312"/>
          <w:b w:val="0"/>
          <w:bCs w:val="0"/>
          <w:color w:val="auto"/>
          <w:sz w:val="32"/>
          <w:szCs w:val="40"/>
          <w:highlight w:val="none"/>
          <w:lang w:val="en-US" w:eastAsia="zh-CN"/>
        </w:rPr>
        <w:t>构筑中华民族共有精神家园</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212FB2D">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深刻理解把握中华文明的突出特性，健全贯彻主线落实机制，深化铸牢中华民族共同体意识理论研究和宣传教育，</w:t>
      </w:r>
      <w:r>
        <w:rPr>
          <w:rFonts w:hint="eastAsia" w:ascii="Times New Roman" w:hAnsi="Times New Roman" w:eastAsia="仿宋_GB2312" w:cs="方正仿宋_GBK"/>
          <w:b w:val="0"/>
          <w:bCs w:val="0"/>
          <w:color w:val="auto"/>
          <w:sz w:val="32"/>
          <w:szCs w:val="32"/>
          <w:highlight w:val="none"/>
        </w:rPr>
        <w:t>把建设中华民族共有精神家园作为战略任务，引导全市各族人民牢固树立休戚与共、荣辱与共、生死与共、命运与共的共同体理念，不断增强对伟大祖国、中华民族、中华文化、中国共产党、中国特色社会主义的认同，为推进中华民族共同体建设提供强大精神文化支撑。</w:t>
      </w:r>
    </w:p>
    <w:p w14:paraId="3CE87C46">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87" w:name="_Toc8714"/>
      <w:r>
        <w:rPr>
          <w:rFonts w:hint="eastAsia" w:ascii="Times New Roman" w:hAnsi="Times New Roman" w:eastAsia="仿宋_GB2312" w:cs="方正仿宋_GBK"/>
          <w:b w:val="0"/>
          <w:bCs w:val="0"/>
          <w:color w:val="auto"/>
          <w:sz w:val="32"/>
          <w:szCs w:val="32"/>
          <w:highlight w:val="none"/>
        </w:rPr>
        <w:t>健全贯彻主线要求机制</w:t>
      </w:r>
      <w:bookmarkEnd w:id="87"/>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强化各级党委</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党组</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和领导干部的主线意识，严格落实铸牢中华民族共同体意识工作责任制和工作协调机制。</w:t>
      </w:r>
      <w:r>
        <w:rPr>
          <w:rFonts w:hint="eastAsia" w:ascii="Times New Roman" w:hAnsi="Times New Roman" w:eastAsia="仿宋_GB2312" w:cs="方正仿宋_GBK"/>
          <w:b w:val="0"/>
          <w:bCs w:val="0"/>
          <w:color w:val="auto"/>
          <w:sz w:val="32"/>
          <w:szCs w:val="32"/>
          <w:highlight w:val="none"/>
          <w:lang w:val="en-US" w:eastAsia="zh-CN"/>
        </w:rPr>
        <w:t>完善贯彻主线要求审核评估备案机制，制定地方性法规、政府规章、发展规划以铸牢中华民族共同体意识为基本前提。健全各族群众共享资源开发、产业发展、项目建设等收益机制。将主线要求融入历史文化宣传、公共基础设施、城市标志性建筑、旅游景观陈列等各个方面，突出各民族共有共享的中华文化符号和中华民族形象。</w:t>
      </w:r>
    </w:p>
    <w:p w14:paraId="56D3A3B5">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r>
        <w:rPr>
          <w:rFonts w:hint="eastAsia" w:eastAsia="仿宋_GB2312" w:cs="方正仿宋_GBK"/>
          <w:b w:val="0"/>
          <w:bCs w:val="0"/>
          <w:color w:val="auto"/>
          <w:sz w:val="32"/>
          <w:szCs w:val="32"/>
          <w:highlight w:val="none"/>
          <w:lang w:val="en-US" w:eastAsia="zh-CN"/>
        </w:rPr>
        <w:t>厚植中华民族共有文化根基。</w:t>
      </w:r>
      <w:r>
        <w:rPr>
          <w:rFonts w:hint="eastAsia" w:ascii="Times New Roman" w:hAnsi="Times New Roman" w:eastAsia="仿宋_GB2312" w:cs="方正仿宋_GBK"/>
          <w:b w:val="0"/>
          <w:bCs w:val="0"/>
          <w:color w:val="auto"/>
          <w:sz w:val="32"/>
          <w:szCs w:val="32"/>
          <w:highlight w:val="none"/>
          <w:lang w:val="en-US" w:eastAsia="zh-CN"/>
        </w:rPr>
        <w:t>以社会主义核心价值观为引领，加强铸牢中华民族共同体意识理论研究和宣传教育，引导各族干部群众牢固树立共同体理念。实施党员干部教育培训计划，</w:t>
      </w:r>
      <w:r>
        <w:rPr>
          <w:rFonts w:hint="eastAsia" w:ascii="Times New Roman" w:hAnsi="Times New Roman" w:eastAsia="仿宋_GB2312" w:cs="方正仿宋_GBK"/>
          <w:b w:val="0"/>
          <w:bCs w:val="0"/>
          <w:color w:val="auto"/>
          <w:sz w:val="32"/>
          <w:szCs w:val="32"/>
          <w:highlight w:val="none"/>
        </w:rPr>
        <w:t>深入开展“</w:t>
      </w:r>
      <w:r>
        <w:rPr>
          <w:rFonts w:hint="eastAsia" w:eastAsia="仿宋_GB2312" w:cs="方正仿宋_GBK"/>
          <w:b w:val="0"/>
          <w:bCs w:val="0"/>
          <w:color w:val="auto"/>
          <w:sz w:val="32"/>
          <w:szCs w:val="32"/>
          <w:highlight w:val="none"/>
          <w:lang w:eastAsia="zh-CN"/>
        </w:rPr>
        <w:t>感党恩、听党话、跟党走</w:t>
      </w:r>
      <w:r>
        <w:rPr>
          <w:rFonts w:hint="eastAsia" w:ascii="Times New Roman" w:hAnsi="Times New Roman" w:eastAsia="仿宋_GB2312" w:cs="方正仿宋_GBK"/>
          <w:b w:val="0"/>
          <w:bCs w:val="0"/>
          <w:color w:val="auto"/>
          <w:sz w:val="32"/>
          <w:szCs w:val="32"/>
          <w:highlight w:val="none"/>
        </w:rPr>
        <w:t>”群众教育，树牢正确</w:t>
      </w:r>
      <w:r>
        <w:rPr>
          <w:rFonts w:hint="eastAsia" w:eastAsia="仿宋_GB2312" w:cs="方正仿宋_GBK"/>
          <w:b w:val="0"/>
          <w:bCs w:val="0"/>
          <w:color w:val="auto"/>
          <w:sz w:val="32"/>
          <w:szCs w:val="32"/>
          <w:highlight w:val="none"/>
          <w:lang w:val="en-US" w:eastAsia="zh-CN"/>
        </w:rPr>
        <w:t>的</w:t>
      </w:r>
      <w:r>
        <w:rPr>
          <w:rFonts w:hint="eastAsia" w:ascii="Times New Roman" w:hAnsi="Times New Roman" w:eastAsia="仿宋_GB2312" w:cs="方正仿宋_GBK"/>
          <w:b w:val="0"/>
          <w:bCs w:val="0"/>
          <w:color w:val="auto"/>
          <w:sz w:val="32"/>
          <w:szCs w:val="32"/>
          <w:highlight w:val="none"/>
        </w:rPr>
        <w:t>中华民族历史观。深入挖掘</w:t>
      </w:r>
      <w:r>
        <w:rPr>
          <w:rFonts w:hint="eastAsia" w:ascii="Times New Roman" w:hAnsi="Times New Roman" w:eastAsia="仿宋_GB2312" w:cs="方正仿宋_GBK"/>
          <w:b w:val="0"/>
          <w:bCs w:val="0"/>
          <w:color w:val="auto"/>
          <w:sz w:val="32"/>
          <w:szCs w:val="32"/>
          <w:highlight w:val="none"/>
          <w:lang w:val="en-US" w:eastAsia="zh-CN"/>
        </w:rPr>
        <w:t>中华优秀传统文化</w:t>
      </w:r>
      <w:r>
        <w:rPr>
          <w:rFonts w:hint="eastAsia" w:ascii="Times New Roman" w:hAnsi="Times New Roman" w:eastAsia="仿宋_GB2312" w:cs="方正仿宋_GBK"/>
          <w:b w:val="0"/>
          <w:bCs w:val="0"/>
          <w:color w:val="auto"/>
          <w:sz w:val="32"/>
          <w:szCs w:val="32"/>
          <w:highlight w:val="none"/>
        </w:rPr>
        <w:t>中的民族团结进步思想内涵和守望相助理念，精心打造一批具有中华文化底蕴、充分汲取各民族文化营养、</w:t>
      </w:r>
      <w:r>
        <w:rPr>
          <w:rFonts w:hint="eastAsia" w:ascii="仿宋_GB2312" w:hAnsi="黑体" w:eastAsia="仿宋_GB2312" w:cs="Times New Roman"/>
          <w:b w:val="0"/>
          <w:bCs w:val="0"/>
          <w:color w:val="auto"/>
          <w:sz w:val="32"/>
          <w:szCs w:val="32"/>
          <w:highlight w:val="none"/>
          <w:u w:val="none" w:color="auto"/>
          <w:lang w:val="en-US" w:eastAsia="zh-CN"/>
        </w:rPr>
        <w:t>彰显中华民族共同体意识、体现赤峰特色的文化精品力作</w:t>
      </w:r>
      <w:r>
        <w:rPr>
          <w:rFonts w:hint="eastAsia" w:ascii="Times New Roman" w:hAnsi="Times New Roman" w:eastAsia="仿宋_GB2312" w:cs="方正仿宋_GBK"/>
          <w:b w:val="0"/>
          <w:bCs w:val="0"/>
          <w:color w:val="auto"/>
          <w:sz w:val="32"/>
          <w:szCs w:val="32"/>
          <w:highlight w:val="none"/>
        </w:rPr>
        <w:t>，推动各民族优秀传统文化创造性转化、创新性发展</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实现个人、社会、民族、国家价值观的内在统一。</w:t>
      </w:r>
    </w:p>
    <w:p w14:paraId="10E25147">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sz w:val="32"/>
          <w:szCs w:val="32"/>
          <w:highlight w:val="none"/>
        </w:rPr>
      </w:pPr>
      <w:bookmarkStart w:id="88" w:name="_Toc12516"/>
      <w:r>
        <w:rPr>
          <w:rFonts w:hint="eastAsia" w:ascii="Times New Roman" w:hAnsi="Times New Roman" w:eastAsia="仿宋_GB2312" w:cs="方正仿宋_GBK"/>
          <w:b w:val="0"/>
          <w:bCs w:val="0"/>
          <w:color w:val="auto"/>
          <w:sz w:val="32"/>
          <w:szCs w:val="32"/>
          <w:highlight w:val="none"/>
        </w:rPr>
        <w:t>健全完善宣传教育常态化机制</w:t>
      </w:r>
      <w:bookmarkEnd w:id="88"/>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推进铸牢中华民族共同体意识宣传教育常</w:t>
      </w:r>
      <w:r>
        <w:rPr>
          <w:rFonts w:hint="eastAsia" w:eastAsia="仿宋_GB2312" w:cs="方正仿宋_GBK"/>
          <w:b w:val="0"/>
          <w:bCs w:val="0"/>
          <w:color w:val="auto"/>
          <w:sz w:val="32"/>
          <w:szCs w:val="32"/>
          <w:highlight w:val="none"/>
          <w:lang w:eastAsia="zh-CN"/>
        </w:rPr>
        <w:t>态化、</w:t>
      </w:r>
      <w:r>
        <w:rPr>
          <w:rFonts w:hint="eastAsia" w:ascii="Times New Roman" w:hAnsi="Times New Roman" w:eastAsia="仿宋_GB2312" w:cs="方正仿宋_GBK"/>
          <w:b w:val="0"/>
          <w:bCs w:val="0"/>
          <w:color w:val="auto"/>
          <w:sz w:val="32"/>
          <w:szCs w:val="32"/>
          <w:highlight w:val="none"/>
        </w:rPr>
        <w:t>长效化，把铸牢中华民族共同体意识教育纳入党员教育、干部教育、国民教</w:t>
      </w:r>
      <w:r>
        <w:rPr>
          <w:rFonts w:hint="eastAsia" w:ascii="Times New Roman" w:hAnsi="Times New Roman" w:eastAsia="仿宋_GB2312" w:cs="方正仿宋_GBK"/>
          <w:b w:val="0"/>
          <w:bCs w:val="0"/>
          <w:color w:val="auto"/>
          <w:spacing w:val="-6"/>
          <w:sz w:val="32"/>
          <w:szCs w:val="32"/>
          <w:highlight w:val="none"/>
        </w:rPr>
        <w:t>育、社会</w:t>
      </w:r>
      <w:r>
        <w:rPr>
          <w:rFonts w:hint="eastAsia" w:ascii="Times New Roman" w:hAnsi="Times New Roman" w:eastAsia="仿宋_GB2312" w:cs="方正仿宋_GBK"/>
          <w:b w:val="0"/>
          <w:bCs w:val="0"/>
          <w:color w:val="auto"/>
          <w:spacing w:val="-6"/>
          <w:sz w:val="32"/>
          <w:szCs w:val="32"/>
          <w:highlight w:val="none"/>
          <w:lang w:val="en-US" w:eastAsia="zh-CN"/>
        </w:rPr>
        <w:t>宣传</w:t>
      </w:r>
      <w:r>
        <w:rPr>
          <w:rFonts w:hint="eastAsia" w:ascii="Times New Roman" w:hAnsi="Times New Roman" w:eastAsia="仿宋_GB2312" w:cs="方正仿宋_GBK"/>
          <w:b w:val="0"/>
          <w:bCs w:val="0"/>
          <w:color w:val="auto"/>
          <w:spacing w:val="-6"/>
          <w:sz w:val="32"/>
          <w:szCs w:val="32"/>
          <w:highlight w:val="none"/>
        </w:rPr>
        <w:t>教育全过程，贯穿于学校、单位、家庭、社会各方</w:t>
      </w:r>
      <w:r>
        <w:rPr>
          <w:rFonts w:hint="eastAsia" w:ascii="Times New Roman" w:hAnsi="Times New Roman" w:eastAsia="仿宋_GB2312" w:cs="方正仿宋_GBK"/>
          <w:b w:val="0"/>
          <w:bCs w:val="0"/>
          <w:color w:val="auto"/>
          <w:sz w:val="32"/>
          <w:szCs w:val="32"/>
          <w:highlight w:val="none"/>
        </w:rPr>
        <w:t>面，</w:t>
      </w:r>
      <w:r>
        <w:rPr>
          <w:rFonts w:hint="eastAsia" w:ascii="Times New Roman" w:hAnsi="Times New Roman" w:eastAsia="仿宋_GB2312" w:cs="方正仿宋_GBK"/>
          <w:b w:val="0"/>
          <w:bCs w:val="0"/>
          <w:color w:val="auto"/>
          <w:spacing w:val="-6"/>
          <w:sz w:val="32"/>
          <w:szCs w:val="32"/>
          <w:highlight w:val="none"/>
        </w:rPr>
        <w:t>有计划、分批次、持续性开展铸牢中华民族共同体意识</w:t>
      </w:r>
      <w:r>
        <w:rPr>
          <w:rFonts w:hint="eastAsia" w:ascii="Times New Roman" w:hAnsi="Times New Roman" w:eastAsia="仿宋_GB2312" w:cs="方正仿宋_GBK"/>
          <w:b w:val="0"/>
          <w:bCs w:val="0"/>
          <w:color w:val="auto"/>
          <w:spacing w:val="-6"/>
          <w:sz w:val="32"/>
          <w:szCs w:val="32"/>
          <w:highlight w:val="none"/>
          <w:lang w:val="en-US" w:eastAsia="zh-CN"/>
        </w:rPr>
        <w:t>宣传</w:t>
      </w:r>
      <w:r>
        <w:rPr>
          <w:rFonts w:hint="eastAsia" w:ascii="Times New Roman" w:hAnsi="Times New Roman" w:eastAsia="仿宋_GB2312" w:cs="方正仿宋_GBK"/>
          <w:b w:val="0"/>
          <w:bCs w:val="0"/>
          <w:color w:val="auto"/>
          <w:spacing w:val="-6"/>
          <w:sz w:val="32"/>
          <w:szCs w:val="32"/>
          <w:highlight w:val="none"/>
        </w:rPr>
        <w:t>教育活动</w:t>
      </w:r>
      <w:r>
        <w:rPr>
          <w:rFonts w:hint="eastAsia" w:eastAsia="仿宋_GB2312" w:cs="方正仿宋_GBK"/>
          <w:b w:val="0"/>
          <w:bCs w:val="0"/>
          <w:color w:val="auto"/>
          <w:spacing w:val="-6"/>
          <w:sz w:val="32"/>
          <w:szCs w:val="32"/>
          <w:highlight w:val="none"/>
          <w:lang w:eastAsia="zh-CN"/>
        </w:rPr>
        <w:t>。</w:t>
      </w:r>
      <w:r>
        <w:rPr>
          <w:rFonts w:hint="eastAsia" w:ascii="Times New Roman" w:hAnsi="Times New Roman" w:eastAsia="仿宋_GB2312" w:cs="方正仿宋_GBK"/>
          <w:b w:val="0"/>
          <w:bCs w:val="0"/>
          <w:color w:val="auto"/>
          <w:spacing w:val="-6"/>
          <w:sz w:val="32"/>
          <w:szCs w:val="32"/>
          <w:highlight w:val="none"/>
        </w:rPr>
        <w:t>充分发挥各级党校（行政学院）、</w:t>
      </w:r>
      <w:r>
        <w:rPr>
          <w:rFonts w:hint="eastAsia" w:ascii="Times New Roman" w:hAnsi="Times New Roman" w:eastAsia="仿宋_GB2312" w:cs="方正仿宋_GBK"/>
          <w:b w:val="0"/>
          <w:bCs w:val="0"/>
          <w:color w:val="auto"/>
          <w:spacing w:val="-6"/>
          <w:sz w:val="32"/>
          <w:szCs w:val="32"/>
          <w:highlight w:val="none"/>
          <w:lang w:val="en-US" w:eastAsia="zh-CN"/>
        </w:rPr>
        <w:t>敖汉干部学院</w:t>
      </w:r>
      <w:r>
        <w:rPr>
          <w:rFonts w:hint="eastAsia" w:eastAsia="仿宋_GB2312" w:cs="方正仿宋_GBK"/>
          <w:b w:val="0"/>
          <w:bCs w:val="0"/>
          <w:color w:val="auto"/>
          <w:spacing w:val="-6"/>
          <w:sz w:val="32"/>
          <w:szCs w:val="32"/>
          <w:highlight w:val="none"/>
          <w:lang w:val="en-US" w:eastAsia="zh-CN"/>
        </w:rPr>
        <w:t>、</w:t>
      </w:r>
      <w:r>
        <w:rPr>
          <w:rFonts w:hint="eastAsia" w:ascii="Times New Roman" w:hAnsi="Times New Roman" w:eastAsia="仿宋_GB2312" w:cs="方正仿宋_GBK"/>
          <w:b w:val="0"/>
          <w:bCs w:val="0"/>
          <w:color w:val="auto"/>
          <w:spacing w:val="-6"/>
          <w:sz w:val="32"/>
          <w:szCs w:val="32"/>
          <w:highlight w:val="none"/>
        </w:rPr>
        <w:t>社会主</w:t>
      </w:r>
      <w:r>
        <w:rPr>
          <w:rFonts w:hint="eastAsia" w:ascii="Times New Roman" w:hAnsi="Times New Roman" w:eastAsia="仿宋_GB2312" w:cs="方正仿宋_GBK"/>
          <w:b w:val="0"/>
          <w:bCs w:val="0"/>
          <w:color w:val="auto"/>
          <w:sz w:val="32"/>
          <w:szCs w:val="32"/>
          <w:highlight w:val="none"/>
        </w:rPr>
        <w:t>义学院</w:t>
      </w:r>
      <w:r>
        <w:rPr>
          <w:rFonts w:hint="eastAsia" w:eastAsia="仿宋_GB2312" w:cs="方正仿宋_GBK"/>
          <w:b w:val="0"/>
          <w:bCs w:val="0"/>
          <w:color w:val="auto"/>
          <w:sz w:val="32"/>
          <w:szCs w:val="32"/>
          <w:highlight w:val="none"/>
          <w:lang w:val="en-US" w:eastAsia="zh-CN"/>
        </w:rPr>
        <w:t>等</w:t>
      </w:r>
      <w:r>
        <w:rPr>
          <w:rFonts w:hint="eastAsia" w:ascii="Times New Roman" w:hAnsi="Times New Roman" w:eastAsia="仿宋_GB2312" w:cs="方正仿宋_GBK"/>
          <w:b w:val="0"/>
          <w:bCs w:val="0"/>
          <w:color w:val="auto"/>
          <w:sz w:val="32"/>
          <w:szCs w:val="32"/>
          <w:highlight w:val="none"/>
        </w:rPr>
        <w:t>重要阵地作用，着力提升教育实效。推动政策语言、</w:t>
      </w:r>
      <w:r>
        <w:rPr>
          <w:rFonts w:hint="eastAsia" w:ascii="Times New Roman" w:hAnsi="Times New Roman" w:eastAsia="仿宋_GB2312" w:cs="方正仿宋_GBK"/>
          <w:b w:val="0"/>
          <w:bCs w:val="0"/>
          <w:color w:val="auto"/>
          <w:spacing w:val="-6"/>
          <w:sz w:val="32"/>
          <w:szCs w:val="32"/>
          <w:highlight w:val="none"/>
        </w:rPr>
        <w:t>学术语言转化为群众语言、外宣语言，</w:t>
      </w:r>
      <w:r>
        <w:rPr>
          <w:rFonts w:hint="eastAsia" w:eastAsia="仿宋_GB2312" w:cs="方正仿宋_GBK"/>
          <w:b w:val="0"/>
          <w:bCs w:val="0"/>
          <w:color w:val="auto"/>
          <w:spacing w:val="-6"/>
          <w:sz w:val="32"/>
          <w:szCs w:val="32"/>
          <w:highlight w:val="none"/>
          <w:lang w:val="en-US" w:eastAsia="zh-CN"/>
        </w:rPr>
        <w:t>做好铸牢中华民族共同体意识宣传教育基地展陈更新工作，</w:t>
      </w:r>
      <w:r>
        <w:rPr>
          <w:rFonts w:hint="eastAsia" w:ascii="Times New Roman" w:hAnsi="Times New Roman" w:eastAsia="仿宋_GB2312" w:cs="方正仿宋_GBK"/>
          <w:b w:val="0"/>
          <w:bCs w:val="0"/>
          <w:color w:val="auto"/>
          <w:spacing w:val="-6"/>
          <w:sz w:val="32"/>
          <w:szCs w:val="32"/>
          <w:highlight w:val="none"/>
        </w:rPr>
        <w:t>优化铸牢中华民族共同体意识文物古籍展展陈。加大“请进来”和“走出去”力度，针对专家学者、媒体记者、文化人士</w:t>
      </w:r>
      <w:r>
        <w:rPr>
          <w:rFonts w:hint="eastAsia" w:eastAsia="仿宋_GB2312" w:cs="方正仿宋_GBK"/>
          <w:b w:val="0"/>
          <w:bCs w:val="0"/>
          <w:color w:val="auto"/>
          <w:spacing w:val="-6"/>
          <w:sz w:val="32"/>
          <w:szCs w:val="32"/>
          <w:highlight w:val="none"/>
          <w:lang w:val="en-US" w:eastAsia="zh-CN"/>
        </w:rPr>
        <w:t>等</w:t>
      </w:r>
      <w:r>
        <w:rPr>
          <w:rFonts w:hint="eastAsia" w:ascii="Times New Roman" w:hAnsi="Times New Roman" w:eastAsia="仿宋_GB2312" w:cs="方正仿宋_GBK"/>
          <w:b w:val="0"/>
          <w:bCs w:val="0"/>
          <w:color w:val="auto"/>
          <w:spacing w:val="-6"/>
          <w:sz w:val="32"/>
          <w:szCs w:val="32"/>
          <w:highlight w:val="none"/>
        </w:rPr>
        <w:t>开展</w:t>
      </w:r>
      <w:r>
        <w:rPr>
          <w:rFonts w:hint="eastAsia" w:eastAsia="仿宋_GB2312" w:cs="方正仿宋_GBK"/>
          <w:b w:val="0"/>
          <w:bCs w:val="0"/>
          <w:color w:val="auto"/>
          <w:spacing w:val="-6"/>
          <w:sz w:val="32"/>
          <w:szCs w:val="32"/>
          <w:highlight w:val="none"/>
          <w:lang w:eastAsia="zh-CN"/>
        </w:rPr>
        <w:t>多种</w:t>
      </w:r>
      <w:r>
        <w:rPr>
          <w:rFonts w:hint="eastAsia" w:ascii="Times New Roman" w:hAnsi="Times New Roman" w:eastAsia="仿宋_GB2312" w:cs="方正仿宋_GBK"/>
          <w:b w:val="0"/>
          <w:bCs w:val="0"/>
          <w:color w:val="auto"/>
          <w:spacing w:val="-6"/>
          <w:sz w:val="32"/>
          <w:szCs w:val="32"/>
          <w:highlight w:val="none"/>
        </w:rPr>
        <w:t>形式的交往交流，积极构建上下联动、左右互动、整体推动的铸牢中华民族共同体意识宣传教育工作新格局。</w:t>
      </w:r>
    </w:p>
    <w:p w14:paraId="45A61BAD">
      <w:pPr>
        <w:keepNext w:val="0"/>
        <w:keepLines w:val="0"/>
        <w:pageBreakBefore w:val="0"/>
        <w:widowControl/>
        <w:numPr>
          <w:ilvl w:val="0"/>
          <w:numId w:val="3"/>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89" w:name="_Toc10215"/>
      <w:bookmarkStart w:id="90" w:name="_Toc20696"/>
      <w:bookmarkStart w:id="91" w:name="_Toc13426"/>
      <w:bookmarkStart w:id="92" w:name="_Toc850"/>
      <w:bookmarkStart w:id="93" w:name="_Toc26617"/>
      <w:bookmarkStart w:id="94" w:name="_Toc26041"/>
      <w:bookmarkStart w:id="95" w:name="_Toc29921"/>
      <w:bookmarkStart w:id="96" w:name="_Toc9735"/>
      <w:bookmarkStart w:id="97" w:name="_Toc5908"/>
      <w:bookmarkStart w:id="98" w:name="_Toc25607"/>
      <w:bookmarkStart w:id="99" w:name="_Toc14681"/>
      <w:bookmarkStart w:id="100" w:name="_Toc25957"/>
      <w:bookmarkStart w:id="101" w:name="_Toc4809"/>
      <w:bookmarkStart w:id="102" w:name="_Toc9247"/>
      <w:bookmarkStart w:id="103" w:name="_Toc32414"/>
      <w:r>
        <w:rPr>
          <w:rFonts w:hint="eastAsia" w:ascii="楷体_GB2312" w:hAnsi="楷体_GB2312" w:eastAsia="楷体_GB2312" w:cs="楷体_GB2312"/>
          <w:b w:val="0"/>
          <w:bCs w:val="0"/>
          <w:color w:val="auto"/>
          <w:sz w:val="32"/>
          <w:szCs w:val="40"/>
          <w:highlight w:val="none"/>
          <w:lang w:val="en-US" w:eastAsia="zh-CN"/>
        </w:rPr>
        <w:t>促进各民族交往交流交融</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5B529AF">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深化民族团结进步创建，推动各民族全方位嵌入，</w:t>
      </w:r>
      <w:r>
        <w:rPr>
          <w:rFonts w:hint="eastAsia" w:ascii="Times New Roman" w:hAnsi="Times New Roman" w:eastAsia="仿宋_GB2312" w:cs="方正仿宋_GBK"/>
          <w:b w:val="0"/>
          <w:bCs w:val="0"/>
          <w:color w:val="auto"/>
          <w:sz w:val="32"/>
          <w:szCs w:val="32"/>
          <w:highlight w:val="none"/>
          <w:lang w:val="en-US" w:eastAsia="zh-CN"/>
        </w:rPr>
        <w:t>努力</w:t>
      </w:r>
      <w:r>
        <w:rPr>
          <w:rFonts w:hint="eastAsia" w:ascii="Times New Roman" w:hAnsi="Times New Roman" w:eastAsia="仿宋_GB2312" w:cs="方正仿宋_GBK"/>
          <w:b w:val="0"/>
          <w:bCs w:val="0"/>
          <w:color w:val="auto"/>
          <w:sz w:val="32"/>
          <w:szCs w:val="32"/>
          <w:highlight w:val="none"/>
        </w:rPr>
        <w:t>创造各族群众共居、共学、共事、共乐的社会条件，促进各民族广泛交往、全面交流、深度交融，巩固和发展好</w:t>
      </w:r>
      <w:r>
        <w:rPr>
          <w:rFonts w:hint="eastAsia" w:eastAsia="仿宋_GB2312" w:cs="方正仿宋_GBK"/>
          <w:b w:val="0"/>
          <w:bCs w:val="0"/>
          <w:color w:val="auto"/>
          <w:sz w:val="32"/>
          <w:szCs w:val="32"/>
          <w:highlight w:val="none"/>
          <w:lang w:val="en-US" w:eastAsia="zh-CN"/>
        </w:rPr>
        <w:t>全市</w:t>
      </w:r>
      <w:r>
        <w:rPr>
          <w:rFonts w:hint="eastAsia" w:ascii="Times New Roman" w:hAnsi="Times New Roman" w:eastAsia="仿宋_GB2312" w:cs="方正仿宋_GBK"/>
          <w:b w:val="0"/>
          <w:bCs w:val="0"/>
          <w:color w:val="auto"/>
          <w:sz w:val="32"/>
          <w:szCs w:val="32"/>
          <w:highlight w:val="none"/>
        </w:rPr>
        <w:t>民族团结大局。</w:t>
      </w:r>
    </w:p>
    <w:p w14:paraId="414F1897">
      <w:pPr>
        <w:pStyle w:val="43"/>
        <w:keepNext w:val="0"/>
        <w:keepLines w:val="0"/>
        <w:pageBreakBefore w:val="0"/>
        <w:shd w:val="clear"/>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eastAsia="zh-CN"/>
        </w:rPr>
      </w:pPr>
      <w:bookmarkStart w:id="104" w:name="_Toc17251"/>
      <w:r>
        <w:rPr>
          <w:rFonts w:hint="eastAsia" w:eastAsia="仿宋_GB2312" w:cs="方正仿宋_GBK"/>
          <w:b w:val="0"/>
          <w:bCs w:val="0"/>
          <w:color w:val="auto"/>
          <w:sz w:val="32"/>
          <w:szCs w:val="32"/>
          <w:highlight w:val="none"/>
          <w:lang w:val="en-US" w:eastAsia="zh-CN"/>
        </w:rPr>
        <w:t>持续深化开展</w:t>
      </w:r>
      <w:r>
        <w:rPr>
          <w:rFonts w:hint="eastAsia" w:ascii="Times New Roman" w:hAnsi="Times New Roman" w:eastAsia="仿宋_GB2312" w:cs="方正仿宋_GBK"/>
          <w:b w:val="0"/>
          <w:bCs w:val="0"/>
          <w:color w:val="auto"/>
          <w:sz w:val="32"/>
          <w:szCs w:val="32"/>
          <w:highlight w:val="none"/>
        </w:rPr>
        <w:t>民族团结进步创建</w:t>
      </w:r>
      <w:bookmarkEnd w:id="104"/>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深入开展民族团结进步创建</w:t>
      </w:r>
      <w:r>
        <w:rPr>
          <w:rFonts w:hint="eastAsia" w:eastAsia="仿宋_GB2312" w:cs="方正仿宋_GBK"/>
          <w:b w:val="0"/>
          <w:bCs w:val="0"/>
          <w:color w:val="auto"/>
          <w:sz w:val="32"/>
          <w:szCs w:val="32"/>
          <w:highlight w:val="none"/>
          <w:lang w:val="en-US" w:eastAsia="zh-CN"/>
        </w:rPr>
        <w:t>工作</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鼓励支持各地区各部门各单位创建全国民族团结进步示范区（单位）</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树立抓基层、强基础的导向，坚持以基层为重点，推进各级示范嘎查村、示范苏木乡镇、示范旗县（区）创建，选树一批可复制的区域类、行业类示范典型，形成各具特色的创建工作群体。</w:t>
      </w:r>
      <w:r>
        <w:rPr>
          <w:rFonts w:hint="eastAsia" w:ascii="Times New Roman" w:hAnsi="Times New Roman" w:eastAsia="仿宋_GB2312" w:cs="方正仿宋_GBK"/>
          <w:b w:val="0"/>
          <w:bCs w:val="0"/>
          <w:color w:val="auto"/>
          <w:sz w:val="32"/>
          <w:szCs w:val="32"/>
          <w:highlight w:val="none"/>
          <w:lang w:eastAsia="zh-CN"/>
        </w:rPr>
        <w:t>进一步深化内涵、丰富形式、创新方法，拓展民族团结进步宣传教育网络空间，讲好新时代内蒙古民族团结进步故事。推动民族团结进步创建工作进机关、进企业、进社区、进苏木乡镇、进学校、进连队、进宗教活动场所、进网络，覆盖各行业各领域，在全社会营造关心支持民族工作的良好氛围。</w:t>
      </w:r>
    </w:p>
    <w:p w14:paraId="0D478B23">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bookmarkStart w:id="105" w:name="_Toc6063"/>
      <w:r>
        <w:rPr>
          <w:rFonts w:hint="eastAsia" w:ascii="Times New Roman" w:hAnsi="Times New Roman" w:eastAsia="仿宋_GB2312" w:cs="方正仿宋_GBK"/>
          <w:b w:val="0"/>
          <w:bCs w:val="0"/>
          <w:color w:val="auto"/>
          <w:sz w:val="32"/>
          <w:szCs w:val="32"/>
          <w:highlight w:val="none"/>
          <w:lang w:eastAsia="zh-CN"/>
        </w:rPr>
        <w:t>积极搭建促进各民族交往交流交融平台</w:t>
      </w:r>
      <w:bookmarkEnd w:id="105"/>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以“互嵌”为导向，</w:t>
      </w:r>
      <w:r>
        <w:rPr>
          <w:rFonts w:hint="eastAsia" w:ascii="Times New Roman" w:hAnsi="Times New Roman" w:eastAsia="仿宋_GB2312" w:cs="方正仿宋_GBK"/>
          <w:b w:val="0"/>
          <w:bCs w:val="0"/>
          <w:color w:val="auto"/>
          <w:sz w:val="32"/>
          <w:szCs w:val="32"/>
          <w:highlight w:val="none"/>
          <w:lang w:eastAsia="zh-CN"/>
        </w:rPr>
        <w:t>统筹城乡规划建设布局和公共服务配置，加快构建互嵌式社会结构和社区环境，营造各族群众共居共学、共建共享、共事共乐的社会条件。创新城市民族工作，</w:t>
      </w:r>
      <w:r>
        <w:rPr>
          <w:rFonts w:hint="eastAsia" w:ascii="Times New Roman" w:hAnsi="Times New Roman" w:eastAsia="仿宋_GB2312" w:cs="方正仿宋_GBK"/>
          <w:b w:val="0"/>
          <w:bCs w:val="0"/>
          <w:color w:val="auto"/>
          <w:sz w:val="32"/>
          <w:szCs w:val="32"/>
          <w:highlight w:val="none"/>
        </w:rPr>
        <w:t>全面推广“城市民族工作综合服务体”工作模式，</w:t>
      </w:r>
      <w:r>
        <w:rPr>
          <w:rFonts w:hint="eastAsia" w:ascii="Times New Roman" w:hAnsi="Times New Roman" w:eastAsia="仿宋_GB2312" w:cs="方正仿宋_GBK"/>
          <w:b w:val="0"/>
          <w:bCs w:val="0"/>
          <w:color w:val="auto"/>
          <w:sz w:val="32"/>
          <w:szCs w:val="32"/>
          <w:highlight w:val="none"/>
          <w:lang w:eastAsia="zh-CN"/>
        </w:rPr>
        <w:t>支持各族群众联合创业、扶弱帮困，有序推动</w:t>
      </w:r>
      <w:r>
        <w:rPr>
          <w:rFonts w:hint="eastAsia" w:eastAsia="仿宋_GB2312" w:cs="方正仿宋_GBK"/>
          <w:b w:val="0"/>
          <w:bCs w:val="0"/>
          <w:color w:val="auto"/>
          <w:sz w:val="32"/>
          <w:szCs w:val="32"/>
          <w:highlight w:val="none"/>
          <w:lang w:val="en-US" w:eastAsia="zh-CN"/>
        </w:rPr>
        <w:t>各族群众</w:t>
      </w:r>
      <w:r>
        <w:rPr>
          <w:rFonts w:hint="eastAsia" w:ascii="Times New Roman" w:hAnsi="Times New Roman" w:eastAsia="仿宋_GB2312" w:cs="方正仿宋_GBK"/>
          <w:b w:val="0"/>
          <w:bCs w:val="0"/>
          <w:color w:val="auto"/>
          <w:sz w:val="32"/>
          <w:szCs w:val="32"/>
          <w:highlight w:val="none"/>
          <w:lang w:eastAsia="zh-CN"/>
        </w:rPr>
        <w:t>跨区域</w:t>
      </w:r>
      <w:r>
        <w:rPr>
          <w:rFonts w:hint="eastAsia" w:eastAsia="仿宋_GB2312" w:cs="方正仿宋_GBK"/>
          <w:b w:val="0"/>
          <w:bCs w:val="0"/>
          <w:color w:val="auto"/>
          <w:sz w:val="32"/>
          <w:szCs w:val="32"/>
          <w:highlight w:val="none"/>
          <w:lang w:val="en-US" w:eastAsia="zh-CN"/>
        </w:rPr>
        <w:t>流动融居</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加强</w:t>
      </w:r>
      <w:r>
        <w:rPr>
          <w:rFonts w:hint="eastAsia" w:eastAsia="仿宋_GB2312" w:cs="方正仿宋_GBK"/>
          <w:b w:val="0"/>
          <w:bCs w:val="0"/>
          <w:color w:val="auto"/>
          <w:sz w:val="32"/>
          <w:szCs w:val="32"/>
          <w:highlight w:val="none"/>
          <w:lang w:val="en-US" w:eastAsia="zh-CN"/>
        </w:rPr>
        <w:t>少数</w:t>
      </w:r>
      <w:r>
        <w:rPr>
          <w:rFonts w:hint="eastAsia" w:ascii="Times New Roman" w:hAnsi="Times New Roman" w:eastAsia="仿宋_GB2312" w:cs="方正仿宋_GBK"/>
          <w:b w:val="0"/>
          <w:bCs w:val="0"/>
          <w:color w:val="auto"/>
          <w:sz w:val="32"/>
          <w:szCs w:val="32"/>
          <w:highlight w:val="none"/>
        </w:rPr>
        <w:t>民族流动人口服务管理工作，</w:t>
      </w:r>
      <w:r>
        <w:rPr>
          <w:rFonts w:hint="eastAsia" w:ascii="Times New Roman" w:hAnsi="Times New Roman" w:eastAsia="仿宋_GB2312" w:cs="方正仿宋_GBK"/>
          <w:b w:val="0"/>
          <w:bCs w:val="0"/>
          <w:color w:val="auto"/>
          <w:sz w:val="32"/>
          <w:szCs w:val="32"/>
          <w:highlight w:val="none"/>
          <w:lang w:eastAsia="zh-CN"/>
        </w:rPr>
        <w:t>逐步实现在空间、文化、经济、社会、心理等全</w:t>
      </w:r>
      <w:r>
        <w:rPr>
          <w:rFonts w:hint="eastAsia" w:eastAsia="仿宋_GB2312" w:cs="方正仿宋_GBK"/>
          <w:b w:val="0"/>
          <w:bCs w:val="0"/>
          <w:color w:val="auto"/>
          <w:sz w:val="32"/>
          <w:szCs w:val="32"/>
          <w:highlight w:val="none"/>
          <w:lang w:val="en-US" w:eastAsia="zh-CN"/>
        </w:rPr>
        <w:t>方位</w:t>
      </w:r>
      <w:r>
        <w:rPr>
          <w:rFonts w:hint="eastAsia" w:ascii="Times New Roman" w:hAnsi="Times New Roman" w:eastAsia="仿宋_GB2312" w:cs="方正仿宋_GBK"/>
          <w:b w:val="0"/>
          <w:bCs w:val="0"/>
          <w:color w:val="auto"/>
          <w:sz w:val="32"/>
          <w:szCs w:val="32"/>
          <w:highlight w:val="none"/>
          <w:lang w:eastAsia="zh-CN"/>
        </w:rPr>
        <w:t>嵌入。</w:t>
      </w:r>
      <w:r>
        <w:rPr>
          <w:rFonts w:hint="eastAsia" w:ascii="Times New Roman" w:hAnsi="Times New Roman" w:eastAsia="仿宋_GB2312" w:cs="方正仿宋_GBK"/>
          <w:b w:val="0"/>
          <w:bCs w:val="0"/>
          <w:color w:val="auto"/>
          <w:sz w:val="32"/>
          <w:szCs w:val="32"/>
          <w:highlight w:val="none"/>
        </w:rPr>
        <w:t>丰富和拓展“各族青少年交流计划”</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“各族群众互嵌式发展计划”</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“旅游促进各民族交往交流交融计划</w:t>
      </w:r>
      <w:r>
        <w:rPr>
          <w:rFonts w:hint="eastAsia" w:eastAsia="仿宋_GB2312" w:cs="方正仿宋_GBK"/>
          <w:b w:val="0"/>
          <w:bCs w:val="0"/>
          <w:color w:val="auto"/>
          <w:sz w:val="32"/>
          <w:szCs w:val="32"/>
          <w:highlight w:val="none"/>
          <w:lang w:eastAsia="zh-CN"/>
        </w:rPr>
        <w:t>”等</w:t>
      </w:r>
      <w:r>
        <w:rPr>
          <w:rFonts w:hint="eastAsia" w:ascii="Times New Roman" w:hAnsi="Times New Roman" w:eastAsia="仿宋_GB2312" w:cs="方正仿宋_GBK"/>
          <w:b w:val="0"/>
          <w:bCs w:val="0"/>
          <w:color w:val="auto"/>
          <w:sz w:val="32"/>
          <w:szCs w:val="32"/>
          <w:highlight w:val="none"/>
        </w:rPr>
        <w:t>平台载体</w:t>
      </w:r>
      <w:r>
        <w:rPr>
          <w:rFonts w:hint="eastAsia" w:ascii="Times New Roman" w:hAnsi="Times New Roman"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打造铸牢</w:t>
      </w:r>
      <w:r>
        <w:rPr>
          <w:rFonts w:hint="eastAsia" w:ascii="Times New Roman" w:hAnsi="Times New Roman" w:eastAsia="仿宋_GB2312" w:cs="方正仿宋_GBK"/>
          <w:b w:val="0"/>
          <w:bCs w:val="0"/>
          <w:color w:val="auto"/>
          <w:sz w:val="32"/>
          <w:szCs w:val="32"/>
          <w:highlight w:val="none"/>
        </w:rPr>
        <w:t>中华民族共同体意识主题旅游路线</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“赤子心</w:t>
      </w:r>
      <w:r>
        <w:rPr>
          <w:rFonts w:hint="eastAsia" w:eastAsia="仿宋_GB2312" w:cs="方正仿宋_GBK"/>
          <w:b w:val="0"/>
          <w:bCs w:val="0"/>
          <w:color w:val="auto"/>
          <w:sz w:val="32"/>
          <w:szCs w:val="32"/>
          <w:highlight w:val="none"/>
          <w:lang w:val="en-US" w:eastAsia="zh-CN"/>
        </w:rPr>
        <w:t xml:space="preserve"> </w:t>
      </w:r>
      <w:r>
        <w:rPr>
          <w:rFonts w:hint="eastAsia" w:ascii="Times New Roman" w:hAnsi="Times New Roman" w:eastAsia="仿宋_GB2312" w:cs="方正仿宋_GBK"/>
          <w:b w:val="0"/>
          <w:bCs w:val="0"/>
          <w:color w:val="auto"/>
          <w:sz w:val="32"/>
          <w:szCs w:val="32"/>
          <w:highlight w:val="none"/>
        </w:rPr>
        <w:t>石榴情</w:t>
      </w:r>
      <w:r>
        <w:rPr>
          <w:rFonts w:hint="eastAsia" w:eastAsia="仿宋_GB2312" w:cs="方正仿宋_GBK"/>
          <w:b w:val="0"/>
          <w:bCs w:val="0"/>
          <w:color w:val="auto"/>
          <w:sz w:val="32"/>
          <w:szCs w:val="32"/>
          <w:highlight w:val="none"/>
          <w:lang w:val="en-US" w:eastAsia="zh-CN"/>
        </w:rPr>
        <w:t xml:space="preserve"> </w:t>
      </w:r>
      <w:r>
        <w:rPr>
          <w:rFonts w:hint="eastAsia" w:ascii="Times New Roman" w:hAnsi="Times New Roman" w:eastAsia="仿宋_GB2312" w:cs="方正仿宋_GBK"/>
          <w:b w:val="0"/>
          <w:bCs w:val="0"/>
          <w:color w:val="auto"/>
          <w:sz w:val="32"/>
          <w:szCs w:val="32"/>
          <w:highlight w:val="none"/>
        </w:rPr>
        <w:t>逐梦行”各族青少年研学交流活动品牌</w:t>
      </w:r>
      <w:r>
        <w:rPr>
          <w:rFonts w:hint="eastAsia" w:eastAsia="仿宋_GB2312" w:cs="方正仿宋_GBK"/>
          <w:b w:val="0"/>
          <w:bCs w:val="0"/>
          <w:color w:val="auto"/>
          <w:sz w:val="32"/>
          <w:szCs w:val="32"/>
          <w:highlight w:val="none"/>
          <w:lang w:val="en-US" w:eastAsia="zh-CN"/>
        </w:rPr>
        <w:t>等</w:t>
      </w:r>
      <w:r>
        <w:rPr>
          <w:rFonts w:hint="eastAsia" w:ascii="Times New Roman" w:hAnsi="Times New Roman" w:eastAsia="仿宋_GB2312" w:cs="方正仿宋_GBK"/>
          <w:b w:val="0"/>
          <w:bCs w:val="0"/>
          <w:color w:val="auto"/>
          <w:sz w:val="32"/>
          <w:szCs w:val="32"/>
          <w:highlight w:val="none"/>
        </w:rPr>
        <w:t>有影响力的品牌典型。推动国家通用语言文字教育教学，全面推行使用国家统编教材。</w:t>
      </w:r>
    </w:p>
    <w:p w14:paraId="27678688">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106" w:name="_Toc28060"/>
      <w:r>
        <w:rPr>
          <w:rFonts w:hint="eastAsia" w:eastAsia="仿宋_GB2312" w:cs="方正仿宋_GBK"/>
          <w:b w:val="0"/>
          <w:bCs w:val="0"/>
          <w:color w:val="auto"/>
          <w:sz w:val="32"/>
          <w:szCs w:val="32"/>
          <w:highlight w:val="none"/>
          <w:lang w:val="en-US" w:eastAsia="zh-CN"/>
        </w:rPr>
        <w:t>着力</w:t>
      </w:r>
      <w:r>
        <w:rPr>
          <w:rFonts w:hint="eastAsia" w:ascii="Times New Roman" w:hAnsi="Times New Roman" w:eastAsia="仿宋_GB2312" w:cs="方正仿宋_GBK"/>
          <w:b w:val="0"/>
          <w:bCs w:val="0"/>
          <w:color w:val="auto"/>
          <w:sz w:val="32"/>
          <w:szCs w:val="32"/>
          <w:highlight w:val="none"/>
          <w:lang w:val="en-US" w:eastAsia="zh-CN"/>
        </w:rPr>
        <w:t>推动民族地区高质量发展</w:t>
      </w:r>
      <w:bookmarkEnd w:id="106"/>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促进民族地区经济高质量发展</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持续开展“民族团结一家亲、乡村振兴心连心”活动，动员引导全市民委系统和民贸民品企业深度参与乡村振兴。管好用好少数民族发展任务资金</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聚焦民族特色产业发展、基础设施改善等重点任务，集中实施典型项目，开展资金使用和项目成效</w:t>
      </w:r>
      <w:r>
        <w:rPr>
          <w:rFonts w:hint="eastAsia" w:eastAsia="仿宋_GB2312" w:cs="方正仿宋_GBK"/>
          <w:b w:val="0"/>
          <w:bCs w:val="0"/>
          <w:color w:val="auto"/>
          <w:sz w:val="32"/>
          <w:szCs w:val="32"/>
          <w:highlight w:val="none"/>
          <w:lang w:val="en-US" w:eastAsia="zh-CN"/>
        </w:rPr>
        <w:t>评估</w:t>
      </w:r>
      <w:r>
        <w:rPr>
          <w:rFonts w:hint="eastAsia" w:ascii="Times New Roman" w:hAnsi="Times New Roman" w:eastAsia="仿宋_GB2312" w:cs="方正仿宋_GBK"/>
          <w:b w:val="0"/>
          <w:bCs w:val="0"/>
          <w:color w:val="auto"/>
          <w:sz w:val="32"/>
          <w:szCs w:val="32"/>
          <w:highlight w:val="none"/>
        </w:rPr>
        <w:t>工作，提高资金使用效益和项目成效，推动资金使用管理充分彰显“三个意义”。加强民贸民品企业服务管理</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将铸牢中华民族共同体意识主线贯穿民贸民品工作全过程各方面，严格民贸民品企业筛选申报和动态管理，广泛宣传落实流动贷款贴息政策，提升服务民贸民品企业质量。广泛开展“共同富裕在行动、在身边”宣传宣讲，让各族群众真切感受到惠在何处、惠从何来。</w:t>
      </w:r>
    </w:p>
    <w:p w14:paraId="3CAFB437">
      <w:pPr>
        <w:keepNext w:val="0"/>
        <w:keepLines w:val="0"/>
        <w:pageBreakBefore w:val="0"/>
        <w:widowControl/>
        <w:numPr>
          <w:ilvl w:val="0"/>
          <w:numId w:val="3"/>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7" w:name="_Toc17863"/>
      <w:bookmarkStart w:id="108" w:name="_Toc3513"/>
      <w:bookmarkStart w:id="109" w:name="_Toc6788"/>
      <w:bookmarkStart w:id="110" w:name="_Toc25353"/>
      <w:bookmarkStart w:id="111" w:name="_Toc20897"/>
      <w:bookmarkStart w:id="112" w:name="_Toc13363"/>
      <w:bookmarkStart w:id="113" w:name="_Toc21435"/>
      <w:bookmarkStart w:id="114" w:name="_Toc14106"/>
      <w:bookmarkStart w:id="115" w:name="_Toc5176"/>
      <w:bookmarkStart w:id="116" w:name="_Toc12500"/>
      <w:bookmarkStart w:id="117" w:name="_Toc29417"/>
      <w:bookmarkStart w:id="118" w:name="_Toc9411"/>
      <w:bookmarkStart w:id="119" w:name="_Toc31082"/>
      <w:bookmarkStart w:id="120" w:name="_Toc28042"/>
      <w:bookmarkStart w:id="121" w:name="_Toc24336"/>
      <w:r>
        <w:rPr>
          <w:rFonts w:hint="eastAsia" w:ascii="楷体_GB2312" w:hAnsi="楷体_GB2312" w:eastAsia="楷体_GB2312" w:cs="楷体_GB2312"/>
          <w:b w:val="0"/>
          <w:bCs w:val="0"/>
          <w:color w:val="auto"/>
          <w:sz w:val="32"/>
          <w:szCs w:val="40"/>
          <w:highlight w:val="none"/>
          <w:lang w:val="en-US" w:eastAsia="zh-CN"/>
        </w:rPr>
        <w:t>提升民族事务治理能力水平</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D059DF0">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lang w:eastAsia="zh-CN"/>
        </w:rPr>
      </w:pPr>
      <w:r>
        <w:rPr>
          <w:rFonts w:hint="eastAsia" w:ascii="Times New Roman" w:hAnsi="Times New Roman" w:eastAsia="仿宋_GB2312" w:cs="方正仿宋_GBK"/>
          <w:b w:val="0"/>
          <w:bCs w:val="0"/>
          <w:color w:val="auto"/>
          <w:sz w:val="32"/>
          <w:szCs w:val="32"/>
          <w:highlight w:val="none"/>
        </w:rPr>
        <w:t>坚持守正创新、与时俱进，依法治理民族事务，不断推动民族事务治理体系和治理能力现代化，用法治保障民族团结，夯实铸牢中华民族共同体意识的法治基础</w:t>
      </w:r>
      <w:r>
        <w:rPr>
          <w:rFonts w:hint="eastAsia" w:eastAsia="仿宋_GB2312" w:cs="方正仿宋_GBK"/>
          <w:b w:val="0"/>
          <w:bCs w:val="0"/>
          <w:color w:val="auto"/>
          <w:sz w:val="32"/>
          <w:szCs w:val="32"/>
          <w:highlight w:val="none"/>
          <w:lang w:eastAsia="zh-CN"/>
        </w:rPr>
        <w:t>。</w:t>
      </w:r>
    </w:p>
    <w:p w14:paraId="1FD96BA7">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122" w:name="_Toc8163"/>
      <w:r>
        <w:rPr>
          <w:rFonts w:hint="eastAsia" w:ascii="Times New Roman" w:hAnsi="Times New Roman" w:eastAsia="仿宋_GB2312" w:cs="方正仿宋_GBK"/>
          <w:b w:val="0"/>
          <w:bCs w:val="0"/>
          <w:color w:val="auto"/>
          <w:sz w:val="32"/>
          <w:szCs w:val="32"/>
          <w:highlight w:val="none"/>
          <w:lang w:val="en-US" w:eastAsia="zh-CN"/>
        </w:rPr>
        <w:t>推动</w:t>
      </w:r>
      <w:r>
        <w:rPr>
          <w:rFonts w:hint="eastAsia" w:ascii="Times New Roman" w:hAnsi="Times New Roman" w:eastAsia="仿宋_GB2312" w:cs="方正仿宋_GBK"/>
          <w:b w:val="0"/>
          <w:bCs w:val="0"/>
          <w:color w:val="auto"/>
          <w:sz w:val="32"/>
          <w:szCs w:val="32"/>
          <w:highlight w:val="none"/>
        </w:rPr>
        <w:t>民族事务</w:t>
      </w:r>
      <w:r>
        <w:rPr>
          <w:rFonts w:hint="eastAsia" w:ascii="Times New Roman" w:hAnsi="Times New Roman" w:eastAsia="仿宋_GB2312" w:cs="方正仿宋_GBK"/>
          <w:b w:val="0"/>
          <w:bCs w:val="0"/>
          <w:color w:val="auto"/>
          <w:sz w:val="32"/>
          <w:szCs w:val="32"/>
          <w:highlight w:val="none"/>
          <w:lang w:val="en-US" w:eastAsia="zh-CN"/>
        </w:rPr>
        <w:t>依法精准治理</w:t>
      </w:r>
      <w:bookmarkEnd w:id="122"/>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坚持和完善民族区域自治制度，不断健全民族工作法规体系，加强民族政策法规执行情况监督检查，依法妥善处理涉及民族因素的案事件，保障各族群众合法权益。加强法治宣传教育</w:t>
      </w:r>
      <w:r>
        <w:rPr>
          <w:rFonts w:hint="eastAsia"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强化</w:t>
      </w:r>
      <w:r>
        <w:rPr>
          <w:rFonts w:hint="eastAsia" w:ascii="Times New Roman" w:hAnsi="Times New Roman" w:eastAsia="仿宋_GB2312" w:cs="方正仿宋_GBK"/>
          <w:b w:val="0"/>
          <w:bCs w:val="0"/>
          <w:color w:val="auto"/>
          <w:sz w:val="32"/>
          <w:szCs w:val="32"/>
          <w:highlight w:val="none"/>
        </w:rPr>
        <w:t>民族领域普法，引导各族群众增强国家意识、公民意识、法治意识。持续推动民族事务治理纳入共建共治共享的社会治理格局，与</w:t>
      </w:r>
      <w:r>
        <w:rPr>
          <w:rFonts w:hint="eastAsia" w:ascii="Times New Roman" w:hAnsi="Times New Roman" w:eastAsia="仿宋_GB2312" w:cs="方正仿宋_GBK"/>
          <w:b w:val="0"/>
          <w:bCs w:val="0"/>
          <w:color w:val="auto"/>
          <w:sz w:val="32"/>
          <w:szCs w:val="32"/>
          <w:highlight w:val="none"/>
          <w:lang w:eastAsia="zh-CN"/>
        </w:rPr>
        <w:t>网格化管理</w:t>
      </w:r>
      <w:r>
        <w:rPr>
          <w:rFonts w:hint="eastAsia" w:ascii="Times New Roman" w:hAnsi="Times New Roman" w:eastAsia="仿宋_GB2312" w:cs="方正仿宋_GBK"/>
          <w:b w:val="0"/>
          <w:bCs w:val="0"/>
          <w:color w:val="auto"/>
          <w:sz w:val="32"/>
          <w:szCs w:val="32"/>
          <w:highlight w:val="none"/>
        </w:rPr>
        <w:t>、“三治融合”紧密结合，</w:t>
      </w:r>
      <w:r>
        <w:rPr>
          <w:rFonts w:hint="eastAsia" w:eastAsia="仿宋_GB2312" w:cs="方正仿宋_GBK"/>
          <w:b w:val="0"/>
          <w:bCs w:val="0"/>
          <w:color w:val="auto"/>
          <w:sz w:val="32"/>
          <w:szCs w:val="32"/>
          <w:highlight w:val="none"/>
          <w:lang w:val="en-US" w:eastAsia="zh-CN"/>
        </w:rPr>
        <w:t>推行</w:t>
      </w:r>
      <w:r>
        <w:rPr>
          <w:rFonts w:hint="eastAsia" w:ascii="Times New Roman" w:hAnsi="Times New Roman" w:eastAsia="仿宋_GB2312" w:cs="方正仿宋_GBK"/>
          <w:b w:val="0"/>
          <w:bCs w:val="0"/>
          <w:color w:val="auto"/>
          <w:sz w:val="32"/>
          <w:szCs w:val="32"/>
          <w:highlight w:val="none"/>
        </w:rPr>
        <w:t>“互联网+社会治理”</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“网格+网络”等</w:t>
      </w:r>
      <w:r>
        <w:rPr>
          <w:rFonts w:hint="eastAsia" w:eastAsia="仿宋_GB2312" w:cs="方正仿宋_GBK"/>
          <w:b w:val="0"/>
          <w:bCs w:val="0"/>
          <w:color w:val="auto"/>
          <w:sz w:val="32"/>
          <w:szCs w:val="32"/>
          <w:highlight w:val="none"/>
          <w:lang w:val="en-US" w:eastAsia="zh-CN"/>
        </w:rPr>
        <w:t>服务管理模式</w:t>
      </w:r>
      <w:r>
        <w:rPr>
          <w:rFonts w:hint="eastAsia" w:ascii="Times New Roman" w:hAnsi="Times New Roman" w:eastAsia="仿宋_GB2312" w:cs="方正仿宋_GBK"/>
          <w:b w:val="0"/>
          <w:bCs w:val="0"/>
          <w:color w:val="auto"/>
          <w:sz w:val="32"/>
          <w:szCs w:val="32"/>
          <w:highlight w:val="none"/>
        </w:rPr>
        <w:t>，打通民族事务基层治理的“最后一公里”。坚决反对和纠正一切形式的民族歧视，坚决打击破坏民族团结和制造民族分裂的违法犯罪行为。充分利用大数据、人工智能等现代技术手段，提升民族事务治理智能化水平，提</w:t>
      </w:r>
      <w:r>
        <w:rPr>
          <w:rFonts w:hint="eastAsia" w:eastAsia="仿宋_GB2312" w:cs="方正仿宋_GBK"/>
          <w:b w:val="0"/>
          <w:bCs w:val="0"/>
          <w:color w:val="auto"/>
          <w:sz w:val="32"/>
          <w:szCs w:val="32"/>
          <w:highlight w:val="none"/>
          <w:lang w:val="en-US" w:eastAsia="zh-CN"/>
        </w:rPr>
        <w:t>高</w:t>
      </w:r>
      <w:r>
        <w:rPr>
          <w:rFonts w:hint="eastAsia" w:ascii="Times New Roman" w:hAnsi="Times New Roman" w:eastAsia="仿宋_GB2312" w:cs="方正仿宋_GBK"/>
          <w:b w:val="0"/>
          <w:bCs w:val="0"/>
          <w:color w:val="auto"/>
          <w:sz w:val="32"/>
          <w:szCs w:val="32"/>
          <w:highlight w:val="none"/>
        </w:rPr>
        <w:t>民族事务治理的精准性和有效性。</w:t>
      </w:r>
    </w:p>
    <w:p w14:paraId="6E03926A">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123" w:name="_Toc20868"/>
      <w:r>
        <w:rPr>
          <w:rFonts w:hint="eastAsia" w:ascii="Times New Roman" w:hAnsi="Times New Roman" w:eastAsia="仿宋_GB2312" w:cs="方正仿宋_GBK"/>
          <w:b w:val="0"/>
          <w:bCs w:val="0"/>
          <w:color w:val="auto"/>
          <w:sz w:val="32"/>
          <w:szCs w:val="32"/>
          <w:highlight w:val="none"/>
        </w:rPr>
        <w:t>依法保障各族群众合法权益</w:t>
      </w:r>
      <w:bookmarkEnd w:id="123"/>
      <w:r>
        <w:rPr>
          <w:rFonts w:hint="eastAsia"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引导各族群众</w:t>
      </w:r>
      <w:r>
        <w:rPr>
          <w:rFonts w:hint="eastAsia" w:ascii="Times New Roman" w:hAnsi="Times New Roman" w:eastAsia="仿宋_GB2312" w:cs="方正仿宋_GBK"/>
          <w:b w:val="0"/>
          <w:bCs w:val="0"/>
          <w:color w:val="auto"/>
          <w:sz w:val="32"/>
          <w:szCs w:val="32"/>
          <w:highlight w:val="none"/>
        </w:rPr>
        <w:t>自觉按法律办事，用法律保障民族团结。建立健全法律法规体系，明确各族群众在政治、经济、文化等各方面的权利，确保各民族在政治参与、经济发展、文化传承等方面平等享有权利、平等履行义务，让各族群众切实感受到公平正义。确保各族儿童在入学机会、教育资源分配等方面享有平等权利。建立健全多元化的纠纷解决机制</w:t>
      </w:r>
      <w:r>
        <w:rPr>
          <w:rFonts w:hint="eastAsia" w:ascii="Times New Roman" w:hAnsi="Times New Roman" w:eastAsia="仿宋_GB2312" w:cs="方正仿宋_GBK"/>
          <w:b w:val="0"/>
          <w:bCs w:val="0"/>
          <w:color w:val="auto"/>
          <w:sz w:val="32"/>
          <w:szCs w:val="32"/>
          <w:highlight w:val="none"/>
          <w:lang w:eastAsia="zh-CN"/>
        </w:rPr>
        <w:t>，健全完善防范化解民族领域风险隐患工作机制，</w:t>
      </w:r>
      <w:r>
        <w:rPr>
          <w:rFonts w:hint="eastAsia" w:ascii="Times New Roman" w:hAnsi="Times New Roman" w:eastAsia="仿宋_GB2312" w:cs="方正仿宋_GBK"/>
          <w:b w:val="0"/>
          <w:bCs w:val="0"/>
          <w:color w:val="auto"/>
          <w:sz w:val="32"/>
          <w:szCs w:val="32"/>
          <w:highlight w:val="none"/>
        </w:rPr>
        <w:t>通过人民调解、行政调解、司法调解等多种方式，有效化解涉及民族因素的矛盾纠纷。优化法律援助流程，让各族群众在法治阳光下共享公平正义。</w:t>
      </w:r>
      <w:r>
        <w:rPr>
          <w:rFonts w:hint="eastAsia" w:eastAsia="仿宋_GB2312" w:cs="方正仿宋_GBK"/>
          <w:b w:val="0"/>
          <w:bCs w:val="0"/>
          <w:color w:val="auto"/>
          <w:sz w:val="32"/>
          <w:szCs w:val="32"/>
          <w:highlight w:val="none"/>
          <w:lang w:val="en-US" w:eastAsia="zh-CN"/>
        </w:rPr>
        <w:t>推动</w:t>
      </w:r>
      <w:r>
        <w:rPr>
          <w:rFonts w:hint="eastAsia" w:ascii="Times New Roman" w:hAnsi="Times New Roman" w:eastAsia="仿宋_GB2312" w:cs="方正仿宋_GBK"/>
          <w:b w:val="0"/>
          <w:bCs w:val="0"/>
          <w:color w:val="auto"/>
          <w:sz w:val="32"/>
          <w:szCs w:val="32"/>
          <w:highlight w:val="none"/>
        </w:rPr>
        <w:t>法律援助资源深入基层，惠及最广大的人民群众。</w:t>
      </w:r>
    </w:p>
    <w:p w14:paraId="35D88D22">
      <w:pPr>
        <w:keepNext w:val="0"/>
        <w:keepLines w:val="0"/>
        <w:pageBreakBefore w:val="0"/>
        <w:widowControl/>
        <w:numPr>
          <w:ilvl w:val="0"/>
          <w:numId w:val="3"/>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rPr>
      </w:pPr>
      <w:bookmarkStart w:id="124" w:name="_Toc22141"/>
      <w:bookmarkStart w:id="125" w:name="_Toc25502"/>
      <w:bookmarkStart w:id="126" w:name="_Toc24792"/>
      <w:bookmarkStart w:id="127" w:name="_Toc16500"/>
      <w:bookmarkStart w:id="128" w:name="_Toc11287"/>
      <w:bookmarkStart w:id="129" w:name="_Toc7096"/>
      <w:bookmarkStart w:id="130" w:name="_Toc9421"/>
      <w:bookmarkStart w:id="131" w:name="_Toc9891"/>
      <w:bookmarkStart w:id="132" w:name="_Toc563"/>
      <w:bookmarkStart w:id="133" w:name="_Toc19624"/>
      <w:bookmarkStart w:id="134" w:name="_Toc28727"/>
      <w:bookmarkStart w:id="135" w:name="_Toc1378"/>
      <w:bookmarkStart w:id="136" w:name="_Toc74"/>
      <w:bookmarkStart w:id="137" w:name="_Toc27714"/>
      <w:bookmarkStart w:id="138" w:name="_Toc84"/>
      <w:r>
        <w:rPr>
          <w:rFonts w:hint="eastAsia" w:ascii="楷体_GB2312" w:hAnsi="楷体_GB2312" w:eastAsia="楷体_GB2312" w:cs="楷体_GB2312"/>
          <w:b w:val="0"/>
          <w:bCs w:val="0"/>
          <w:color w:val="auto"/>
          <w:sz w:val="32"/>
          <w:szCs w:val="40"/>
          <w:highlight w:val="none"/>
        </w:rPr>
        <w:t>汇聚同心共筑中国梦强大合力</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60175E70">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坚定不移走中国特色社会主义政治发展道路，</w:t>
      </w:r>
      <w:r>
        <w:rPr>
          <w:rFonts w:hint="eastAsia" w:eastAsia="仿宋_GB2312" w:cs="方正仿宋_GBK"/>
          <w:b w:val="0"/>
          <w:bCs w:val="0"/>
          <w:color w:val="auto"/>
          <w:sz w:val="32"/>
          <w:szCs w:val="32"/>
          <w:highlight w:val="none"/>
          <w:lang w:eastAsia="zh-CN"/>
        </w:rPr>
        <w:t>坚持党的领导、人民当家作主、依法治国有机统一</w:t>
      </w:r>
      <w:r>
        <w:rPr>
          <w:rFonts w:hint="eastAsia" w:ascii="Times New Roman" w:hAnsi="Times New Roman" w:eastAsia="仿宋_GB2312" w:cs="方正仿宋_GBK"/>
          <w:b w:val="0"/>
          <w:bCs w:val="0"/>
          <w:color w:val="auto"/>
          <w:sz w:val="32"/>
          <w:szCs w:val="32"/>
          <w:highlight w:val="none"/>
        </w:rPr>
        <w:t>，着眼强化</w:t>
      </w:r>
      <w:r>
        <w:rPr>
          <w:rFonts w:hint="eastAsia" w:eastAsia="仿宋_GB2312" w:cs="方正仿宋_GBK"/>
          <w:b w:val="0"/>
          <w:bCs w:val="0"/>
          <w:color w:val="auto"/>
          <w:sz w:val="32"/>
          <w:szCs w:val="32"/>
          <w:highlight w:val="none"/>
          <w:lang w:val="en-US" w:eastAsia="zh-CN"/>
        </w:rPr>
        <w:t>共</w:t>
      </w:r>
      <w:r>
        <w:rPr>
          <w:rFonts w:hint="eastAsia" w:ascii="Times New Roman" w:hAnsi="Times New Roman" w:eastAsia="仿宋_GB2312" w:cs="方正仿宋_GBK"/>
          <w:b w:val="0"/>
          <w:bCs w:val="0"/>
          <w:color w:val="auto"/>
          <w:sz w:val="32"/>
          <w:szCs w:val="32"/>
          <w:highlight w:val="none"/>
        </w:rPr>
        <w:t>同性、增强向心力、提高凝聚力，巩固发展共同团结</w:t>
      </w:r>
      <w:r>
        <w:rPr>
          <w:rFonts w:hint="eastAsia" w:eastAsia="仿宋_GB2312" w:cs="方正仿宋_GBK"/>
          <w:b w:val="0"/>
          <w:bCs w:val="0"/>
          <w:color w:val="auto"/>
          <w:sz w:val="32"/>
          <w:szCs w:val="32"/>
          <w:highlight w:val="none"/>
          <w:lang w:val="en-US" w:eastAsia="zh-CN"/>
        </w:rPr>
        <w:t>奋斗</w:t>
      </w:r>
      <w:r>
        <w:rPr>
          <w:rFonts w:hint="eastAsia" w:ascii="Times New Roman" w:hAnsi="Times New Roman" w:eastAsia="仿宋_GB2312" w:cs="方正仿宋_GBK"/>
          <w:b w:val="0"/>
          <w:bCs w:val="0"/>
          <w:color w:val="auto"/>
          <w:sz w:val="32"/>
          <w:szCs w:val="32"/>
          <w:highlight w:val="none"/>
        </w:rPr>
        <w:t>的良好局面。</w:t>
      </w:r>
    </w:p>
    <w:p w14:paraId="71ECADBC">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bookmarkStart w:id="139" w:name="_Toc32756"/>
      <w:r>
        <w:rPr>
          <w:rFonts w:hint="eastAsia" w:ascii="Times New Roman" w:hAnsi="Times New Roman" w:eastAsia="仿宋_GB2312" w:cs="方正仿宋_GBK"/>
          <w:b w:val="0"/>
          <w:bCs w:val="0"/>
          <w:color w:val="auto"/>
          <w:sz w:val="32"/>
          <w:szCs w:val="32"/>
          <w:highlight w:val="none"/>
        </w:rPr>
        <w:t>发展全过程人民民主</w:t>
      </w:r>
      <w:bookmarkEnd w:id="139"/>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坚持好、完善好、运行好人民代表大会制度，拓宽人大代表同人民群众联系渠道，支持和保证人大及其常委会依法行使职权。加强和改进新时代人民政协工作，强化人民政协专门协商机构建设，推动各类协商渠道协同配合，提高建言资政和凝聚共识水平。</w:t>
      </w:r>
      <w:r>
        <w:rPr>
          <w:rFonts w:hint="eastAsia" w:eastAsia="仿宋_GB2312" w:cs="方正仿宋_GBK"/>
          <w:b w:val="0"/>
          <w:bCs w:val="0"/>
          <w:color w:val="auto"/>
          <w:sz w:val="32"/>
          <w:szCs w:val="32"/>
          <w:highlight w:val="none"/>
          <w:lang w:val="en-US" w:eastAsia="zh-CN"/>
        </w:rPr>
        <w:t>优化吸纳民意、汇集民智工作机制。</w:t>
      </w:r>
      <w:r>
        <w:rPr>
          <w:rFonts w:hint="eastAsia" w:ascii="Times New Roman" w:hAnsi="Times New Roman" w:eastAsia="仿宋_GB2312" w:cs="方正仿宋_GBK"/>
          <w:b w:val="0"/>
          <w:bCs w:val="0"/>
          <w:color w:val="auto"/>
          <w:sz w:val="32"/>
          <w:szCs w:val="32"/>
          <w:highlight w:val="none"/>
          <w:lang w:val="en-US" w:eastAsia="zh-CN"/>
        </w:rPr>
        <w:t>充分发挥“两代表一委员”作用，更好发挥工会、共青团、妇联等群团组织作用。加强民主监督工作</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完善大统战工作格局，发挥民主党派、工商联和无党派人士作用，做好新时代宗教、侨务、港澳台和海外统战工作。</w:t>
      </w:r>
    </w:p>
    <w:p w14:paraId="759CCF77">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bookmarkStart w:id="140" w:name="_Toc15466"/>
      <w:r>
        <w:rPr>
          <w:rFonts w:hint="eastAsia" w:ascii="Times New Roman" w:hAnsi="Times New Roman" w:eastAsia="仿宋_GB2312" w:cs="方正仿宋_GBK"/>
          <w:b w:val="0"/>
          <w:bCs w:val="0"/>
          <w:color w:val="auto"/>
          <w:sz w:val="32"/>
          <w:szCs w:val="32"/>
          <w:highlight w:val="none"/>
        </w:rPr>
        <w:t>加强法治</w:t>
      </w:r>
      <w:r>
        <w:rPr>
          <w:rFonts w:hint="eastAsia" w:ascii="Times New Roman" w:hAnsi="Times New Roman" w:eastAsia="仿宋_GB2312" w:cs="方正仿宋_GBK"/>
          <w:b w:val="0"/>
          <w:bCs w:val="0"/>
          <w:color w:val="auto"/>
          <w:sz w:val="32"/>
          <w:szCs w:val="32"/>
          <w:highlight w:val="none"/>
          <w:lang w:val="en-US" w:eastAsia="zh-CN"/>
        </w:rPr>
        <w:t>赤峰</w:t>
      </w:r>
      <w:r>
        <w:rPr>
          <w:rFonts w:hint="eastAsia" w:ascii="Times New Roman" w:hAnsi="Times New Roman" w:eastAsia="仿宋_GB2312" w:cs="方正仿宋_GBK"/>
          <w:b w:val="0"/>
          <w:bCs w:val="0"/>
          <w:color w:val="auto"/>
          <w:sz w:val="32"/>
          <w:szCs w:val="32"/>
          <w:highlight w:val="none"/>
        </w:rPr>
        <w:t>建设</w:t>
      </w:r>
      <w:bookmarkEnd w:id="140"/>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始终把党的领导落实到法治</w:t>
      </w:r>
      <w:r>
        <w:rPr>
          <w:rFonts w:hint="eastAsia" w:eastAsia="仿宋_GB2312" w:cs="方正仿宋_GBK"/>
          <w:b w:val="0"/>
          <w:bCs w:val="0"/>
          <w:color w:val="auto"/>
          <w:sz w:val="32"/>
          <w:szCs w:val="32"/>
          <w:highlight w:val="none"/>
          <w:lang w:val="en-US" w:eastAsia="zh-CN"/>
        </w:rPr>
        <w:t>赤峰</w:t>
      </w:r>
      <w:r>
        <w:rPr>
          <w:rFonts w:hint="eastAsia" w:ascii="Times New Roman" w:hAnsi="Times New Roman" w:eastAsia="仿宋_GB2312" w:cs="方正仿宋_GBK"/>
          <w:b w:val="0"/>
          <w:bCs w:val="0"/>
          <w:color w:val="auto"/>
          <w:sz w:val="32"/>
          <w:szCs w:val="32"/>
          <w:highlight w:val="none"/>
        </w:rPr>
        <w:t>建设全过程</w:t>
      </w:r>
      <w:r>
        <w:rPr>
          <w:rFonts w:hint="eastAsia" w:eastAsia="仿宋_GB2312" w:cs="方正仿宋_GBK"/>
          <w:b w:val="0"/>
          <w:bCs w:val="0"/>
          <w:color w:val="auto"/>
          <w:sz w:val="32"/>
          <w:szCs w:val="32"/>
          <w:highlight w:val="none"/>
          <w:lang w:val="en-US" w:eastAsia="zh-CN"/>
        </w:rPr>
        <w:t>各方</w:t>
      </w:r>
      <w:r>
        <w:rPr>
          <w:rFonts w:hint="eastAsia" w:ascii="Times New Roman" w:hAnsi="Times New Roman" w:eastAsia="仿宋_GB2312" w:cs="方正仿宋_GBK"/>
          <w:b w:val="0"/>
          <w:bCs w:val="0"/>
          <w:color w:val="auto"/>
          <w:sz w:val="32"/>
          <w:szCs w:val="32"/>
          <w:highlight w:val="none"/>
        </w:rPr>
        <w:t>面，持续深化习近平法治思想学习宣传</w:t>
      </w:r>
      <w:r>
        <w:rPr>
          <w:rFonts w:hint="eastAsia" w:eastAsia="仿宋_GB2312" w:cs="方正仿宋_GBK"/>
          <w:b w:val="0"/>
          <w:bCs w:val="0"/>
          <w:color w:val="auto"/>
          <w:sz w:val="32"/>
          <w:szCs w:val="32"/>
          <w:highlight w:val="none"/>
          <w:lang w:val="en-US" w:eastAsia="zh-CN"/>
        </w:rPr>
        <w:t>和</w:t>
      </w:r>
      <w:r>
        <w:rPr>
          <w:rFonts w:hint="eastAsia" w:ascii="Times New Roman" w:hAnsi="Times New Roman" w:eastAsia="仿宋_GB2312" w:cs="方正仿宋_GBK"/>
          <w:b w:val="0"/>
          <w:bCs w:val="0"/>
          <w:color w:val="auto"/>
          <w:sz w:val="32"/>
          <w:szCs w:val="32"/>
          <w:highlight w:val="none"/>
        </w:rPr>
        <w:t>贯彻落实，</w:t>
      </w:r>
      <w:r>
        <w:rPr>
          <w:rFonts w:hint="eastAsia" w:eastAsia="仿宋_GB2312" w:cs="方正仿宋_GBK"/>
          <w:b w:val="0"/>
          <w:bCs w:val="0"/>
          <w:color w:val="auto"/>
          <w:sz w:val="32"/>
          <w:szCs w:val="32"/>
          <w:highlight w:val="none"/>
          <w:lang w:val="en-US" w:eastAsia="zh-CN"/>
        </w:rPr>
        <w:t>统筹</w:t>
      </w:r>
      <w:r>
        <w:rPr>
          <w:rFonts w:hint="eastAsia" w:ascii="Times New Roman" w:hAnsi="Times New Roman" w:eastAsia="仿宋_GB2312" w:cs="方正仿宋_GBK"/>
          <w:b w:val="0"/>
          <w:bCs w:val="0"/>
          <w:color w:val="auto"/>
          <w:sz w:val="32"/>
          <w:szCs w:val="32"/>
          <w:highlight w:val="none"/>
        </w:rPr>
        <w:t>科学立法、严格执法、公正司法、全民守法，推进全面依法治</w:t>
      </w:r>
      <w:r>
        <w:rPr>
          <w:rFonts w:hint="eastAsia" w:eastAsia="仿宋_GB2312" w:cs="方正仿宋_GBK"/>
          <w:b w:val="0"/>
          <w:bCs w:val="0"/>
          <w:color w:val="auto"/>
          <w:sz w:val="32"/>
          <w:szCs w:val="32"/>
          <w:highlight w:val="none"/>
          <w:lang w:val="en-US" w:eastAsia="zh-CN"/>
        </w:rPr>
        <w:t>市</w:t>
      </w:r>
      <w:r>
        <w:rPr>
          <w:rFonts w:hint="eastAsia" w:ascii="Times New Roman" w:hAnsi="Times New Roman" w:eastAsia="仿宋_GB2312" w:cs="方正仿宋_GBK"/>
          <w:b w:val="0"/>
          <w:bCs w:val="0"/>
          <w:color w:val="auto"/>
          <w:sz w:val="32"/>
          <w:szCs w:val="32"/>
          <w:highlight w:val="none"/>
        </w:rPr>
        <w:t>工作。</w:t>
      </w:r>
      <w:r>
        <w:rPr>
          <w:rFonts w:hint="eastAsia" w:eastAsia="仿宋_GB2312" w:cs="方正仿宋_GBK"/>
          <w:b w:val="0"/>
          <w:bCs w:val="0"/>
          <w:color w:val="auto"/>
          <w:sz w:val="32"/>
          <w:szCs w:val="32"/>
          <w:highlight w:val="none"/>
          <w:lang w:val="en-US" w:eastAsia="zh-CN"/>
        </w:rPr>
        <w:t>坚决维护宪</w:t>
      </w:r>
      <w:r>
        <w:rPr>
          <w:rFonts w:hint="eastAsia" w:ascii="Times New Roman" w:hAnsi="Times New Roman" w:eastAsia="仿宋_GB2312" w:cs="方正仿宋_GBK"/>
          <w:b w:val="0"/>
          <w:bCs w:val="0"/>
          <w:color w:val="auto"/>
          <w:sz w:val="32"/>
          <w:szCs w:val="32"/>
          <w:highlight w:val="none"/>
        </w:rPr>
        <w:t>法权威，坚持依宪执政、依法执政，保障宪法有效实施</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深化立法领域改革，推进重点领域、新兴</w:t>
      </w:r>
      <w:r>
        <w:rPr>
          <w:rFonts w:hint="eastAsia" w:eastAsia="仿宋_GB2312" w:cs="方正仿宋_GBK"/>
          <w:b w:val="0"/>
          <w:bCs w:val="0"/>
          <w:color w:val="auto"/>
          <w:sz w:val="32"/>
          <w:szCs w:val="32"/>
          <w:highlight w:val="none"/>
          <w:lang w:val="en-US" w:eastAsia="zh-CN"/>
        </w:rPr>
        <w:t>领</w:t>
      </w:r>
      <w:r>
        <w:rPr>
          <w:rFonts w:hint="eastAsia" w:ascii="Times New Roman" w:hAnsi="Times New Roman" w:eastAsia="仿宋_GB2312" w:cs="方正仿宋_GBK"/>
          <w:b w:val="0"/>
          <w:bCs w:val="0"/>
          <w:color w:val="auto"/>
          <w:sz w:val="32"/>
          <w:szCs w:val="32"/>
          <w:highlight w:val="none"/>
        </w:rPr>
        <w:t>域、急需领域立法。深化法治政府建设，健全行政</w:t>
      </w:r>
      <w:r>
        <w:rPr>
          <w:rFonts w:hint="eastAsia" w:eastAsia="仿宋_GB2312" w:cs="方正仿宋_GBK"/>
          <w:b w:val="0"/>
          <w:bCs w:val="0"/>
          <w:color w:val="auto"/>
          <w:sz w:val="32"/>
          <w:szCs w:val="32"/>
          <w:highlight w:val="none"/>
          <w:lang w:val="en-US" w:eastAsia="zh-CN"/>
        </w:rPr>
        <w:t>执法协</w:t>
      </w:r>
      <w:r>
        <w:rPr>
          <w:rFonts w:hint="eastAsia" w:ascii="Times New Roman" w:hAnsi="Times New Roman" w:eastAsia="仿宋_GB2312" w:cs="方正仿宋_GBK"/>
          <w:b w:val="0"/>
          <w:bCs w:val="0"/>
          <w:color w:val="auto"/>
          <w:sz w:val="32"/>
          <w:szCs w:val="32"/>
          <w:highlight w:val="none"/>
        </w:rPr>
        <w:t>调监督工作体制机制，推进严格规范公正文明</w:t>
      </w:r>
      <w:r>
        <w:rPr>
          <w:rFonts w:hint="eastAsia" w:eastAsia="仿宋_GB2312" w:cs="方正仿宋_GBK"/>
          <w:b w:val="0"/>
          <w:bCs w:val="0"/>
          <w:color w:val="auto"/>
          <w:sz w:val="32"/>
          <w:szCs w:val="32"/>
          <w:highlight w:val="none"/>
          <w:lang w:val="en-US" w:eastAsia="zh-CN"/>
        </w:rPr>
        <w:t>执法。</w:t>
      </w:r>
      <w:r>
        <w:rPr>
          <w:rFonts w:hint="eastAsia" w:ascii="Times New Roman" w:hAnsi="Times New Roman" w:eastAsia="仿宋_GB2312" w:cs="方正仿宋_GBK"/>
          <w:b w:val="0"/>
          <w:bCs w:val="0"/>
          <w:color w:val="auto"/>
          <w:sz w:val="32"/>
          <w:szCs w:val="32"/>
          <w:highlight w:val="none"/>
        </w:rPr>
        <w:t>完善实质性化解行政争议机制，发挥行政复议</w:t>
      </w:r>
      <w:r>
        <w:rPr>
          <w:rFonts w:hint="eastAsia" w:eastAsia="仿宋_GB2312" w:cs="方正仿宋_GBK"/>
          <w:b w:val="0"/>
          <w:bCs w:val="0"/>
          <w:color w:val="auto"/>
          <w:sz w:val="32"/>
          <w:szCs w:val="32"/>
          <w:highlight w:val="none"/>
          <w:lang w:val="en-US" w:eastAsia="zh-CN"/>
        </w:rPr>
        <w:t>主渠道作</w:t>
      </w:r>
      <w:r>
        <w:rPr>
          <w:rFonts w:hint="eastAsia" w:ascii="Times New Roman" w:hAnsi="Times New Roman" w:eastAsia="仿宋_GB2312" w:cs="方正仿宋_GBK"/>
          <w:b w:val="0"/>
          <w:bCs w:val="0"/>
          <w:color w:val="auto"/>
          <w:sz w:val="32"/>
          <w:szCs w:val="32"/>
          <w:highlight w:val="none"/>
        </w:rPr>
        <w:t>用。加强执法司法制约监督，聚焦重点领域开展执法</w:t>
      </w:r>
      <w:r>
        <w:rPr>
          <w:rFonts w:hint="eastAsia" w:eastAsia="仿宋_GB2312" w:cs="方正仿宋_GBK"/>
          <w:b w:val="0"/>
          <w:bCs w:val="0"/>
          <w:color w:val="auto"/>
          <w:sz w:val="32"/>
          <w:szCs w:val="32"/>
          <w:highlight w:val="none"/>
          <w:lang w:val="en-US" w:eastAsia="zh-CN"/>
        </w:rPr>
        <w:t>司法</w:t>
      </w:r>
      <w:r>
        <w:rPr>
          <w:rFonts w:hint="eastAsia" w:ascii="Times New Roman" w:hAnsi="Times New Roman" w:eastAsia="仿宋_GB2312" w:cs="方正仿宋_GBK"/>
          <w:b w:val="0"/>
          <w:bCs w:val="0"/>
          <w:color w:val="auto"/>
          <w:sz w:val="32"/>
          <w:szCs w:val="32"/>
          <w:highlight w:val="none"/>
        </w:rPr>
        <w:t>规范化专项行动。加快推进公共法律服务事业，深化“</w:t>
      </w:r>
      <w:r>
        <w:rPr>
          <w:rFonts w:hint="eastAsia" w:eastAsia="仿宋_GB2312" w:cs="方正仿宋_GBK"/>
          <w:b w:val="0"/>
          <w:bCs w:val="0"/>
          <w:color w:val="auto"/>
          <w:sz w:val="32"/>
          <w:szCs w:val="32"/>
          <w:highlight w:val="none"/>
          <w:lang w:val="en-US" w:eastAsia="zh-CN"/>
        </w:rPr>
        <w:t>半小时公共</w:t>
      </w:r>
      <w:r>
        <w:rPr>
          <w:rFonts w:hint="eastAsia" w:ascii="Times New Roman" w:hAnsi="Times New Roman" w:eastAsia="仿宋_GB2312" w:cs="方正仿宋_GBK"/>
          <w:b w:val="0"/>
          <w:bCs w:val="0"/>
          <w:color w:val="auto"/>
          <w:sz w:val="32"/>
          <w:szCs w:val="32"/>
          <w:highlight w:val="none"/>
        </w:rPr>
        <w:t>法律服务圈”建设，提升公共法律服务专业化水平和服务效能。扎实</w:t>
      </w:r>
      <w:r>
        <w:rPr>
          <w:rFonts w:hint="eastAsia" w:eastAsia="仿宋_GB2312" w:cs="方正仿宋_GBK"/>
          <w:b w:val="0"/>
          <w:bCs w:val="0"/>
          <w:color w:val="auto"/>
          <w:sz w:val="32"/>
          <w:szCs w:val="32"/>
          <w:highlight w:val="none"/>
          <w:lang w:val="en-US" w:eastAsia="zh-CN"/>
        </w:rPr>
        <w:t>推</w:t>
      </w:r>
      <w:r>
        <w:rPr>
          <w:rFonts w:hint="eastAsia" w:ascii="Times New Roman" w:hAnsi="Times New Roman" w:eastAsia="仿宋_GB2312" w:cs="方正仿宋_GBK"/>
          <w:b w:val="0"/>
          <w:bCs w:val="0"/>
          <w:color w:val="auto"/>
          <w:sz w:val="32"/>
          <w:szCs w:val="32"/>
          <w:highlight w:val="none"/>
        </w:rPr>
        <w:t>进法治社会建设，改进法治宣传教育，实施“九五”</w:t>
      </w:r>
      <w:r>
        <w:rPr>
          <w:rFonts w:hint="eastAsia" w:eastAsia="仿宋_GB2312" w:cs="方正仿宋_GBK"/>
          <w:b w:val="0"/>
          <w:bCs w:val="0"/>
          <w:color w:val="auto"/>
          <w:sz w:val="32"/>
          <w:szCs w:val="32"/>
          <w:highlight w:val="none"/>
          <w:lang w:val="en-US" w:eastAsia="zh-CN"/>
        </w:rPr>
        <w:t>普法</w:t>
      </w:r>
      <w:r>
        <w:rPr>
          <w:rFonts w:hint="eastAsia" w:ascii="Times New Roman" w:hAnsi="Times New Roman" w:eastAsia="仿宋_GB2312" w:cs="方正仿宋_GBK"/>
          <w:b w:val="0"/>
          <w:bCs w:val="0"/>
          <w:color w:val="auto"/>
          <w:sz w:val="32"/>
          <w:szCs w:val="32"/>
          <w:highlight w:val="none"/>
        </w:rPr>
        <w:t>规划，推广“法治乌兰牧骑”金色普法品牌。</w:t>
      </w:r>
    </w:p>
    <w:p w14:paraId="58D15266">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141" w:name="_Toc8834"/>
      <w:bookmarkStart w:id="142" w:name="_Toc21371"/>
      <w:bookmarkStart w:id="143" w:name="_Toc9264"/>
      <w:bookmarkStart w:id="144" w:name="_Toc28331"/>
      <w:bookmarkStart w:id="145" w:name="_Toc18077"/>
      <w:bookmarkStart w:id="146" w:name="_Toc20337"/>
      <w:bookmarkStart w:id="147" w:name="_Toc13709"/>
      <w:bookmarkStart w:id="148" w:name="_Toc30325"/>
      <w:bookmarkStart w:id="149" w:name="_Toc2768"/>
      <w:bookmarkStart w:id="150" w:name="_Toc15343"/>
      <w:bookmarkStart w:id="151" w:name="_Toc29837"/>
      <w:bookmarkStart w:id="152" w:name="_Toc18227"/>
      <w:bookmarkStart w:id="153" w:name="_Toc5109"/>
      <w:bookmarkStart w:id="154" w:name="_Toc15606"/>
      <w:bookmarkStart w:id="155" w:name="_Toc5144"/>
      <w:r>
        <w:rPr>
          <w:rFonts w:hint="eastAsia" w:ascii="黑体" w:hAnsi="黑体" w:eastAsia="黑体" w:cs="黑体"/>
          <w:b w:val="0"/>
          <w:bCs w:val="0"/>
          <w:sz w:val="32"/>
          <w:szCs w:val="32"/>
          <w:highlight w:val="none"/>
          <w:lang w:val="en-US" w:eastAsia="zh-CN"/>
        </w:rPr>
        <w:t>筑牢生态安全屏障，</w:t>
      </w:r>
      <w:bookmarkEnd w:id="64"/>
      <w:bookmarkEnd w:id="65"/>
      <w:bookmarkEnd w:id="66"/>
      <w:bookmarkEnd w:id="67"/>
      <w:bookmarkEnd w:id="68"/>
      <w:bookmarkEnd w:id="69"/>
      <w:bookmarkEnd w:id="70"/>
      <w:bookmarkEnd w:id="71"/>
      <w:bookmarkEnd w:id="141"/>
      <w:r>
        <w:rPr>
          <w:rFonts w:hint="eastAsia" w:ascii="黑体" w:hAnsi="黑体" w:eastAsia="黑体" w:cs="黑体"/>
          <w:b w:val="0"/>
          <w:bCs w:val="0"/>
          <w:sz w:val="32"/>
          <w:szCs w:val="32"/>
          <w:highlight w:val="none"/>
          <w:lang w:val="en-US" w:eastAsia="zh-CN"/>
        </w:rPr>
        <w:t>实现人与自然和谐共生</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4A7491D1">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val="en-US" w:eastAsia="zh-CN"/>
        </w:rPr>
      </w:pPr>
      <w:r>
        <w:rPr>
          <w:rFonts w:hint="eastAsia" w:ascii="Times New Roman" w:hAnsi="Times New Roman" w:eastAsia="仿宋_GB2312" w:cs="方正仿宋_GBK"/>
          <w:b w:val="0"/>
          <w:bCs w:val="0"/>
          <w:szCs w:val="36"/>
          <w:highlight w:val="none"/>
          <w:lang w:eastAsia="zh-CN"/>
        </w:rPr>
        <w:t>深入践行习近平生态文明思想，</w:t>
      </w:r>
      <w:r>
        <w:rPr>
          <w:rFonts w:hint="eastAsia" w:ascii="Times New Roman" w:hAnsi="Times New Roman" w:eastAsia="仿宋_GB2312" w:cs="方正仿宋_GBK"/>
          <w:b w:val="0"/>
          <w:bCs w:val="0"/>
          <w:szCs w:val="36"/>
          <w:highlight w:val="none"/>
          <w:lang w:val="en-US" w:eastAsia="zh-CN"/>
        </w:rPr>
        <w:t>牢固树立和践行绿水青山就是金山银山理念，坚持山水林田湖草沙一体化保护和系统治理，协同推进降碳、减污、扩绿、增长，加快经济社会发展全面绿色转型，</w:t>
      </w:r>
      <w:r>
        <w:rPr>
          <w:rFonts w:hint="eastAsia" w:ascii="Times New Roman" w:hAnsi="Times New Roman" w:eastAsia="仿宋_GB2312" w:cs="方正仿宋_GBK"/>
          <w:b w:val="0"/>
          <w:bCs w:val="0"/>
          <w:color w:val="auto"/>
          <w:szCs w:val="36"/>
          <w:highlight w:val="none"/>
          <w:lang w:val="en-US" w:eastAsia="zh-CN"/>
        </w:rPr>
        <w:t>确保到2030年前如期实现碳达峰目标，</w:t>
      </w:r>
      <w:r>
        <w:rPr>
          <w:rFonts w:hint="eastAsia" w:ascii="Times New Roman" w:hAnsi="Times New Roman" w:eastAsia="仿宋_GB2312" w:cs="方正仿宋_GBK"/>
          <w:b w:val="0"/>
          <w:bCs w:val="0"/>
          <w:szCs w:val="36"/>
          <w:highlight w:val="none"/>
          <w:lang w:val="en-US" w:eastAsia="zh-CN"/>
        </w:rPr>
        <w:t>为筑牢我国北方重要生态安全屏障作出更大贡献。</w:t>
      </w:r>
    </w:p>
    <w:p w14:paraId="5E55A12F">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56" w:name="_Toc864"/>
      <w:bookmarkStart w:id="157" w:name="_Toc31735"/>
      <w:bookmarkStart w:id="158" w:name="_Toc13333"/>
      <w:bookmarkStart w:id="159" w:name="_Toc14984"/>
      <w:bookmarkStart w:id="160" w:name="_Toc22493"/>
      <w:bookmarkStart w:id="161" w:name="_Toc23652"/>
      <w:bookmarkStart w:id="162" w:name="_Toc3988"/>
      <w:bookmarkStart w:id="163" w:name="_Toc22504"/>
      <w:bookmarkStart w:id="164" w:name="_Toc23474"/>
      <w:bookmarkStart w:id="165" w:name="_Toc1318"/>
      <w:bookmarkStart w:id="166" w:name="_Toc3052"/>
      <w:bookmarkStart w:id="167" w:name="_Toc21458"/>
      <w:bookmarkStart w:id="168" w:name="_Toc7901"/>
      <w:bookmarkStart w:id="169" w:name="_Toc25008"/>
      <w:bookmarkStart w:id="170" w:name="_Toc1699"/>
      <w:bookmarkStart w:id="171" w:name="_Toc30849"/>
      <w:bookmarkStart w:id="172" w:name="_Toc3475"/>
      <w:bookmarkStart w:id="173" w:name="_Toc21112"/>
      <w:bookmarkStart w:id="174" w:name="_Toc9155"/>
      <w:bookmarkStart w:id="175" w:name="_Toc8392"/>
      <w:bookmarkStart w:id="176" w:name="_Toc30174"/>
      <w:bookmarkStart w:id="177" w:name="_Toc22505"/>
      <w:bookmarkStart w:id="178" w:name="_Toc22187"/>
      <w:r>
        <w:rPr>
          <w:rFonts w:hint="eastAsia" w:ascii="楷体_GB2312" w:hAnsi="楷体_GB2312" w:eastAsia="楷体_GB2312" w:cs="楷体_GB2312"/>
          <w:b w:val="0"/>
          <w:bCs w:val="0"/>
          <w:color w:val="auto"/>
          <w:sz w:val="32"/>
          <w:szCs w:val="40"/>
          <w:highlight w:val="none"/>
          <w:lang w:val="en-US" w:eastAsia="zh-CN"/>
        </w:rPr>
        <w:t>坚决打赢两大沙地歼灭战</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1740F224">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eastAsia="zh-CN"/>
        </w:rPr>
      </w:pPr>
      <w:bookmarkStart w:id="179" w:name="_Hlk208364206"/>
      <w:r>
        <w:rPr>
          <w:rFonts w:hint="eastAsia" w:ascii="Times New Roman" w:hAnsi="Times New Roman" w:eastAsia="仿宋_GB2312" w:cs="方正仿宋_GBK"/>
          <w:b w:val="0"/>
          <w:bCs w:val="0"/>
          <w:szCs w:val="36"/>
          <w:highlight w:val="none"/>
          <w:lang w:val="en-US" w:eastAsia="zh-CN"/>
        </w:rPr>
        <w:t>坚持</w:t>
      </w:r>
      <w:r>
        <w:rPr>
          <w:rFonts w:hint="eastAsia" w:ascii="Times New Roman" w:hAnsi="Times New Roman" w:eastAsia="仿宋_GB2312" w:cs="方正仿宋_GBK"/>
          <w:b w:val="0"/>
          <w:bCs w:val="0"/>
          <w:szCs w:val="36"/>
          <w:highlight w:val="none"/>
          <w:lang w:eastAsia="zh-CN"/>
        </w:rPr>
        <w:t>“保护优先、重点修复、适度利用”总体思路，紧紧抓住“三北”工程六期实施窗口期，集中力量打好</w:t>
      </w:r>
      <w:r>
        <w:rPr>
          <w:rFonts w:hint="eastAsia" w:ascii="Times New Roman" w:hAnsi="Times New Roman" w:eastAsia="仿宋_GB2312" w:cs="方正仿宋_GBK"/>
          <w:b w:val="0"/>
          <w:bCs w:val="0"/>
          <w:szCs w:val="36"/>
          <w:highlight w:val="none"/>
          <w:lang w:val="en-US" w:eastAsia="zh-CN"/>
        </w:rPr>
        <w:t>打赢</w:t>
      </w:r>
      <w:r>
        <w:rPr>
          <w:rFonts w:hint="eastAsia" w:ascii="Times New Roman" w:hAnsi="Times New Roman" w:eastAsia="仿宋_GB2312" w:cs="方正仿宋_GBK"/>
          <w:b w:val="0"/>
          <w:bCs w:val="0"/>
          <w:szCs w:val="36"/>
          <w:highlight w:val="none"/>
          <w:lang w:eastAsia="zh-CN"/>
        </w:rPr>
        <w:t>科尔沁沙地和浑善达克沙地歼灭战，</w:t>
      </w:r>
      <w:r>
        <w:rPr>
          <w:rFonts w:hint="eastAsia" w:ascii="Times New Roman" w:hAnsi="Times New Roman" w:eastAsia="仿宋_GB2312" w:cs="方正仿宋_GBK"/>
          <w:b w:val="0"/>
          <w:bCs w:val="0"/>
          <w:szCs w:val="36"/>
          <w:highlight w:val="none"/>
          <w:lang w:val="en-US" w:eastAsia="zh-CN"/>
        </w:rPr>
        <w:t>到2030年，</w:t>
      </w:r>
      <w:r>
        <w:rPr>
          <w:rFonts w:hint="eastAsia" w:ascii="Times New Roman" w:hAnsi="Times New Roman" w:eastAsia="仿宋_GB2312" w:cs="方正仿宋_GBK"/>
          <w:b w:val="0"/>
          <w:bCs w:val="0"/>
          <w:szCs w:val="36"/>
          <w:highlight w:val="none"/>
          <w:lang w:eastAsia="zh-CN"/>
        </w:rPr>
        <w:t>沙化土地得到有效治理，全国防沙治沙综合示范区建设取得重大成果。</w:t>
      </w:r>
    </w:p>
    <w:p w14:paraId="588BB44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180" w:name="_Toc14979"/>
      <w:r>
        <w:rPr>
          <w:rFonts w:hint="eastAsia" w:ascii="Times New Roman" w:hAnsi="Times New Roman" w:eastAsia="仿宋_GB2312" w:cs="方正仿宋_GBK"/>
          <w:b w:val="0"/>
          <w:bCs w:val="0"/>
          <w:color w:val="auto"/>
          <w:sz w:val="32"/>
          <w:szCs w:val="32"/>
          <w:highlight w:val="none"/>
        </w:rPr>
        <w:t>科学推进防沙治沙</w:t>
      </w:r>
      <w:bookmarkEnd w:id="179"/>
      <w:bookmarkEnd w:id="180"/>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szCs w:val="36"/>
          <w:highlight w:val="none"/>
          <w:lang w:val="en-US" w:eastAsia="zh-CN"/>
        </w:rPr>
        <w:t>坚持</w:t>
      </w:r>
      <w:r>
        <w:rPr>
          <w:rFonts w:hint="eastAsia" w:ascii="Times New Roman" w:hAnsi="Times New Roman" w:eastAsia="仿宋_GB2312" w:cs="方正仿宋_GBK"/>
          <w:b w:val="0"/>
          <w:bCs w:val="0"/>
          <w:szCs w:val="36"/>
          <w:highlight w:val="none"/>
          <w:lang w:eastAsia="zh-CN"/>
        </w:rPr>
        <w:t>系统治理、源头治理、综合治理相协同，综合治沙、科学治沙、依法治沙相结合，</w:t>
      </w:r>
      <w:r>
        <w:rPr>
          <w:rFonts w:hint="eastAsia" w:ascii="Times New Roman" w:hAnsi="Times New Roman" w:eastAsia="仿宋_GB2312" w:cs="方正仿宋_GBK"/>
          <w:b w:val="0"/>
          <w:bCs w:val="0"/>
          <w:szCs w:val="36"/>
          <w:highlight w:val="none"/>
          <w:lang w:val="en-US" w:eastAsia="zh-CN"/>
        </w:rPr>
        <w:t>重点</w:t>
      </w:r>
      <w:r>
        <w:rPr>
          <w:rFonts w:hint="eastAsia" w:ascii="Times New Roman" w:hAnsi="Times New Roman" w:eastAsia="仿宋_GB2312" w:cs="方正仿宋_GBK"/>
          <w:b w:val="0"/>
          <w:bCs w:val="0"/>
          <w:szCs w:val="36"/>
          <w:highlight w:val="none"/>
          <w:lang w:eastAsia="zh-CN"/>
        </w:rPr>
        <w:t>针对流动沙地、半固定沙地系统实施综合治理，提升林草植被盖度，从源头遏制风沙危害。</w:t>
      </w:r>
      <w:r>
        <w:rPr>
          <w:rFonts w:hint="eastAsia" w:eastAsia="仿宋_GB2312" w:cs="方正仿宋_GBK"/>
          <w:b w:val="0"/>
          <w:bCs w:val="0"/>
          <w:szCs w:val="36"/>
          <w:highlight w:val="none"/>
          <w:lang w:val="en-US" w:eastAsia="zh-CN"/>
        </w:rPr>
        <w:t>鼓励</w:t>
      </w:r>
      <w:r>
        <w:rPr>
          <w:rFonts w:hint="eastAsia" w:ascii="Times New Roman" w:hAnsi="Times New Roman" w:eastAsia="仿宋_GB2312" w:cs="方正仿宋_GBK"/>
          <w:b w:val="0"/>
          <w:bCs w:val="0"/>
          <w:szCs w:val="36"/>
          <w:highlight w:val="none"/>
          <w:lang w:eastAsia="zh-CN"/>
        </w:rPr>
        <w:t>推广</w:t>
      </w:r>
      <w:r>
        <w:rPr>
          <w:rFonts w:hint="eastAsia" w:eastAsia="仿宋_GB2312" w:cs="方正仿宋_GBK"/>
          <w:b w:val="0"/>
          <w:bCs w:val="0"/>
          <w:szCs w:val="36"/>
          <w:highlight w:val="none"/>
          <w:lang w:val="en-US" w:eastAsia="zh-CN"/>
        </w:rPr>
        <w:t>应用</w:t>
      </w:r>
      <w:r>
        <w:rPr>
          <w:rFonts w:hint="eastAsia" w:ascii="Times New Roman" w:hAnsi="Times New Roman" w:eastAsia="仿宋_GB2312" w:cs="方正仿宋_GBK"/>
          <w:b w:val="0"/>
          <w:bCs w:val="0"/>
          <w:szCs w:val="36"/>
          <w:highlight w:val="none"/>
          <w:lang w:eastAsia="zh-CN"/>
        </w:rPr>
        <w:t>林草先进机械和先进技术，加强与科研院所、企业建立产学研合作，深入开展沙地治理技术研究，搭建区域治沙技术创新平台，促进沙地治理技术创新升级。创新防沙治沙先进治理模式，积极推广“以路治沙”</w:t>
      </w:r>
      <w:r>
        <w:rPr>
          <w:rFonts w:hint="eastAsia" w:ascii="Times New Roman" w:hAnsi="Times New Roman" w:eastAsia="仿宋_GB2312" w:cs="方正仿宋_GBK"/>
          <w:b w:val="0"/>
          <w:bCs w:val="0"/>
          <w:szCs w:val="36"/>
          <w:highlight w:val="none"/>
          <w:lang w:val="en-US" w:eastAsia="zh-CN"/>
        </w:rPr>
        <w:t>等</w:t>
      </w:r>
      <w:r>
        <w:rPr>
          <w:rFonts w:hint="eastAsia" w:ascii="Times New Roman" w:hAnsi="Times New Roman" w:eastAsia="仿宋_GB2312" w:cs="方正仿宋_GBK"/>
          <w:b w:val="0"/>
          <w:bCs w:val="0"/>
          <w:szCs w:val="36"/>
          <w:highlight w:val="none"/>
          <w:lang w:eastAsia="zh-CN"/>
        </w:rPr>
        <w:t>模式，</w:t>
      </w:r>
      <w:r>
        <w:rPr>
          <w:rFonts w:hint="eastAsia" w:ascii="Times New Roman" w:hAnsi="Times New Roman" w:eastAsia="仿宋_GB2312" w:cs="方正仿宋_GBK"/>
          <w:b w:val="0"/>
          <w:bCs w:val="0"/>
          <w:szCs w:val="36"/>
          <w:highlight w:val="none"/>
          <w:lang w:val="en-US" w:eastAsia="zh-CN"/>
        </w:rPr>
        <w:t>实现</w:t>
      </w:r>
      <w:r>
        <w:rPr>
          <w:rFonts w:hint="eastAsia" w:ascii="Times New Roman" w:hAnsi="Times New Roman" w:eastAsia="仿宋_GB2312" w:cs="方正仿宋_GBK"/>
          <w:b w:val="0"/>
          <w:bCs w:val="0"/>
          <w:szCs w:val="36"/>
          <w:highlight w:val="none"/>
          <w:lang w:eastAsia="zh-CN"/>
        </w:rPr>
        <w:t>修路、治沙一体推进</w:t>
      </w:r>
      <w:r>
        <w:rPr>
          <w:rFonts w:hint="eastAsia" w:ascii="Times New Roman" w:hAnsi="Times New Roman" w:eastAsia="仿宋_GB2312" w:cs="方正仿宋_GBK"/>
          <w:b w:val="0"/>
          <w:bCs w:val="0"/>
          <w:szCs w:val="36"/>
          <w:highlight w:val="none"/>
          <w:lang w:val="en-US" w:eastAsia="zh-CN"/>
        </w:rPr>
        <w:t>。到2030年，完成防沙治沙和林草质量巩固提升</w:t>
      </w:r>
      <w:r>
        <w:rPr>
          <w:rFonts w:hint="eastAsia" w:eastAsia="仿宋_GB2312" w:cs="方正仿宋_GBK"/>
          <w:b w:val="0"/>
          <w:bCs w:val="0"/>
          <w:szCs w:val="36"/>
          <w:highlight w:val="none"/>
          <w:lang w:val="en-US" w:eastAsia="zh-CN"/>
        </w:rPr>
        <w:t>600</w:t>
      </w:r>
      <w:r>
        <w:rPr>
          <w:rFonts w:hint="eastAsia" w:ascii="Times New Roman" w:hAnsi="Times New Roman" w:eastAsia="仿宋_GB2312" w:cs="方正仿宋_GBK"/>
          <w:b w:val="0"/>
          <w:bCs w:val="0"/>
          <w:szCs w:val="36"/>
          <w:highlight w:val="none"/>
          <w:lang w:val="en-US" w:eastAsia="zh-CN"/>
        </w:rPr>
        <w:t>万亩以上。</w:t>
      </w:r>
    </w:p>
    <w:p w14:paraId="498B3C3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szCs w:val="36"/>
          <w:highlight w:val="none"/>
          <w:lang w:val="en-US" w:eastAsia="zh-CN"/>
        </w:rPr>
      </w:pPr>
      <w:bookmarkStart w:id="181" w:name="_Toc28974"/>
      <w:r>
        <w:rPr>
          <w:rFonts w:hint="eastAsia" w:ascii="Times New Roman" w:hAnsi="Times New Roman" w:eastAsia="仿宋_GB2312" w:cs="方正仿宋_GBK"/>
          <w:b w:val="0"/>
          <w:bCs w:val="0"/>
          <w:color w:val="auto"/>
          <w:szCs w:val="32"/>
          <w:highlight w:val="none"/>
          <w:lang w:val="en-US" w:eastAsia="zh-CN"/>
        </w:rPr>
        <w:t>全力推进重点工程</w:t>
      </w:r>
      <w:bookmarkEnd w:id="181"/>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聚焦重点治理区域，以“三北”六期工程、防沙治沙和风电光伏一体化等重点工程为抓手，高质量推进重点林草生态工程等重点项目，</w:t>
      </w:r>
      <w:r>
        <w:rPr>
          <w:rFonts w:hint="eastAsia" w:eastAsia="仿宋_GB2312" w:cs="方正仿宋_GBK"/>
          <w:b w:val="0"/>
          <w:bCs w:val="0"/>
          <w:szCs w:val="36"/>
          <w:highlight w:val="none"/>
          <w:lang w:val="en-US" w:eastAsia="zh-CN"/>
        </w:rPr>
        <w:t>采取</w:t>
      </w:r>
      <w:r>
        <w:rPr>
          <w:rFonts w:hint="eastAsia" w:ascii="Times New Roman" w:hAnsi="Times New Roman" w:eastAsia="仿宋_GB2312" w:cs="方正仿宋_GBK"/>
          <w:b w:val="0"/>
          <w:bCs w:val="0"/>
          <w:szCs w:val="36"/>
          <w:highlight w:val="none"/>
          <w:lang w:val="en-US" w:eastAsia="zh-CN"/>
        </w:rPr>
        <w:t>人工造林、</w:t>
      </w:r>
      <w:r>
        <w:rPr>
          <w:rFonts w:hint="eastAsia" w:eastAsia="仿宋_GB2312" w:cs="方正仿宋_GBK"/>
          <w:b w:val="0"/>
          <w:bCs w:val="0"/>
          <w:szCs w:val="36"/>
          <w:highlight w:val="none"/>
          <w:lang w:val="en-US" w:eastAsia="zh-CN"/>
        </w:rPr>
        <w:t>补植补造</w:t>
      </w:r>
      <w:r>
        <w:rPr>
          <w:rFonts w:hint="eastAsia" w:ascii="Times New Roman" w:hAnsi="Times New Roman" w:eastAsia="仿宋_GB2312" w:cs="方正仿宋_GBK"/>
          <w:b w:val="0"/>
          <w:bCs w:val="0"/>
          <w:szCs w:val="36"/>
          <w:highlight w:val="none"/>
          <w:lang w:val="en-US" w:eastAsia="zh-CN"/>
        </w:rPr>
        <w:t>、人工种草等恢复林草植被，</w:t>
      </w:r>
      <w:r>
        <w:rPr>
          <w:rFonts w:hint="eastAsia" w:eastAsia="仿宋_GB2312" w:cs="方正仿宋_GBK"/>
          <w:b w:val="0"/>
          <w:bCs w:val="0"/>
          <w:szCs w:val="36"/>
          <w:highlight w:val="none"/>
          <w:lang w:val="en-US" w:eastAsia="zh-CN"/>
        </w:rPr>
        <w:t>采取</w:t>
      </w:r>
      <w:r>
        <w:rPr>
          <w:rFonts w:hint="eastAsia" w:ascii="Times New Roman" w:hAnsi="Times New Roman" w:eastAsia="仿宋_GB2312" w:cs="方正仿宋_GBK"/>
          <w:b w:val="0"/>
          <w:bCs w:val="0"/>
          <w:szCs w:val="36"/>
          <w:highlight w:val="none"/>
          <w:lang w:val="en-US" w:eastAsia="zh-CN"/>
        </w:rPr>
        <w:t>综合修复、补植补造、中幼林抚育和</w:t>
      </w:r>
      <w:r>
        <w:rPr>
          <w:rFonts w:hint="eastAsia" w:eastAsia="仿宋_GB2312" w:cs="方正仿宋_GBK"/>
          <w:b w:val="0"/>
          <w:bCs w:val="0"/>
          <w:szCs w:val="36"/>
          <w:highlight w:val="none"/>
          <w:lang w:val="en-US" w:eastAsia="zh-CN"/>
        </w:rPr>
        <w:t>退化草原修复</w:t>
      </w:r>
      <w:r>
        <w:rPr>
          <w:rFonts w:hint="eastAsia" w:ascii="Times New Roman" w:hAnsi="Times New Roman" w:eastAsia="仿宋_GB2312" w:cs="方正仿宋_GBK"/>
          <w:b w:val="0"/>
          <w:bCs w:val="0"/>
          <w:szCs w:val="36"/>
          <w:highlight w:val="none"/>
          <w:lang w:val="en-US" w:eastAsia="zh-CN"/>
        </w:rPr>
        <w:t>等措施恢复森林草原生态系统功能</w:t>
      </w:r>
      <w:r>
        <w:rPr>
          <w:rFonts w:hint="default" w:ascii="Times New Roman" w:hAnsi="Times New Roman"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eastAsia="zh-CN"/>
        </w:rPr>
        <w:t>推进非沙化区域国土绿化，结合水资源承载力，实施人工造林</w:t>
      </w:r>
      <w:r>
        <w:rPr>
          <w:rFonts w:hint="eastAsia" w:ascii="Times New Roman" w:hAnsi="Times New Roman" w:eastAsia="仿宋_GB2312" w:cs="方正仿宋_GBK"/>
          <w:b w:val="0"/>
          <w:bCs w:val="0"/>
          <w:szCs w:val="36"/>
          <w:highlight w:val="none"/>
          <w:lang w:val="en-US" w:eastAsia="zh-CN"/>
        </w:rPr>
        <w:t>种草</w:t>
      </w:r>
      <w:r>
        <w:rPr>
          <w:rFonts w:hint="eastAsia" w:ascii="Times New Roman" w:hAnsi="Times New Roman" w:eastAsia="仿宋_GB2312" w:cs="方正仿宋_GBK"/>
          <w:b w:val="0"/>
          <w:bCs w:val="0"/>
          <w:szCs w:val="36"/>
          <w:highlight w:val="none"/>
          <w:lang w:eastAsia="zh-CN"/>
        </w:rPr>
        <w:t>、封育修复、</w:t>
      </w:r>
      <w:r>
        <w:rPr>
          <w:rFonts w:hint="eastAsia" w:ascii="Times New Roman" w:hAnsi="Times New Roman" w:eastAsia="仿宋_GB2312" w:cs="方正仿宋_GBK"/>
          <w:b w:val="0"/>
          <w:bCs w:val="0"/>
          <w:szCs w:val="36"/>
          <w:highlight w:val="none"/>
          <w:lang w:val="en-US" w:eastAsia="zh-CN"/>
        </w:rPr>
        <w:t>退化林分改造</w:t>
      </w:r>
      <w:r>
        <w:rPr>
          <w:rFonts w:hint="eastAsia" w:ascii="Times New Roman" w:hAnsi="Times New Roman" w:eastAsia="仿宋_GB2312" w:cs="方正仿宋_GBK"/>
          <w:b w:val="0"/>
          <w:bCs w:val="0"/>
          <w:szCs w:val="36"/>
          <w:highlight w:val="none"/>
          <w:lang w:eastAsia="zh-CN"/>
        </w:rPr>
        <w:t>等</w:t>
      </w:r>
      <w:r>
        <w:rPr>
          <w:rFonts w:hint="eastAsia" w:eastAsia="仿宋_GB2312" w:cs="方正仿宋_GBK"/>
          <w:b w:val="0"/>
          <w:bCs w:val="0"/>
          <w:szCs w:val="36"/>
          <w:highlight w:val="none"/>
          <w:lang w:val="en-US" w:eastAsia="zh-CN"/>
        </w:rPr>
        <w:t>工程</w:t>
      </w:r>
      <w:r>
        <w:rPr>
          <w:rFonts w:hint="eastAsia" w:ascii="Times New Roman" w:hAnsi="Times New Roman" w:eastAsia="仿宋_GB2312" w:cs="方正仿宋_GBK"/>
          <w:b w:val="0"/>
          <w:bCs w:val="0"/>
          <w:szCs w:val="36"/>
          <w:highlight w:val="none"/>
          <w:lang w:eastAsia="zh-CN"/>
        </w:rPr>
        <w:t>，增强水源涵养与水土保持功能</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 w:eastAsia="zh-CN"/>
        </w:rPr>
        <w:t>探索将人工影响天气等手段科学融入生态修复实践，提高重点工程实施成效。</w:t>
      </w:r>
    </w:p>
    <w:p w14:paraId="214A307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182" w:name="_Toc2628"/>
      <w:r>
        <w:rPr>
          <w:rFonts w:hint="eastAsia" w:ascii="Times New Roman" w:hAnsi="Times New Roman" w:eastAsia="仿宋_GB2312" w:cs="方正仿宋_GBK"/>
          <w:b w:val="0"/>
          <w:bCs w:val="0"/>
          <w:color w:val="auto"/>
          <w:szCs w:val="32"/>
          <w:highlight w:val="none"/>
          <w:lang w:val="en-US" w:eastAsia="zh-CN"/>
        </w:rPr>
        <w:t>持续巩固治理成果</w:t>
      </w:r>
      <w:bookmarkEnd w:id="182"/>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统筹做好防治管护，巩固扩大沙地治理成果。</w:t>
      </w:r>
      <w:r>
        <w:rPr>
          <w:rFonts w:hint="eastAsia" w:ascii="Times New Roman" w:hAnsi="Times New Roman" w:eastAsia="仿宋_GB2312" w:cs="方正仿宋_GBK"/>
          <w:b w:val="0"/>
          <w:bCs w:val="0"/>
          <w:szCs w:val="36"/>
          <w:highlight w:val="none"/>
          <w:lang w:eastAsia="zh-CN"/>
        </w:rPr>
        <w:t>鼓励支持社会各界参与防沙治沙，将防沙治沙同农村牧区“三变”改革和“三位一体”综合合作</w:t>
      </w:r>
      <w:r>
        <w:rPr>
          <w:rFonts w:hint="eastAsia" w:ascii="Times New Roman" w:hAnsi="Times New Roman" w:eastAsia="仿宋_GB2312" w:cs="方正仿宋_GBK"/>
          <w:b w:val="0"/>
          <w:bCs w:val="0"/>
          <w:szCs w:val="36"/>
          <w:highlight w:val="none"/>
          <w:lang w:val="en-US" w:eastAsia="zh-CN"/>
        </w:rPr>
        <w:t>相</w:t>
      </w:r>
      <w:r>
        <w:rPr>
          <w:rFonts w:hint="eastAsia" w:ascii="Times New Roman" w:hAnsi="Times New Roman" w:eastAsia="仿宋_GB2312" w:cs="方正仿宋_GBK"/>
          <w:b w:val="0"/>
          <w:bCs w:val="0"/>
          <w:szCs w:val="36"/>
          <w:highlight w:val="none"/>
          <w:lang w:eastAsia="zh-CN"/>
        </w:rPr>
        <w:t>结合，持续加大“以工代赈”实施力度，推广先建后补等多种组织形式，鼓励群众积极参与防沙治沙工作</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支持企业</w:t>
      </w:r>
      <w:r>
        <w:rPr>
          <w:rFonts w:hint="eastAsia" w:ascii="Times New Roman" w:hAnsi="Times New Roman" w:eastAsia="仿宋_GB2312" w:cs="方正仿宋_GBK"/>
          <w:b w:val="0"/>
          <w:bCs w:val="0"/>
          <w:szCs w:val="36"/>
          <w:highlight w:val="none"/>
          <w:lang w:eastAsia="zh-CN"/>
        </w:rPr>
        <w:t>参与防沙治沙、积极争取公益造林等项目，</w:t>
      </w:r>
      <w:r>
        <w:rPr>
          <w:rFonts w:hint="eastAsia" w:eastAsia="仿宋_GB2312" w:cs="方正仿宋_GBK"/>
          <w:b w:val="0"/>
          <w:bCs w:val="0"/>
          <w:szCs w:val="36"/>
          <w:highlight w:val="none"/>
          <w:lang w:val="en-US" w:eastAsia="zh-CN"/>
        </w:rPr>
        <w:t>引导</w:t>
      </w:r>
      <w:r>
        <w:rPr>
          <w:rFonts w:hint="eastAsia" w:ascii="Times New Roman" w:hAnsi="Times New Roman" w:eastAsia="仿宋_GB2312" w:cs="方正仿宋_GBK"/>
          <w:b w:val="0"/>
          <w:bCs w:val="0"/>
          <w:szCs w:val="36"/>
          <w:highlight w:val="none"/>
          <w:lang w:eastAsia="zh-CN"/>
        </w:rPr>
        <w:t>社会资本深度参与防沙治沙。全面开展林草生态建设管护，</w:t>
      </w:r>
      <w:r>
        <w:rPr>
          <w:rFonts w:hint="eastAsia" w:ascii="Times New Roman" w:hAnsi="Times New Roman" w:eastAsia="仿宋_GB2312" w:cs="方正仿宋_GBK"/>
          <w:b w:val="0"/>
          <w:bCs w:val="0"/>
          <w:szCs w:val="36"/>
          <w:highlight w:val="none"/>
          <w:lang w:val="en-US" w:eastAsia="zh-CN"/>
        </w:rPr>
        <w:t>加强</w:t>
      </w:r>
      <w:r>
        <w:rPr>
          <w:rFonts w:hint="eastAsia" w:ascii="Times New Roman" w:hAnsi="Times New Roman" w:eastAsia="仿宋_GB2312" w:cs="方正仿宋_GBK"/>
          <w:b w:val="0"/>
          <w:bCs w:val="0"/>
          <w:szCs w:val="36"/>
          <w:highlight w:val="none"/>
          <w:lang w:eastAsia="zh-CN"/>
        </w:rPr>
        <w:t>治理区域巡查监管。强化防火、防病虫害工作，提高应急能力和防控水平。落实草畜平衡和禁牧休牧制度，合理划定禁牧区、草畜平衡区，科学调整休牧期和适宜载畜量。</w:t>
      </w:r>
    </w:p>
    <w:p w14:paraId="5466AF6E">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83" w:name="_Toc18014"/>
      <w:bookmarkStart w:id="184" w:name="_Toc11824"/>
      <w:bookmarkStart w:id="185" w:name="_Toc29284"/>
      <w:bookmarkStart w:id="186" w:name="_Toc530"/>
      <w:bookmarkStart w:id="187" w:name="_Toc16112"/>
      <w:bookmarkStart w:id="188" w:name="_Toc18143"/>
      <w:bookmarkStart w:id="189" w:name="_Toc29164"/>
      <w:bookmarkStart w:id="190" w:name="_Toc31623"/>
      <w:bookmarkStart w:id="191" w:name="_Toc219"/>
      <w:bookmarkStart w:id="192" w:name="_Toc3202"/>
      <w:bookmarkStart w:id="193" w:name="_Toc5554"/>
      <w:bookmarkStart w:id="194" w:name="_Toc21730"/>
      <w:bookmarkStart w:id="195" w:name="_Toc15241"/>
      <w:bookmarkStart w:id="196" w:name="_Toc17603"/>
      <w:bookmarkStart w:id="197" w:name="_Toc18336"/>
      <w:bookmarkStart w:id="198" w:name="_Toc16680"/>
      <w:bookmarkStart w:id="199" w:name="_Toc22943"/>
      <w:bookmarkStart w:id="200" w:name="_Toc21346"/>
      <w:bookmarkStart w:id="201" w:name="_Toc27803"/>
      <w:bookmarkStart w:id="202" w:name="_Toc277"/>
      <w:r>
        <w:rPr>
          <w:rFonts w:hint="eastAsia" w:ascii="楷体_GB2312" w:hAnsi="楷体_GB2312" w:eastAsia="楷体_GB2312" w:cs="楷体_GB2312"/>
          <w:b w:val="0"/>
          <w:bCs w:val="0"/>
          <w:color w:val="auto"/>
          <w:sz w:val="32"/>
          <w:szCs w:val="40"/>
          <w:highlight w:val="none"/>
          <w:lang w:val="en-US" w:eastAsia="zh-CN"/>
        </w:rPr>
        <w:t>全力打好污染防治攻坚战</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764D98A">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default" w:ascii="Times New Roman" w:hAnsi="Times New Roman" w:eastAsia="仿宋_GB2312" w:cs="方正仿宋_GBK"/>
          <w:b w:val="0"/>
          <w:bCs w:val="0"/>
          <w:szCs w:val="36"/>
          <w:highlight w:val="none"/>
          <w:lang w:val="en-US" w:eastAsia="zh-CN"/>
        </w:rPr>
      </w:pPr>
      <w:r>
        <w:rPr>
          <w:rFonts w:hint="eastAsia" w:ascii="Times New Roman" w:hAnsi="Times New Roman" w:eastAsia="仿宋_GB2312" w:cs="方正仿宋_GBK"/>
          <w:b w:val="0"/>
          <w:bCs w:val="0"/>
          <w:szCs w:val="36"/>
          <w:highlight w:val="none"/>
          <w:lang w:eastAsia="zh-CN"/>
        </w:rPr>
        <w:t>坚决贯彻精准、科学、依法治污方针，更加注重源头治理，</w:t>
      </w:r>
      <w:r>
        <w:rPr>
          <w:rFonts w:hint="eastAsia" w:eastAsia="仿宋_GB2312" w:cs="方正仿宋_GBK"/>
          <w:b w:val="0"/>
          <w:bCs w:val="0"/>
          <w:szCs w:val="36"/>
          <w:highlight w:val="none"/>
          <w:lang w:val="en-US" w:eastAsia="zh-CN"/>
        </w:rPr>
        <w:t>实施</w:t>
      </w:r>
      <w:r>
        <w:rPr>
          <w:rFonts w:hint="eastAsia" w:ascii="Times New Roman" w:hAnsi="Times New Roman" w:eastAsia="仿宋_GB2312" w:cs="方正仿宋_GBK"/>
          <w:b w:val="0"/>
          <w:bCs w:val="0"/>
          <w:szCs w:val="36"/>
          <w:highlight w:val="none"/>
          <w:lang w:eastAsia="zh-CN"/>
        </w:rPr>
        <w:t>蓝天、碧水、净土保卫行动，全面改善大气、水体和土壤环境，强化污染风险管控，健全现代环境治理体系，</w:t>
      </w:r>
      <w:r>
        <w:rPr>
          <w:rFonts w:hint="eastAsia" w:ascii="Times New Roman" w:hAnsi="Times New Roman" w:eastAsia="仿宋_GB2312" w:cs="方正仿宋_GBK"/>
          <w:b w:val="0"/>
          <w:bCs w:val="0"/>
          <w:szCs w:val="36"/>
          <w:highlight w:val="none"/>
          <w:lang w:val="en-US" w:eastAsia="zh-CN"/>
        </w:rPr>
        <w:t>推动天蓝水清土净的美丽赤峰建设取得明显成效</w:t>
      </w:r>
      <w:r>
        <w:rPr>
          <w:rFonts w:hint="eastAsia" w:ascii="Times New Roman" w:hAnsi="Times New Roman" w:eastAsia="仿宋_GB2312" w:cs="方正仿宋_GBK"/>
          <w:b w:val="0"/>
          <w:bCs w:val="0"/>
          <w:szCs w:val="36"/>
          <w:highlight w:val="none"/>
          <w:lang w:eastAsia="zh-CN"/>
        </w:rPr>
        <w:t>。</w:t>
      </w:r>
    </w:p>
    <w:p w14:paraId="32763C7F">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val="en-US" w:eastAsia="zh-CN"/>
        </w:rPr>
      </w:pPr>
      <w:r>
        <w:rPr>
          <w:rFonts w:hint="eastAsia" w:eastAsia="仿宋_GB2312" w:cs="方正仿宋_GBK"/>
          <w:b w:val="0"/>
          <w:bCs w:val="0"/>
          <w:color w:val="auto"/>
          <w:sz w:val="32"/>
          <w:szCs w:val="32"/>
          <w:highlight w:val="none"/>
          <w:lang w:val="en-US" w:eastAsia="zh-CN"/>
        </w:rPr>
        <w:t>深入推进蓝天保卫战。</w:t>
      </w:r>
      <w:r>
        <w:rPr>
          <w:rFonts w:hint="eastAsia" w:ascii="Times New Roman" w:hAnsi="Times New Roman" w:eastAsia="仿宋_GB2312" w:cs="方正仿宋_GBK"/>
          <w:b w:val="0"/>
          <w:bCs w:val="0"/>
          <w:szCs w:val="36"/>
          <w:highlight w:val="none"/>
          <w:lang w:eastAsia="zh-CN"/>
        </w:rPr>
        <w:t>聚焦重点区域、领域和行业，</w:t>
      </w:r>
      <w:r>
        <w:rPr>
          <w:rFonts w:hint="eastAsia" w:ascii="Times New Roman" w:hAnsi="Times New Roman" w:eastAsia="仿宋_GB2312" w:cs="方正仿宋_GBK"/>
          <w:b w:val="0"/>
          <w:bCs w:val="0"/>
          <w:szCs w:val="36"/>
          <w:highlight w:val="none"/>
          <w:lang w:val="en-US" w:eastAsia="zh-CN"/>
        </w:rPr>
        <w:t>实施大气污染联防联控，</w:t>
      </w:r>
      <w:r>
        <w:rPr>
          <w:rFonts w:hint="eastAsia" w:ascii="Times New Roman" w:hAnsi="Times New Roman" w:eastAsia="仿宋_GB2312" w:cs="方正仿宋_GBK"/>
          <w:b w:val="0"/>
          <w:bCs w:val="0"/>
          <w:szCs w:val="36"/>
          <w:highlight w:val="none"/>
          <w:lang w:eastAsia="zh-CN"/>
        </w:rPr>
        <w:t>强化细颗粒物</w:t>
      </w:r>
      <w:r>
        <w:rPr>
          <w:rFonts w:hint="default" w:ascii="Times New Roman" w:hAnsi="Times New Roman" w:eastAsia="仿宋_GB2312" w:cs="Times New Roman"/>
          <w:b w:val="0"/>
          <w:bCs w:val="0"/>
          <w:szCs w:val="36"/>
          <w:highlight w:val="none"/>
          <w:lang w:eastAsia="zh-CN"/>
        </w:rPr>
        <w:t>（PM₂.₅）</w:t>
      </w:r>
      <w:r>
        <w:rPr>
          <w:rFonts w:hint="eastAsia" w:ascii="Times New Roman" w:hAnsi="Times New Roman" w:eastAsia="仿宋_GB2312" w:cs="方正仿宋_GBK"/>
          <w:b w:val="0"/>
          <w:bCs w:val="0"/>
          <w:szCs w:val="36"/>
          <w:highlight w:val="none"/>
          <w:lang w:eastAsia="zh-CN"/>
        </w:rPr>
        <w:t>与臭氧协同控制，推进挥发性有机物和氮氧化物协同减排。加强工业源、移动源和扬尘源系统管控，实施重点行业</w:t>
      </w:r>
      <w:r>
        <w:rPr>
          <w:rFonts w:hint="eastAsia" w:eastAsia="仿宋_GB2312" w:cs="方正仿宋_GBK"/>
          <w:b w:val="0"/>
          <w:bCs w:val="0"/>
          <w:szCs w:val="36"/>
          <w:highlight w:val="none"/>
          <w:lang w:val="en-US" w:eastAsia="zh-CN"/>
        </w:rPr>
        <w:t>超低排放</w:t>
      </w:r>
      <w:r>
        <w:rPr>
          <w:rFonts w:hint="eastAsia" w:ascii="Times New Roman" w:hAnsi="Times New Roman" w:eastAsia="仿宋_GB2312" w:cs="方正仿宋_GBK"/>
          <w:b w:val="0"/>
          <w:bCs w:val="0"/>
          <w:szCs w:val="36"/>
          <w:highlight w:val="none"/>
          <w:lang w:eastAsia="zh-CN"/>
        </w:rPr>
        <w:t>改造。</w:t>
      </w:r>
      <w:r>
        <w:rPr>
          <w:rFonts w:hint="eastAsia" w:ascii="Times New Roman" w:hAnsi="Times New Roman" w:eastAsia="仿宋_GB2312" w:cs="方正仿宋_GBK"/>
          <w:b w:val="0"/>
          <w:bCs w:val="0"/>
          <w:szCs w:val="36"/>
          <w:highlight w:val="none"/>
          <w:lang w:val="en-US" w:eastAsia="zh-CN"/>
        </w:rPr>
        <w:t>强化秸秆资源化利用和有序禁烧</w:t>
      </w:r>
      <w:r>
        <w:rPr>
          <w:rFonts w:hint="eastAsia" w:ascii="Times New Roman" w:hAnsi="Times New Roman" w:eastAsia="仿宋_GB2312" w:cs="方正仿宋_GBK"/>
          <w:b w:val="0"/>
          <w:bCs w:val="0"/>
          <w:szCs w:val="36"/>
          <w:highlight w:val="none"/>
          <w:lang w:eastAsia="zh-CN"/>
        </w:rPr>
        <w:t>，推动清洁能源替代，优化城乡能源消费结构。健全重污染天气应急响应与差异化管控机制</w:t>
      </w:r>
      <w:r>
        <w:rPr>
          <w:rFonts w:hint="eastAsia" w:ascii="Times New Roman" w:hAnsi="Times New Roman" w:eastAsia="仿宋_GB2312" w:cs="方正仿宋_GBK"/>
          <w:b w:val="0"/>
          <w:bCs w:val="0"/>
          <w:szCs w:val="36"/>
          <w:highlight w:val="none"/>
          <w:lang w:val="en" w:eastAsia="zh-CN"/>
        </w:rPr>
        <w:t>，加强污染气象条件监测预报</w:t>
      </w:r>
      <w:r>
        <w:rPr>
          <w:rFonts w:hint="eastAsia" w:ascii="Times New Roman" w:hAnsi="Times New Roman" w:eastAsia="仿宋_GB2312" w:cs="方正仿宋_GBK"/>
          <w:b w:val="0"/>
          <w:bCs w:val="0"/>
          <w:szCs w:val="36"/>
          <w:highlight w:val="none"/>
          <w:lang w:eastAsia="zh-CN"/>
        </w:rPr>
        <w:t>，推动大气环境质量持续改善。</w:t>
      </w:r>
      <w:r>
        <w:rPr>
          <w:rFonts w:hint="eastAsia" w:eastAsia="仿宋_GB2312" w:cs="方正仿宋_GBK"/>
          <w:b w:val="0"/>
          <w:bCs w:val="0"/>
          <w:szCs w:val="36"/>
          <w:highlight w:val="none"/>
          <w:lang w:val="en-US" w:eastAsia="zh-CN"/>
        </w:rPr>
        <w:t>开展</w:t>
      </w:r>
      <w:r>
        <w:rPr>
          <w:rFonts w:hint="eastAsia" w:ascii="Times New Roman" w:hAnsi="Times New Roman" w:eastAsia="仿宋_GB2312" w:cs="方正仿宋_GBK"/>
          <w:b w:val="0"/>
          <w:bCs w:val="0"/>
          <w:szCs w:val="36"/>
          <w:highlight w:val="none"/>
          <w:lang w:eastAsia="zh-CN"/>
        </w:rPr>
        <w:t>多污染物协同治理，</w:t>
      </w:r>
      <w:r>
        <w:rPr>
          <w:rFonts w:hint="eastAsia" w:ascii="Times New Roman" w:hAnsi="Times New Roman" w:eastAsia="仿宋_GB2312" w:cs="方正仿宋_GBK"/>
          <w:b w:val="0"/>
          <w:bCs w:val="0"/>
          <w:szCs w:val="36"/>
          <w:highlight w:val="none"/>
          <w:lang w:val="en-US" w:eastAsia="zh-CN"/>
        </w:rPr>
        <w:t>实现空气质量约束性指标达到自治区考核要求。</w:t>
      </w:r>
    </w:p>
    <w:p w14:paraId="0684B8CF">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r>
        <w:rPr>
          <w:rFonts w:hint="eastAsia" w:eastAsia="仿宋_GB2312" w:cs="方正仿宋_GBK"/>
          <w:b w:val="0"/>
          <w:bCs w:val="0"/>
          <w:color w:val="auto"/>
          <w:sz w:val="32"/>
          <w:szCs w:val="32"/>
          <w:highlight w:val="none"/>
          <w:lang w:val="en-US" w:eastAsia="zh-CN"/>
        </w:rPr>
        <w:t>深入推进碧水保卫战。</w:t>
      </w:r>
      <w:r>
        <w:rPr>
          <w:rFonts w:hint="eastAsia" w:eastAsia="仿宋_GB2312" w:cs="方正仿宋_GBK"/>
          <w:b w:val="0"/>
          <w:bCs w:val="0"/>
          <w:szCs w:val="36"/>
          <w:highlight w:val="none"/>
          <w:lang w:val="en-US" w:eastAsia="zh-CN"/>
        </w:rPr>
        <w:t>全面</w:t>
      </w:r>
      <w:r>
        <w:rPr>
          <w:rFonts w:hint="eastAsia" w:ascii="Times New Roman" w:hAnsi="Times New Roman" w:eastAsia="仿宋_GB2312" w:cs="方正仿宋_GBK"/>
          <w:b w:val="0"/>
          <w:bCs w:val="0"/>
          <w:szCs w:val="36"/>
          <w:highlight w:val="none"/>
          <w:lang w:eastAsia="zh-CN"/>
        </w:rPr>
        <w:t>落实河湖长制，统筹水资源、水环境与水生态协同治理</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有序推进美丽河湖</w:t>
      </w:r>
      <w:r>
        <w:rPr>
          <w:rFonts w:hint="eastAsia" w:eastAsia="仿宋_GB2312" w:cs="方正仿宋_GBK"/>
          <w:b w:val="0"/>
          <w:bCs w:val="0"/>
          <w:szCs w:val="36"/>
          <w:highlight w:val="none"/>
          <w:lang w:val="en-US" w:eastAsia="zh-CN"/>
        </w:rPr>
        <w:t>保护与</w:t>
      </w:r>
      <w:r>
        <w:rPr>
          <w:rFonts w:hint="eastAsia" w:ascii="Times New Roman" w:hAnsi="Times New Roman" w:eastAsia="仿宋_GB2312" w:cs="方正仿宋_GBK"/>
          <w:b w:val="0"/>
          <w:bCs w:val="0"/>
          <w:szCs w:val="36"/>
          <w:highlight w:val="none"/>
          <w:lang w:eastAsia="zh-CN"/>
        </w:rPr>
        <w:t>建设。</w:t>
      </w:r>
      <w:r>
        <w:rPr>
          <w:rFonts w:hint="eastAsia" w:eastAsia="仿宋_GB2312" w:cs="方正仿宋_GBK"/>
          <w:b w:val="0"/>
          <w:bCs w:val="0"/>
          <w:szCs w:val="36"/>
          <w:highlight w:val="none"/>
          <w:lang w:val="en-US" w:eastAsia="zh-CN"/>
        </w:rPr>
        <w:t>深入</w:t>
      </w:r>
      <w:r>
        <w:rPr>
          <w:rFonts w:hint="eastAsia" w:ascii="Times New Roman" w:hAnsi="Times New Roman" w:eastAsia="仿宋_GB2312" w:cs="方正仿宋_GBK"/>
          <w:b w:val="0"/>
          <w:bCs w:val="0"/>
          <w:szCs w:val="36"/>
          <w:highlight w:val="none"/>
          <w:lang w:eastAsia="zh-CN"/>
        </w:rPr>
        <w:t>开展巡河巡湖、入河排污口排查整治、河道采砂规范治理</w:t>
      </w:r>
      <w:r>
        <w:rPr>
          <w:rFonts w:hint="eastAsia" w:eastAsia="仿宋_GB2312" w:cs="方正仿宋_GBK"/>
          <w:b w:val="0"/>
          <w:bCs w:val="0"/>
          <w:szCs w:val="36"/>
          <w:highlight w:val="none"/>
          <w:lang w:val="en-US" w:eastAsia="zh-CN"/>
        </w:rPr>
        <w:t>等工作</w:t>
      </w:r>
      <w:r>
        <w:rPr>
          <w:rFonts w:hint="eastAsia" w:ascii="Times New Roman" w:hAnsi="Times New Roman" w:eastAsia="仿宋_GB2312" w:cs="方正仿宋_GBK"/>
          <w:b w:val="0"/>
          <w:bCs w:val="0"/>
          <w:szCs w:val="36"/>
          <w:highlight w:val="none"/>
          <w:lang w:eastAsia="zh-CN"/>
        </w:rPr>
        <w:t>。持续</w:t>
      </w:r>
      <w:r>
        <w:rPr>
          <w:rFonts w:hint="eastAsia" w:ascii="Times New Roman" w:hAnsi="Times New Roman" w:eastAsia="仿宋_GB2312" w:cs="方正仿宋_GBK"/>
          <w:b w:val="0"/>
          <w:bCs w:val="0"/>
          <w:color w:val="auto"/>
          <w:szCs w:val="36"/>
          <w:highlight w:val="none"/>
          <w:lang w:eastAsia="zh-CN"/>
        </w:rPr>
        <w:t>推进水主要污染物减排，加强工业园区废水治理和城乡污水处理，落实化学需氧量、总磷等重点</w:t>
      </w:r>
      <w:r>
        <w:rPr>
          <w:rFonts w:hint="eastAsia" w:eastAsia="仿宋_GB2312" w:cs="方正仿宋_GBK"/>
          <w:b w:val="0"/>
          <w:bCs w:val="0"/>
          <w:color w:val="auto"/>
          <w:szCs w:val="36"/>
          <w:highlight w:val="none"/>
          <w:lang w:val="en-US" w:eastAsia="zh-CN"/>
        </w:rPr>
        <w:t>污染物</w:t>
      </w:r>
      <w:r>
        <w:rPr>
          <w:rFonts w:hint="eastAsia" w:ascii="Times New Roman" w:hAnsi="Times New Roman" w:eastAsia="仿宋_GB2312" w:cs="方正仿宋_GBK"/>
          <w:b w:val="0"/>
          <w:bCs w:val="0"/>
          <w:color w:val="auto"/>
          <w:szCs w:val="36"/>
          <w:highlight w:val="none"/>
          <w:lang w:eastAsia="zh-CN"/>
        </w:rPr>
        <w:t>减排任务</w:t>
      </w:r>
      <w:r>
        <w:rPr>
          <w:rFonts w:hint="eastAsia" w:eastAsia="仿宋_GB2312" w:cs="方正仿宋_GBK"/>
          <w:b w:val="0"/>
          <w:bCs w:val="0"/>
          <w:color w:val="auto"/>
          <w:szCs w:val="36"/>
          <w:highlight w:val="none"/>
          <w:lang w:eastAsia="zh-CN"/>
        </w:rPr>
        <w:t>。</w:t>
      </w:r>
      <w:r>
        <w:rPr>
          <w:rFonts w:hint="eastAsia" w:ascii="Times New Roman" w:hAnsi="Times New Roman" w:eastAsia="仿宋_GB2312" w:cs="方正仿宋_GBK"/>
          <w:b w:val="0"/>
          <w:bCs w:val="0"/>
          <w:color w:val="auto"/>
          <w:szCs w:val="36"/>
          <w:highlight w:val="none"/>
          <w:lang w:eastAsia="zh-CN"/>
        </w:rPr>
        <w:t>推进</w:t>
      </w:r>
      <w:r>
        <w:rPr>
          <w:rFonts w:hint="eastAsia" w:ascii="Times New Roman" w:hAnsi="Times New Roman" w:eastAsia="仿宋_GB2312" w:cs="方正仿宋_GBK"/>
          <w:b w:val="0"/>
          <w:bCs w:val="0"/>
          <w:color w:val="auto"/>
          <w:szCs w:val="36"/>
          <w:highlight w:val="none"/>
          <w:lang w:val="en-US" w:eastAsia="zh-CN"/>
        </w:rPr>
        <w:t>老哈河、西拉沐沦河、阴河、达里湖</w:t>
      </w:r>
      <w:r>
        <w:rPr>
          <w:rFonts w:hint="eastAsia" w:ascii="Times New Roman" w:hAnsi="Times New Roman" w:eastAsia="仿宋_GB2312" w:cs="方正仿宋_GBK"/>
          <w:b w:val="0"/>
          <w:bCs w:val="0"/>
          <w:color w:val="auto"/>
          <w:szCs w:val="36"/>
          <w:highlight w:val="none"/>
          <w:lang w:eastAsia="zh-CN"/>
        </w:rPr>
        <w:t>等重点</w:t>
      </w:r>
      <w:r>
        <w:rPr>
          <w:rFonts w:hint="eastAsia" w:eastAsia="仿宋_GB2312" w:cs="方正仿宋_GBK"/>
          <w:b w:val="0"/>
          <w:bCs w:val="0"/>
          <w:color w:val="auto"/>
          <w:szCs w:val="36"/>
          <w:highlight w:val="none"/>
          <w:lang w:val="en-US" w:eastAsia="zh-CN"/>
        </w:rPr>
        <w:t>区</w:t>
      </w:r>
      <w:r>
        <w:rPr>
          <w:rFonts w:hint="eastAsia" w:ascii="Times New Roman" w:hAnsi="Times New Roman" w:eastAsia="仿宋_GB2312" w:cs="方正仿宋_GBK"/>
          <w:b w:val="0"/>
          <w:bCs w:val="0"/>
          <w:color w:val="auto"/>
          <w:szCs w:val="36"/>
          <w:highlight w:val="none"/>
          <w:lang w:eastAsia="zh-CN"/>
        </w:rPr>
        <w:t>域生态修复与综合治理，实施河湖生态缓冲带建设和</w:t>
      </w:r>
      <w:r>
        <w:rPr>
          <w:rFonts w:hint="eastAsia" w:eastAsia="仿宋_GB2312" w:cs="方正仿宋_GBK"/>
          <w:b w:val="0"/>
          <w:bCs w:val="0"/>
          <w:color w:val="auto"/>
          <w:szCs w:val="36"/>
          <w:highlight w:val="none"/>
          <w:lang w:eastAsia="zh-CN"/>
        </w:rPr>
        <w:t>湿地保护修复</w:t>
      </w:r>
      <w:r>
        <w:rPr>
          <w:rFonts w:hint="eastAsia" w:ascii="Times New Roman" w:hAnsi="Times New Roman" w:eastAsia="仿宋_GB2312" w:cs="方正仿宋_GBK"/>
          <w:b w:val="0"/>
          <w:bCs w:val="0"/>
          <w:color w:val="auto"/>
          <w:szCs w:val="36"/>
          <w:highlight w:val="none"/>
          <w:lang w:eastAsia="zh-CN"/>
        </w:rPr>
        <w:t>工程，提升</w:t>
      </w:r>
      <w:r>
        <w:rPr>
          <w:rFonts w:hint="eastAsia" w:ascii="Times New Roman" w:hAnsi="Times New Roman" w:eastAsia="仿宋_GB2312" w:cs="方正仿宋_GBK"/>
          <w:b w:val="0"/>
          <w:bCs w:val="0"/>
          <w:szCs w:val="36"/>
          <w:highlight w:val="none"/>
          <w:lang w:eastAsia="zh-CN"/>
        </w:rPr>
        <w:t>水体自净与生态功能。强化河道两侧规模以下养殖户畜禽粪污管控与治理。重点保障地表水考核断面水质，</w:t>
      </w:r>
      <w:r>
        <w:rPr>
          <w:rFonts w:hint="eastAsia" w:ascii="Times New Roman" w:hAnsi="Times New Roman" w:eastAsia="仿宋_GB2312" w:cs="方正仿宋_GBK"/>
          <w:b w:val="0"/>
          <w:bCs w:val="0"/>
          <w:szCs w:val="36"/>
          <w:highlight w:val="none"/>
          <w:lang w:val="en-US" w:eastAsia="zh-CN"/>
        </w:rPr>
        <w:t>完成劣Ⅴ类水体排查整治</w:t>
      </w:r>
      <w:r>
        <w:rPr>
          <w:rFonts w:hint="eastAsia" w:ascii="Times New Roman" w:hAnsi="Times New Roman" w:eastAsia="仿宋_GB2312" w:cs="方正仿宋_GBK"/>
          <w:b w:val="0"/>
          <w:bCs w:val="0"/>
          <w:szCs w:val="36"/>
          <w:highlight w:val="none"/>
          <w:lang w:eastAsia="zh-CN"/>
        </w:rPr>
        <w:t>。</w:t>
      </w:r>
      <w:r>
        <w:rPr>
          <w:rFonts w:hint="eastAsia" w:ascii="仿宋_GB2312" w:hAnsi="仿宋_GB2312" w:eastAsia="仿宋_GB2312" w:cs="仿宋_GB2312"/>
          <w:b w:val="0"/>
          <w:bCs w:val="0"/>
          <w:sz w:val="32"/>
          <w:szCs w:val="32"/>
          <w:highlight w:val="none"/>
          <w:u w:val="none" w:color="auto"/>
          <w:lang w:val="en-US" w:eastAsia="zh-CN"/>
        </w:rPr>
        <w:t>强化地下水污染防治分区管理和分级防控。</w:t>
      </w:r>
    </w:p>
    <w:p w14:paraId="468EC9A4">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r>
        <w:rPr>
          <w:rFonts w:hint="eastAsia" w:eastAsia="仿宋_GB2312" w:cs="方正仿宋_GBK"/>
          <w:b w:val="0"/>
          <w:bCs w:val="0"/>
          <w:color w:val="auto"/>
          <w:sz w:val="32"/>
          <w:szCs w:val="32"/>
          <w:highlight w:val="none"/>
          <w:lang w:val="en-US" w:eastAsia="zh-CN"/>
        </w:rPr>
        <w:t>深入推进净土保卫战。</w:t>
      </w:r>
      <w:r>
        <w:rPr>
          <w:rFonts w:hint="eastAsia" w:ascii="Times New Roman" w:hAnsi="Times New Roman" w:eastAsia="仿宋_GB2312" w:cs="方正仿宋_GBK"/>
          <w:b w:val="0"/>
          <w:bCs w:val="0"/>
          <w:szCs w:val="36"/>
          <w:highlight w:val="none"/>
          <w:lang w:eastAsia="zh-CN"/>
        </w:rPr>
        <w:t>坚持预防为主、保护优先，系统推进土壤污染源头防治和风险管控。</w:t>
      </w:r>
      <w:r>
        <w:rPr>
          <w:rFonts w:hint="eastAsia" w:ascii="仿宋_GB2312" w:hAnsi="仿宋_GB2312" w:eastAsia="仿宋_GB2312" w:cs="仿宋_GB2312"/>
          <w:b w:val="0"/>
          <w:bCs w:val="0"/>
          <w:sz w:val="32"/>
          <w:szCs w:val="32"/>
          <w:highlight w:val="none"/>
          <w:u w:val="none" w:color="auto"/>
          <w:lang w:val="en-US" w:eastAsia="zh-CN"/>
        </w:rPr>
        <w:t>强化农业面源污染防治，</w:t>
      </w:r>
      <w:r>
        <w:rPr>
          <w:rFonts w:hint="eastAsia" w:ascii="Times New Roman" w:hAnsi="Times New Roman" w:eastAsia="仿宋_GB2312" w:cs="方正仿宋_GBK"/>
          <w:b w:val="0"/>
          <w:bCs w:val="0"/>
          <w:szCs w:val="36"/>
          <w:highlight w:val="none"/>
          <w:lang w:eastAsia="zh-CN"/>
        </w:rPr>
        <w:t>推进化肥农药科学使用和农膜等农业投入品减量增效，加强畜禽养殖污染治理和资源化利用。强化受污染农用地溯源整治，针对安全利用类和严格管控类耕地实施差异化安全利用措施。强化有色金属采选、冶炼等重点行业绿色化提标改造，持续开展涉镉等重金属重点行业企业排查整治。健全土壤环境监测网络和风险预警体系</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严格建设用地土壤污染风险管控，落实土壤污染重点监管单位隐患排查和自行监测要求。</w:t>
      </w:r>
    </w:p>
    <w:p w14:paraId="31CFB15D">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bookmarkStart w:id="203" w:name="_Toc18760"/>
      <w:r>
        <w:rPr>
          <w:rFonts w:hint="eastAsia" w:ascii="Times New Roman" w:hAnsi="Times New Roman" w:eastAsia="仿宋_GB2312" w:cs="方正仿宋_GBK"/>
          <w:b w:val="0"/>
          <w:bCs w:val="0"/>
          <w:color w:val="auto"/>
          <w:sz w:val="32"/>
          <w:szCs w:val="32"/>
          <w:highlight w:val="none"/>
          <w:lang w:eastAsia="zh-CN"/>
        </w:rPr>
        <w:t>强化固体废物和新污染物治理</w:t>
      </w:r>
      <w:bookmarkEnd w:id="203"/>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szCs w:val="36"/>
          <w:highlight w:val="none"/>
          <w:lang w:eastAsia="zh-CN"/>
        </w:rPr>
        <w:t>实施固体废物综合治理行动，</w:t>
      </w:r>
      <w:r>
        <w:rPr>
          <w:rFonts w:hint="eastAsia" w:eastAsia="仿宋_GB2312" w:cs="方正仿宋_GBK"/>
          <w:b w:val="0"/>
          <w:bCs w:val="0"/>
          <w:szCs w:val="36"/>
          <w:highlight w:val="none"/>
          <w:lang w:val="en-US" w:eastAsia="zh-CN"/>
        </w:rPr>
        <w:t>推动</w:t>
      </w:r>
      <w:r>
        <w:rPr>
          <w:rFonts w:hint="eastAsia" w:ascii="Times New Roman" w:hAnsi="Times New Roman" w:eastAsia="仿宋_GB2312" w:cs="方正仿宋_GBK"/>
          <w:b w:val="0"/>
          <w:bCs w:val="0"/>
          <w:szCs w:val="36"/>
          <w:highlight w:val="none"/>
          <w:lang w:eastAsia="zh-CN"/>
        </w:rPr>
        <w:t>固体废物历史堆存总量与产生强度“双降”。推动工业固废源头减量，引导工业园区、工业企业降低产废强度。推动重点行业固体废物产生量与综合消纳量逐步实现动态平衡。推进建筑垃圾分类处理</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加强建筑</w:t>
      </w:r>
      <w:r>
        <w:rPr>
          <w:rFonts w:hint="eastAsia" w:eastAsia="仿宋_GB2312" w:cs="方正仿宋_GBK"/>
          <w:b w:val="0"/>
          <w:bCs w:val="0"/>
          <w:szCs w:val="36"/>
          <w:highlight w:val="none"/>
          <w:lang w:val="en-US" w:eastAsia="zh-CN"/>
        </w:rPr>
        <w:t>垃圾源头产生、运输过程、后端处置全链条监管，逐步提升全市建筑垃圾综合利用率</w:t>
      </w:r>
      <w:r>
        <w:rPr>
          <w:rFonts w:hint="eastAsia" w:ascii="Times New Roman" w:hAnsi="Times New Roman" w:eastAsia="仿宋_GB2312" w:cs="方正仿宋_GBK"/>
          <w:b w:val="0"/>
          <w:bCs w:val="0"/>
          <w:szCs w:val="36"/>
          <w:highlight w:val="none"/>
          <w:lang w:eastAsia="zh-CN"/>
        </w:rPr>
        <w:t>。推进尾矿污染隐患排查治理，加强重点区域、重点行业重金属污染物排放总量控制和重金属环境安全隐患排查整治。强化危险废物信息化管理。推进</w:t>
      </w:r>
      <w:r>
        <w:rPr>
          <w:rFonts w:hint="eastAsia" w:eastAsia="仿宋_GB2312" w:cs="方正仿宋_GBK"/>
          <w:b w:val="0"/>
          <w:bCs w:val="0"/>
          <w:szCs w:val="36"/>
          <w:highlight w:val="none"/>
          <w:lang w:eastAsia="zh-CN"/>
        </w:rPr>
        <w:t>“无废城市”</w:t>
      </w:r>
      <w:r>
        <w:rPr>
          <w:rFonts w:hint="eastAsia" w:ascii="Times New Roman" w:hAnsi="Times New Roman" w:eastAsia="仿宋_GB2312" w:cs="方正仿宋_GBK"/>
          <w:b w:val="0"/>
          <w:bCs w:val="0"/>
          <w:szCs w:val="36"/>
          <w:highlight w:val="none"/>
          <w:lang w:eastAsia="zh-CN"/>
        </w:rPr>
        <w:t>建设。逐步提高新污染物监测能力和监管水平。</w:t>
      </w:r>
    </w:p>
    <w:p w14:paraId="3656E17F">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pacing w:val="-6"/>
          <w:szCs w:val="36"/>
          <w:highlight w:val="none"/>
          <w:lang w:val="en-US" w:eastAsia="zh-CN"/>
        </w:rPr>
      </w:pPr>
      <w:bookmarkStart w:id="204" w:name="_Toc2152"/>
      <w:r>
        <w:rPr>
          <w:rFonts w:hint="eastAsia" w:ascii="Times New Roman" w:hAnsi="Times New Roman" w:eastAsia="仿宋_GB2312" w:cs="方正仿宋_GBK"/>
          <w:b w:val="0"/>
          <w:bCs w:val="0"/>
          <w:color w:val="auto"/>
          <w:sz w:val="32"/>
          <w:szCs w:val="32"/>
          <w:highlight w:val="none"/>
          <w:lang w:val="en-US" w:eastAsia="zh-CN"/>
        </w:rPr>
        <w:t>加快健全现代环境治理体系</w:t>
      </w:r>
      <w:bookmarkEnd w:id="204"/>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推进生态环境治理标准体系、责任体系、监管体系、市场体系、法规政策体系建设。</w:t>
      </w:r>
      <w:r>
        <w:rPr>
          <w:rFonts w:hint="eastAsia" w:eastAsia="仿宋_GB2312" w:cs="方正仿宋_GBK"/>
          <w:b w:val="0"/>
          <w:bCs w:val="0"/>
          <w:szCs w:val="36"/>
          <w:highlight w:val="none"/>
          <w:lang w:val="en-US" w:eastAsia="zh-CN"/>
        </w:rPr>
        <w:t>落实</w:t>
      </w:r>
      <w:r>
        <w:rPr>
          <w:rFonts w:hint="eastAsia" w:ascii="Times New Roman" w:hAnsi="Times New Roman" w:eastAsia="仿宋_GB2312" w:cs="方正仿宋_GBK"/>
          <w:b w:val="0"/>
          <w:bCs w:val="0"/>
          <w:szCs w:val="36"/>
          <w:highlight w:val="none"/>
          <w:lang w:val="en-US" w:eastAsia="zh-CN"/>
        </w:rPr>
        <w:t>以排污许可制为核心的固定污染源监管制度，推动排污许可与监测、执法部门有效衔接，</w:t>
      </w:r>
      <w:r>
        <w:rPr>
          <w:rFonts w:hint="eastAsia" w:eastAsia="仿宋_GB2312" w:cs="方正仿宋_GBK"/>
          <w:b w:val="0"/>
          <w:bCs w:val="0"/>
          <w:szCs w:val="36"/>
          <w:highlight w:val="none"/>
          <w:lang w:val="en-US" w:eastAsia="zh-CN"/>
        </w:rPr>
        <w:t>完善升级</w:t>
      </w:r>
      <w:r>
        <w:rPr>
          <w:rFonts w:hint="eastAsia" w:ascii="Times New Roman" w:hAnsi="Times New Roman" w:eastAsia="仿宋_GB2312" w:cs="方正仿宋_GBK"/>
          <w:b w:val="0"/>
          <w:bCs w:val="0"/>
          <w:szCs w:val="36"/>
          <w:highlight w:val="none"/>
          <w:lang w:val="en-US" w:eastAsia="zh-CN"/>
        </w:rPr>
        <w:t>污染源自动监测网络体系</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val="en-US" w:eastAsia="zh-CN"/>
        </w:rPr>
        <w:t>推进生态环境分区管控，加强同国土空间规划衔接。建立现代化生态环境监测体系，健全“天空</w:t>
      </w:r>
      <w:r>
        <w:rPr>
          <w:rFonts w:hint="eastAsia" w:eastAsia="仿宋_GB2312" w:cs="方正仿宋_GBK"/>
          <w:b w:val="0"/>
          <w:bCs w:val="0"/>
          <w:szCs w:val="36"/>
          <w:highlight w:val="none"/>
          <w:lang w:val="en-US" w:eastAsia="zh-CN"/>
        </w:rPr>
        <w:t>地”</w:t>
      </w:r>
      <w:r>
        <w:rPr>
          <w:rFonts w:hint="eastAsia" w:ascii="Times New Roman" w:hAnsi="Times New Roman" w:eastAsia="仿宋_GB2312" w:cs="方正仿宋_GBK"/>
          <w:b w:val="0"/>
          <w:bCs w:val="0"/>
          <w:szCs w:val="36"/>
          <w:highlight w:val="none"/>
          <w:lang w:val="en-US" w:eastAsia="zh-CN"/>
        </w:rPr>
        <w:t>一体化监测网络。落实党政领导干部生态环境损害责任追究制度和环境损害赔偿改革制度。</w:t>
      </w:r>
      <w:r>
        <w:rPr>
          <w:rFonts w:hint="eastAsia" w:eastAsia="仿宋_GB2312" w:cs="方正仿宋_GBK"/>
          <w:b w:val="0"/>
          <w:bCs w:val="0"/>
          <w:szCs w:val="36"/>
          <w:highlight w:val="none"/>
          <w:lang w:val="en-US" w:eastAsia="zh-CN"/>
        </w:rPr>
        <w:t>推进</w:t>
      </w:r>
      <w:r>
        <w:rPr>
          <w:rFonts w:hint="eastAsia" w:ascii="Times New Roman" w:hAnsi="Times New Roman" w:eastAsia="仿宋_GB2312" w:cs="方正仿宋_GBK"/>
          <w:b w:val="0"/>
          <w:bCs w:val="0"/>
          <w:szCs w:val="36"/>
          <w:highlight w:val="none"/>
          <w:lang w:eastAsia="zh-CN"/>
        </w:rPr>
        <w:t>美丽城市、美丽乡村建设，鼓励各旗县区结合实际打造一批和美乡村、美丽河湖。</w:t>
      </w:r>
      <w:r>
        <w:rPr>
          <w:rFonts w:hint="eastAsia" w:ascii="Times New Roman" w:hAnsi="Times New Roman" w:eastAsia="仿宋_GB2312" w:cs="方正仿宋_GBK"/>
          <w:b w:val="0"/>
          <w:bCs w:val="0"/>
          <w:szCs w:val="36"/>
          <w:highlight w:val="none"/>
          <w:lang w:val="en-US" w:eastAsia="zh-CN"/>
        </w:rPr>
        <w:t>强化生态警务服务绿色发展，依法严打污染环境、破坏野生动植物资源、非法</w:t>
      </w:r>
      <w:r>
        <w:rPr>
          <w:rFonts w:hint="eastAsia" w:ascii="Times New Roman" w:hAnsi="Times New Roman" w:eastAsia="仿宋_GB2312" w:cs="方正仿宋_GBK"/>
          <w:b w:val="0"/>
          <w:bCs w:val="0"/>
          <w:spacing w:val="-6"/>
          <w:szCs w:val="36"/>
          <w:highlight w:val="none"/>
          <w:lang w:val="en-US" w:eastAsia="zh-CN"/>
        </w:rPr>
        <w:t>开采矿产资源、破坏耕地等环境资源犯罪。持续推进噪声污染防治。</w:t>
      </w:r>
    </w:p>
    <w:p w14:paraId="03CB1ADB">
      <w:pPr>
        <w:keepNext w:val="0"/>
        <w:keepLines w:val="0"/>
        <w:pageBreakBefore w:val="0"/>
        <w:widowControl/>
        <w:numPr>
          <w:ilvl w:val="0"/>
          <w:numId w:val="4"/>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205" w:name="_Toc20217"/>
      <w:bookmarkStart w:id="206" w:name="_Toc30403"/>
      <w:bookmarkStart w:id="207" w:name="_Toc23119"/>
      <w:bookmarkStart w:id="208" w:name="_Toc25169"/>
      <w:bookmarkStart w:id="209" w:name="_Toc4594"/>
      <w:bookmarkStart w:id="210" w:name="_Toc807"/>
      <w:bookmarkStart w:id="211" w:name="_Toc23376"/>
      <w:bookmarkStart w:id="212" w:name="_Toc3898"/>
      <w:bookmarkStart w:id="213" w:name="_Toc22495"/>
      <w:bookmarkStart w:id="214" w:name="_Toc1348"/>
      <w:bookmarkStart w:id="215" w:name="_Toc3"/>
      <w:bookmarkStart w:id="216" w:name="_Toc26803"/>
      <w:bookmarkStart w:id="217" w:name="_Toc28755"/>
      <w:bookmarkStart w:id="218" w:name="_Toc19106"/>
      <w:r>
        <w:rPr>
          <w:rFonts w:hint="eastAsia" w:ascii="楷体_GB2312" w:hAnsi="楷体_GB2312" w:eastAsia="楷体_GB2312" w:cs="楷体_GB2312"/>
          <w:b w:val="0"/>
          <w:bCs w:val="0"/>
          <w:color w:val="auto"/>
          <w:sz w:val="32"/>
          <w:szCs w:val="40"/>
          <w:highlight w:val="none"/>
          <w:lang w:val="en-US" w:eastAsia="zh-CN"/>
        </w:rPr>
        <w:t>加强生态系统保护和修复</w:t>
      </w:r>
      <w:bookmarkEnd w:id="197"/>
      <w:bookmarkEnd w:id="198"/>
      <w:bookmarkEnd w:id="199"/>
      <w:bookmarkEnd w:id="200"/>
      <w:bookmarkEnd w:id="201"/>
      <w:bookmarkEnd w:id="202"/>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47313B39">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val="en-US" w:eastAsia="zh-CN"/>
        </w:rPr>
      </w:pPr>
      <w:r>
        <w:rPr>
          <w:rFonts w:hint="eastAsia" w:ascii="Times New Roman" w:hAnsi="Times New Roman" w:eastAsia="仿宋_GB2312" w:cs="方正仿宋_GBK"/>
          <w:b w:val="0"/>
          <w:bCs w:val="0"/>
          <w:szCs w:val="36"/>
          <w:highlight w:val="none"/>
          <w:lang w:val="en-US" w:eastAsia="zh-CN"/>
        </w:rPr>
        <w:t>着力加强生态保护修复，统筹推进山水林田湖草沙一体化保护和系统治理，全面推进自然保护地建设，实施生物多样性保护工程，不断提升</w:t>
      </w:r>
      <w:r>
        <w:rPr>
          <w:rFonts w:hint="eastAsia" w:ascii="Times New Roman" w:hAnsi="Times New Roman" w:eastAsia="仿宋_GB2312" w:cs="方正仿宋_GBK"/>
          <w:b w:val="0"/>
          <w:bCs w:val="0"/>
          <w:szCs w:val="36"/>
          <w:highlight w:val="none"/>
          <w:lang w:eastAsia="zh-CN"/>
        </w:rPr>
        <w:t>生态系统多样性、稳定性、持续性</w:t>
      </w:r>
      <w:r>
        <w:rPr>
          <w:rFonts w:hint="eastAsia" w:ascii="Times New Roman" w:hAnsi="Times New Roman" w:eastAsia="仿宋_GB2312" w:cs="方正仿宋_GBK"/>
          <w:b w:val="0"/>
          <w:bCs w:val="0"/>
          <w:szCs w:val="36"/>
          <w:highlight w:val="none"/>
          <w:lang w:val="en-US" w:eastAsia="zh-CN"/>
        </w:rPr>
        <w:t>。</w:t>
      </w:r>
    </w:p>
    <w:p w14:paraId="4D28DA27">
      <w:pPr>
        <w:pStyle w:val="43"/>
        <w:keepNext w:val="0"/>
        <w:keepLines w:val="0"/>
        <w:pageBreakBefore w:val="0"/>
        <w:shd w:val="clear" w:color="auto" w:fill="auto"/>
        <w:kinsoku/>
        <w:wordWrap/>
        <w:topLinePunct w:val="0"/>
        <w:autoSpaceDE/>
        <w:autoSpaceDN/>
        <w:bidi w:val="0"/>
        <w:adjustRightInd/>
        <w:spacing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bookmarkStart w:id="219" w:name="_Toc4851"/>
      <w:r>
        <w:rPr>
          <w:rFonts w:hint="eastAsia" w:ascii="Times New Roman" w:hAnsi="Times New Roman" w:eastAsia="仿宋_GB2312" w:cs="方正仿宋_GBK"/>
          <w:b w:val="0"/>
          <w:bCs w:val="0"/>
          <w:color w:val="auto"/>
          <w:szCs w:val="32"/>
          <w:highlight w:val="none"/>
          <w:lang w:val="en-US" w:eastAsia="zh-CN"/>
        </w:rPr>
        <w:t>科学开展国土绿化</w:t>
      </w:r>
      <w:bookmarkEnd w:id="219"/>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坚持造林与护林并重，全面落实林</w:t>
      </w:r>
      <w:r>
        <w:rPr>
          <w:rFonts w:hint="eastAsia" w:eastAsia="仿宋_GB2312" w:cs="方正仿宋_GBK"/>
          <w:b w:val="0"/>
          <w:bCs w:val="0"/>
          <w:szCs w:val="36"/>
          <w:highlight w:val="none"/>
          <w:lang w:val="en-US" w:eastAsia="zh-CN"/>
        </w:rPr>
        <w:t>草</w:t>
      </w:r>
      <w:r>
        <w:rPr>
          <w:rFonts w:hint="eastAsia" w:ascii="Times New Roman" w:hAnsi="Times New Roman" w:eastAsia="仿宋_GB2312" w:cs="方正仿宋_GBK"/>
          <w:b w:val="0"/>
          <w:bCs w:val="0"/>
          <w:szCs w:val="36"/>
          <w:highlight w:val="none"/>
          <w:lang w:eastAsia="zh-CN"/>
        </w:rPr>
        <w:t>长制、天然林保护与修复等制度。严格执行林地总量控制、定额管理和林地审核审批制度，加强天然林、公益林保护管理，确保到2030年森林覆盖率达到</w:t>
      </w:r>
      <w:r>
        <w:rPr>
          <w:rFonts w:hint="eastAsia" w:ascii="Times New Roman" w:hAnsi="Times New Roman" w:eastAsia="仿宋_GB2312" w:cs="方正仿宋_GBK"/>
          <w:b w:val="0"/>
          <w:bCs w:val="0"/>
          <w:szCs w:val="36"/>
          <w:highlight w:val="none"/>
          <w:lang w:val="en-US" w:eastAsia="zh-CN"/>
        </w:rPr>
        <w:t>34.</w:t>
      </w:r>
      <w:r>
        <w:rPr>
          <w:rFonts w:hint="eastAsia" w:eastAsia="仿宋_GB2312" w:cs="方正仿宋_GBK"/>
          <w:b w:val="0"/>
          <w:bCs w:val="0"/>
          <w:szCs w:val="36"/>
          <w:highlight w:val="none"/>
          <w:lang w:val="en-US" w:eastAsia="zh-CN"/>
        </w:rPr>
        <w:t>5</w:t>
      </w:r>
      <w:r>
        <w:rPr>
          <w:rFonts w:hint="eastAsia" w:ascii="Times New Roman" w:hAnsi="Times New Roman" w:eastAsia="仿宋_GB2312" w:cs="方正仿宋_GBK"/>
          <w:b w:val="0"/>
          <w:bCs w:val="0"/>
          <w:szCs w:val="36"/>
          <w:highlight w:val="none"/>
          <w:lang w:val="en-US" w:eastAsia="zh-CN"/>
        </w:rPr>
        <w:t>%、</w:t>
      </w:r>
      <w:r>
        <w:rPr>
          <w:rFonts w:hint="eastAsia" w:eastAsia="仿宋_GB2312" w:cs="方正仿宋_GBK"/>
          <w:b w:val="0"/>
          <w:bCs w:val="0"/>
          <w:szCs w:val="36"/>
          <w:highlight w:val="none"/>
          <w:lang w:val="en-US" w:eastAsia="zh-CN"/>
        </w:rPr>
        <w:t>国家级</w:t>
      </w:r>
      <w:r>
        <w:rPr>
          <w:rFonts w:hint="eastAsia" w:ascii="Times New Roman" w:hAnsi="Times New Roman" w:eastAsia="仿宋_GB2312" w:cs="方正仿宋_GBK"/>
          <w:b w:val="0"/>
          <w:bCs w:val="0"/>
          <w:szCs w:val="36"/>
          <w:highlight w:val="none"/>
          <w:lang w:eastAsia="zh-CN"/>
        </w:rPr>
        <w:t>公益林面积稳定在2900万亩以上。加强森林防火和有害生物防治，健全防灾减灾救灾体系。严格草原分区用途管控和基本草原占补平衡，禁止随意改变生态保护红线内的草原用途。坚持以草定畜，摸清草原健康和退化情况，</w:t>
      </w:r>
      <w:r>
        <w:rPr>
          <w:rFonts w:hint="eastAsia" w:eastAsia="仿宋_GB2312" w:cs="方正仿宋_GBK"/>
          <w:b w:val="0"/>
          <w:bCs w:val="0"/>
          <w:szCs w:val="36"/>
          <w:highlight w:val="none"/>
          <w:lang w:val="en-US" w:eastAsia="zh-CN"/>
        </w:rPr>
        <w:t>全市草畜平衡指数稳定在10%以下</w:t>
      </w:r>
      <w:r>
        <w:rPr>
          <w:rFonts w:hint="eastAsia" w:ascii="Times New Roman" w:hAnsi="Times New Roman" w:eastAsia="仿宋_GB2312" w:cs="方正仿宋_GBK"/>
          <w:b w:val="0"/>
          <w:bCs w:val="0"/>
          <w:szCs w:val="36"/>
          <w:highlight w:val="none"/>
          <w:lang w:eastAsia="zh-CN"/>
        </w:rPr>
        <w:t>。鼓励利用一般耕地、退耕还草地等发展人工饲草和草种业，建设一批优质饲草基地，实施草畜一体化发展。科学划定保护修复区域，开展人工种草与天然草原改良，加快退化、沙化草原治理，提升草原品质和生态功能。落实草原生态保护补助奖励政策，提高草原保险覆盖面和保障水平。到203</w:t>
      </w:r>
      <w:r>
        <w:rPr>
          <w:rFonts w:hint="eastAsia" w:ascii="Times New Roman" w:hAnsi="Times New Roman" w:eastAsia="仿宋_GB2312" w:cs="方正仿宋_GBK"/>
          <w:b w:val="0"/>
          <w:bCs w:val="0"/>
          <w:szCs w:val="36"/>
          <w:highlight w:val="none"/>
          <w:lang w:val="en-US" w:eastAsia="zh-CN"/>
        </w:rPr>
        <w:t>0</w:t>
      </w:r>
      <w:r>
        <w:rPr>
          <w:rFonts w:hint="eastAsia" w:ascii="Times New Roman" w:hAnsi="Times New Roman" w:eastAsia="仿宋_GB2312" w:cs="方正仿宋_GBK"/>
          <w:b w:val="0"/>
          <w:bCs w:val="0"/>
          <w:szCs w:val="36"/>
          <w:highlight w:val="none"/>
          <w:lang w:eastAsia="zh-CN"/>
        </w:rPr>
        <w:t>年，草原综合植被盖度稳定在</w:t>
      </w:r>
      <w:r>
        <w:rPr>
          <w:rFonts w:hint="eastAsia" w:eastAsia="仿宋_GB2312" w:cs="方正仿宋_GBK"/>
          <w:b w:val="0"/>
          <w:bCs w:val="0"/>
          <w:szCs w:val="36"/>
          <w:highlight w:val="none"/>
          <w:lang w:val="en-US" w:eastAsia="zh-CN"/>
        </w:rPr>
        <w:t>63</w:t>
      </w:r>
      <w:r>
        <w:rPr>
          <w:rFonts w:hint="eastAsia" w:ascii="Times New Roman" w:hAnsi="Times New Roman" w:eastAsia="仿宋_GB2312" w:cs="方正仿宋_GBK"/>
          <w:b w:val="0"/>
          <w:bCs w:val="0"/>
          <w:szCs w:val="36"/>
          <w:highlight w:val="none"/>
          <w:lang w:eastAsia="zh-CN"/>
        </w:rPr>
        <w:t>％以上。</w:t>
      </w:r>
    </w:p>
    <w:p w14:paraId="2C15829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220" w:name="_Toc30564"/>
      <w:r>
        <w:rPr>
          <w:rFonts w:hint="eastAsia" w:ascii="Times New Roman" w:hAnsi="Times New Roman" w:eastAsia="仿宋_GB2312" w:cs="方正仿宋_GBK"/>
          <w:b w:val="0"/>
          <w:bCs w:val="0"/>
          <w:color w:val="auto"/>
          <w:szCs w:val="32"/>
          <w:highlight w:val="none"/>
          <w:lang w:eastAsia="zh-CN"/>
        </w:rPr>
        <w:t>统筹山水林田湖草沙一体化保护</w:t>
      </w:r>
      <w:bookmarkEnd w:id="220"/>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szCs w:val="36"/>
          <w:highlight w:val="none"/>
          <w:lang w:eastAsia="zh-CN"/>
        </w:rPr>
        <w:t>以西辽河流域为重点，系统推进水生态保护与修复工程，强化老哈河</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val="en-US" w:eastAsia="zh-CN"/>
        </w:rPr>
        <w:t>西拉沐沦河、阴河</w:t>
      </w:r>
      <w:r>
        <w:rPr>
          <w:rFonts w:hint="eastAsia" w:ascii="Times New Roman" w:hAnsi="Times New Roman" w:eastAsia="仿宋_GB2312" w:cs="方正仿宋_GBK"/>
          <w:b w:val="0"/>
          <w:bCs w:val="0"/>
          <w:szCs w:val="36"/>
          <w:highlight w:val="none"/>
          <w:lang w:eastAsia="zh-CN"/>
        </w:rPr>
        <w:t>等干支流水环境综合治理，大力推进小流域综合治理。严格落实河湖长制，持续开展“清四乱”、入河排污口排查整治、河道采砂规范管理等专项行动，保障国控断面水质稳定达标。推进水源涵养林建设与水土流失治理，</w:t>
      </w:r>
      <w:r>
        <w:rPr>
          <w:rFonts w:hint="eastAsia" w:ascii="Times New Roman" w:hAnsi="Times New Roman" w:eastAsia="仿宋_GB2312" w:cs="方正仿宋_GBK"/>
          <w:b w:val="0"/>
          <w:bCs w:val="0"/>
          <w:szCs w:val="36"/>
          <w:highlight w:val="none"/>
          <w:lang w:val="en-US" w:eastAsia="zh-CN"/>
        </w:rPr>
        <w:t>加强水域岸线空间管控，</w:t>
      </w:r>
      <w:r>
        <w:rPr>
          <w:rFonts w:hint="eastAsia" w:ascii="Times New Roman" w:hAnsi="Times New Roman" w:eastAsia="仿宋_GB2312" w:cs="方正仿宋_GBK"/>
          <w:b w:val="0"/>
          <w:bCs w:val="0"/>
          <w:szCs w:val="36"/>
          <w:highlight w:val="none"/>
          <w:lang w:eastAsia="zh-CN"/>
        </w:rPr>
        <w:t>实施重要湿地和河湖滨岸带生态修复。以重要生态功能区、敏感区和脆弱区为重点，统筹实施防风固沙、水源涵养、水土保持等工程。强化跨部门、跨区域协同，整合林草、水利、农牧</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气象</w:t>
      </w:r>
      <w:r>
        <w:rPr>
          <w:rFonts w:hint="eastAsia" w:ascii="Times New Roman" w:hAnsi="Times New Roman" w:eastAsia="仿宋_GB2312" w:cs="方正仿宋_GBK"/>
          <w:b w:val="0"/>
          <w:bCs w:val="0"/>
          <w:szCs w:val="36"/>
          <w:highlight w:val="none"/>
          <w:lang w:eastAsia="zh-CN"/>
        </w:rPr>
        <w:t>等领域治理措施，推动治沙、保水、护林、育草协同增效。</w:t>
      </w:r>
      <w:bookmarkStart w:id="221" w:name="_Hlk208404991"/>
    </w:p>
    <w:p w14:paraId="2F4652E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222" w:name="_Toc4785"/>
      <w:r>
        <w:rPr>
          <w:rFonts w:hint="eastAsia" w:ascii="Times New Roman" w:hAnsi="Times New Roman" w:eastAsia="仿宋_GB2312" w:cs="方正仿宋_GBK"/>
          <w:b w:val="0"/>
          <w:bCs w:val="0"/>
          <w:color w:val="auto"/>
          <w:szCs w:val="32"/>
          <w:highlight w:val="none"/>
          <w:lang w:eastAsia="zh-CN"/>
        </w:rPr>
        <w:t>加强生物多样性保护</w:t>
      </w:r>
      <w:bookmarkEnd w:id="222"/>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szCs w:val="36"/>
          <w:highlight w:val="none"/>
          <w:lang w:eastAsia="zh-CN"/>
        </w:rPr>
        <w:t>持续开展生物多样性调查、监测和评估，建立健</w:t>
      </w:r>
      <w:r>
        <w:rPr>
          <w:rFonts w:hint="eastAsia" w:eastAsia="仿宋_GB2312" w:cs="方正仿宋_GBK"/>
          <w:b w:val="0"/>
          <w:bCs w:val="0"/>
          <w:szCs w:val="36"/>
          <w:highlight w:val="none"/>
          <w:lang w:eastAsia="zh-CN"/>
        </w:rPr>
        <w:t>全生</w:t>
      </w:r>
      <w:r>
        <w:rPr>
          <w:rFonts w:hint="eastAsia" w:ascii="Times New Roman" w:hAnsi="Times New Roman" w:eastAsia="仿宋_GB2312" w:cs="方正仿宋_GBK"/>
          <w:b w:val="0"/>
          <w:bCs w:val="0"/>
          <w:szCs w:val="36"/>
          <w:highlight w:val="none"/>
          <w:lang w:eastAsia="zh-CN"/>
        </w:rPr>
        <w:t>物多样性监测网络和数据库。加强国家重点保护和珍稀危野生动植物及其栖息地、原生境保护修复，重点加强达里诺尔国家级自然保护区、乌兰坝国家级自然保护区及白音敖包沙地云杉林等关键区域保护，强化生态廊道建设。完善野生动物疫源病防控体系，开展外来入侵物种专项整治行动。全面禁止非法野生动物交易，严厉打击非法捕猎、采集和贸易活动。</w:t>
      </w:r>
      <w:bookmarkEnd w:id="221"/>
    </w:p>
    <w:p w14:paraId="0D858138">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6"/>
          <w:szCs w:val="36"/>
          <w:highlight w:val="none"/>
          <w:lang w:val="en-US" w:eastAsia="zh-CN"/>
        </w:rPr>
      </w:pPr>
      <w:r>
        <w:rPr>
          <w:rFonts w:hint="eastAsia" w:eastAsia="仿宋_GB2312" w:cs="方正仿宋_GBK"/>
          <w:b w:val="0"/>
          <w:bCs w:val="0"/>
          <w:color w:val="auto"/>
          <w:szCs w:val="32"/>
          <w:highlight w:val="none"/>
          <w:lang w:val="en-US" w:eastAsia="zh-CN"/>
        </w:rPr>
        <w:t>完善生态文明制度体系。</w:t>
      </w:r>
      <w:r>
        <w:rPr>
          <w:rFonts w:hint="eastAsia" w:ascii="Times New Roman" w:hAnsi="Times New Roman" w:eastAsia="仿宋_GB2312" w:cs="方正仿宋_GBK"/>
          <w:b w:val="0"/>
          <w:bCs w:val="0"/>
          <w:szCs w:val="36"/>
          <w:highlight w:val="none"/>
          <w:lang w:val="en-US" w:eastAsia="zh-CN"/>
        </w:rPr>
        <w:t>健全山水林田湖草沙一体化保护和系统治理机制，</w:t>
      </w:r>
      <w:r>
        <w:rPr>
          <w:rFonts w:hint="eastAsia" w:eastAsia="仿宋_GB2312" w:cs="方正仿宋_GBK"/>
          <w:b w:val="0"/>
          <w:bCs w:val="0"/>
          <w:szCs w:val="36"/>
          <w:highlight w:val="none"/>
          <w:lang w:val="en-US" w:eastAsia="zh-CN"/>
        </w:rPr>
        <w:t>完</w:t>
      </w:r>
      <w:r>
        <w:rPr>
          <w:rFonts w:hint="eastAsia" w:ascii="Times New Roman" w:hAnsi="Times New Roman" w:eastAsia="仿宋_GB2312" w:cs="方正仿宋_GBK"/>
          <w:b w:val="0"/>
          <w:bCs w:val="0"/>
          <w:szCs w:val="36"/>
          <w:highlight w:val="none"/>
          <w:lang w:val="en-US" w:eastAsia="zh-CN"/>
        </w:rPr>
        <w:t>善多元化生态保护修复投入机制。</w:t>
      </w:r>
      <w:r>
        <w:rPr>
          <w:rFonts w:hint="eastAsia" w:ascii="仿宋_GB2312" w:hAnsi="仿宋_GB2312" w:eastAsia="仿宋_GB2312" w:cs="仿宋_GB2312"/>
          <w:b w:val="0"/>
          <w:bCs w:val="0"/>
          <w:sz w:val="32"/>
          <w:szCs w:val="32"/>
          <w:highlight w:val="none"/>
          <w:u w:val="none" w:color="auto"/>
          <w:lang w:val="en-US" w:eastAsia="zh-CN"/>
        </w:rPr>
        <w:t>健全生态环境治理体系，完善生态环境保护体制机制，开展生态保护修复成效评估。完善自然保</w:t>
      </w:r>
      <w:r>
        <w:rPr>
          <w:rFonts w:hint="eastAsia" w:ascii="仿宋_GB2312" w:hAnsi="仿宋_GB2312" w:eastAsia="仿宋_GB2312" w:cs="仿宋_GB2312"/>
          <w:b w:val="0"/>
          <w:bCs w:val="0"/>
          <w:spacing w:val="-6"/>
          <w:sz w:val="32"/>
          <w:szCs w:val="32"/>
          <w:highlight w:val="none"/>
          <w:u w:val="none" w:color="auto"/>
          <w:lang w:val="en-US" w:eastAsia="zh-CN"/>
        </w:rPr>
        <w:t>护地、生态保护红线监管制度。</w:t>
      </w:r>
      <w:r>
        <w:rPr>
          <w:rFonts w:hint="eastAsia" w:ascii="Times New Roman" w:hAnsi="Times New Roman" w:eastAsia="仿宋_GB2312" w:cs="方正仿宋_GBK"/>
          <w:b w:val="0"/>
          <w:bCs w:val="0"/>
          <w:spacing w:val="-6"/>
          <w:szCs w:val="36"/>
          <w:highlight w:val="none"/>
          <w:lang w:val="en-US" w:eastAsia="zh-CN"/>
        </w:rPr>
        <w:t>巩固喀喇沁旗“绿水青山就是金山银山”实践创新基地建设成果</w:t>
      </w:r>
      <w:r>
        <w:rPr>
          <w:rFonts w:hint="eastAsia" w:eastAsia="仿宋_GB2312" w:cs="方正仿宋_GBK"/>
          <w:b w:val="0"/>
          <w:bCs w:val="0"/>
          <w:spacing w:val="-6"/>
          <w:szCs w:val="36"/>
          <w:highlight w:val="none"/>
          <w:lang w:val="en-US" w:eastAsia="zh-CN"/>
        </w:rPr>
        <w:t>。</w:t>
      </w:r>
      <w:r>
        <w:rPr>
          <w:rFonts w:hint="eastAsia" w:ascii="Times New Roman" w:hAnsi="Times New Roman" w:eastAsia="仿宋_GB2312" w:cs="方正仿宋_GBK"/>
          <w:b w:val="0"/>
          <w:bCs w:val="0"/>
          <w:spacing w:val="-6"/>
          <w:szCs w:val="36"/>
          <w:highlight w:val="none"/>
          <w:lang w:val="en-US" w:eastAsia="zh-CN"/>
        </w:rPr>
        <w:t>协同做好生态治理，分级分类建立生态警务工作站点，构建立体化、多维度、多层圈生态防护体系。</w:t>
      </w:r>
    </w:p>
    <w:p w14:paraId="60258218">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223" w:name="_Toc18231"/>
      <w:bookmarkStart w:id="224" w:name="_Toc27016"/>
      <w:bookmarkStart w:id="225" w:name="_Toc17671"/>
      <w:bookmarkStart w:id="226" w:name="_Toc32060"/>
      <w:bookmarkStart w:id="227" w:name="_Toc26588"/>
      <w:bookmarkStart w:id="228" w:name="_Toc23145"/>
      <w:bookmarkStart w:id="229" w:name="_Toc5847"/>
      <w:bookmarkStart w:id="230" w:name="_Toc4219"/>
      <w:bookmarkStart w:id="231" w:name="_Toc20189"/>
      <w:bookmarkStart w:id="232" w:name="_Toc19937"/>
      <w:bookmarkStart w:id="233" w:name="_Toc1560"/>
      <w:bookmarkStart w:id="234" w:name="_Toc4891"/>
      <w:bookmarkStart w:id="235" w:name="_Toc26037"/>
      <w:bookmarkStart w:id="236" w:name="_Toc21708"/>
      <w:bookmarkStart w:id="237" w:name="_Toc24286"/>
      <w:bookmarkStart w:id="238" w:name="_Toc26333"/>
      <w:bookmarkStart w:id="239" w:name="_Toc32415"/>
      <w:bookmarkStart w:id="240" w:name="_Toc18651"/>
      <w:bookmarkStart w:id="241" w:name="_Toc6547"/>
      <w:bookmarkStart w:id="242" w:name="_Toc23419"/>
      <w:bookmarkStart w:id="243" w:name="_Toc9875"/>
      <w:bookmarkStart w:id="244" w:name="_Toc13394"/>
      <w:bookmarkStart w:id="245" w:name="_Toc29711"/>
      <w:r>
        <w:rPr>
          <w:rFonts w:hint="eastAsia" w:ascii="楷体_GB2312" w:hAnsi="楷体_GB2312" w:eastAsia="楷体_GB2312" w:cs="楷体_GB2312"/>
          <w:b w:val="0"/>
          <w:bCs w:val="0"/>
          <w:color w:val="auto"/>
          <w:sz w:val="32"/>
          <w:szCs w:val="40"/>
          <w:highlight w:val="none"/>
          <w:lang w:val="en-US" w:eastAsia="zh-CN"/>
        </w:rPr>
        <w:t>推动生态产品价值实现</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3CF6DEB3">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eastAsia="zh-CN"/>
        </w:rPr>
      </w:pPr>
      <w:r>
        <w:rPr>
          <w:rFonts w:hint="eastAsia" w:eastAsia="仿宋_GB2312" w:cs="方正仿宋_GBK"/>
          <w:b w:val="0"/>
          <w:bCs w:val="0"/>
          <w:szCs w:val="36"/>
          <w:highlight w:val="none"/>
          <w:lang w:val="en-US" w:eastAsia="zh-CN"/>
        </w:rPr>
        <w:t>积极探索推广绿水青山转化为金山银山的路径，</w:t>
      </w:r>
      <w:r>
        <w:rPr>
          <w:rFonts w:hint="eastAsia" w:ascii="Times New Roman" w:hAnsi="Times New Roman" w:eastAsia="仿宋_GB2312" w:cs="方正仿宋_GBK"/>
          <w:b w:val="0"/>
          <w:bCs w:val="0"/>
          <w:szCs w:val="36"/>
          <w:highlight w:val="none"/>
          <w:lang w:eastAsia="zh-CN"/>
        </w:rPr>
        <w:t>探索政府主导、企业和社会各界参与、市场化运作、可持续的生态产品价值实现路径，推动生态优势转化为发展优势。</w:t>
      </w:r>
    </w:p>
    <w:p w14:paraId="74C59F6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246" w:name="_Toc14419"/>
      <w:r>
        <w:rPr>
          <w:rFonts w:hint="eastAsia" w:ascii="Times New Roman" w:hAnsi="Times New Roman" w:eastAsia="仿宋_GB2312" w:cs="方正仿宋_GBK"/>
          <w:b w:val="0"/>
          <w:bCs w:val="0"/>
          <w:color w:val="auto"/>
          <w:szCs w:val="32"/>
          <w:highlight w:val="none"/>
          <w:lang w:eastAsia="zh-CN"/>
        </w:rPr>
        <w:t>夯实生态产品价值实现基础</w:t>
      </w:r>
      <w:bookmarkEnd w:id="246"/>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szCs w:val="36"/>
          <w:highlight w:val="none"/>
          <w:lang w:eastAsia="zh-CN"/>
        </w:rPr>
        <w:t>建立生态产品信息普查机制，全面摸清各类生态产品数量、质量等底数，形成生态产品目录清单。建立生态产品动态监测制度，及时跟踪掌握生态产品变化情况。深化生态产品价值核算和结果运用，</w:t>
      </w:r>
      <w:r>
        <w:rPr>
          <w:rFonts w:hint="eastAsia" w:ascii="Times New Roman" w:hAnsi="Times New Roman" w:eastAsia="仿宋_GB2312" w:cs="方正仿宋_GBK"/>
          <w:b w:val="0"/>
          <w:bCs w:val="0"/>
          <w:szCs w:val="36"/>
          <w:highlight w:val="none"/>
          <w:lang w:val="en-US" w:eastAsia="zh-CN"/>
        </w:rPr>
        <w:t>充分用好全市全空间生态产品全指标、全周期、全口径的“四全”评估结果，</w:t>
      </w:r>
      <w:r>
        <w:rPr>
          <w:rFonts w:hint="eastAsia" w:ascii="Times New Roman" w:hAnsi="Times New Roman" w:eastAsia="仿宋_GB2312" w:cs="方正仿宋_GBK"/>
          <w:b w:val="0"/>
          <w:bCs w:val="0"/>
          <w:szCs w:val="36"/>
          <w:highlight w:val="none"/>
          <w:lang w:eastAsia="zh-CN"/>
        </w:rPr>
        <w:t>探索建立体现市场供需关系的生态产品价格形成机制，</w:t>
      </w:r>
      <w:r>
        <w:rPr>
          <w:rFonts w:hint="eastAsia" w:ascii="Times New Roman" w:hAnsi="Times New Roman" w:eastAsia="仿宋_GB2312" w:cs="方正仿宋_GBK"/>
          <w:b w:val="0"/>
          <w:bCs w:val="0"/>
          <w:szCs w:val="36"/>
          <w:highlight w:val="none"/>
          <w:lang w:val="en-US" w:eastAsia="zh-CN"/>
        </w:rPr>
        <w:t>着力推动价值转化。</w:t>
      </w:r>
      <w:r>
        <w:rPr>
          <w:rFonts w:hint="eastAsia" w:ascii="Times New Roman" w:hAnsi="Times New Roman" w:eastAsia="仿宋_GB2312" w:cs="方正仿宋_GBK"/>
          <w:b w:val="0"/>
          <w:bCs w:val="0"/>
          <w:szCs w:val="36"/>
          <w:highlight w:val="none"/>
          <w:lang w:eastAsia="zh-CN"/>
        </w:rPr>
        <w:t>开展生态产品价值核算，在条件成熟的</w:t>
      </w:r>
      <w:r>
        <w:rPr>
          <w:rFonts w:hint="eastAsia" w:ascii="Times New Roman" w:hAnsi="Times New Roman" w:eastAsia="仿宋_GB2312" w:cs="方正仿宋_GBK"/>
          <w:b w:val="0"/>
          <w:bCs w:val="0"/>
          <w:szCs w:val="36"/>
          <w:highlight w:val="none"/>
          <w:lang w:val="en-US" w:eastAsia="zh-CN"/>
        </w:rPr>
        <w:t>旗县区</w:t>
      </w:r>
      <w:r>
        <w:rPr>
          <w:rFonts w:hint="eastAsia" w:ascii="Times New Roman" w:hAnsi="Times New Roman" w:eastAsia="仿宋_GB2312" w:cs="方正仿宋_GBK"/>
          <w:b w:val="0"/>
          <w:bCs w:val="0"/>
          <w:szCs w:val="36"/>
          <w:highlight w:val="none"/>
          <w:lang w:eastAsia="zh-CN"/>
        </w:rPr>
        <w:t>先行探索GEP核算应用。</w:t>
      </w:r>
    </w:p>
    <w:p w14:paraId="15552AD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247" w:name="_Toc22900"/>
      <w:r>
        <w:rPr>
          <w:rFonts w:hint="eastAsia" w:ascii="Times New Roman" w:hAnsi="Times New Roman" w:eastAsia="仿宋_GB2312" w:cs="方正仿宋_GBK"/>
          <w:b w:val="0"/>
          <w:bCs w:val="0"/>
          <w:color w:val="auto"/>
          <w:szCs w:val="32"/>
          <w:highlight w:val="none"/>
          <w:lang w:val="en-US" w:eastAsia="zh-CN"/>
        </w:rPr>
        <w:t>强化生态产品价值实现保障</w:t>
      </w:r>
      <w:bookmarkEnd w:id="247"/>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加大绿色金融支持力度，</w:t>
      </w:r>
      <w:r>
        <w:rPr>
          <w:rFonts w:hint="eastAsia" w:eastAsia="仿宋_GB2312" w:cs="方正仿宋_GBK"/>
          <w:b w:val="0"/>
          <w:bCs w:val="0"/>
          <w:szCs w:val="36"/>
          <w:highlight w:val="none"/>
          <w:lang w:val="en-US" w:eastAsia="zh-CN"/>
        </w:rPr>
        <w:t>在</w:t>
      </w:r>
      <w:r>
        <w:rPr>
          <w:rFonts w:hint="eastAsia" w:ascii="Times New Roman" w:hAnsi="Times New Roman" w:eastAsia="仿宋_GB2312" w:cs="方正仿宋_GBK"/>
          <w:b w:val="0"/>
          <w:bCs w:val="0"/>
          <w:szCs w:val="36"/>
          <w:highlight w:val="none"/>
          <w:lang w:val="en-US" w:eastAsia="zh-CN"/>
        </w:rPr>
        <w:t>授信政策、资源配置等方面给予支持，强化绿色金融产品和服务创新，为重要生态修复项目提供中长期资金支持。不断提升绿色金融服务质效，支持引导银行机构绿色信贷产品服务支撑传统能源清洁高效利用、道路及园林绿化、风力发电、光伏治沙生态修复等领域。健全生态产品保护补偿机制，积极争取中央和自治区财政转移支付支持。</w:t>
      </w:r>
    </w:p>
    <w:p w14:paraId="7463C3F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248" w:name="_Toc30514"/>
      <w:r>
        <w:rPr>
          <w:rFonts w:hint="eastAsia" w:ascii="Times New Roman" w:hAnsi="Times New Roman" w:eastAsia="仿宋_GB2312" w:cs="方正仿宋_GBK"/>
          <w:b w:val="0"/>
          <w:bCs w:val="0"/>
          <w:color w:val="auto"/>
          <w:szCs w:val="32"/>
          <w:highlight w:val="none"/>
          <w:lang w:val="en-US" w:eastAsia="zh-CN"/>
        </w:rPr>
        <w:t>促进重点领域生态产品价值实现</w:t>
      </w:r>
      <w:bookmarkEnd w:id="248"/>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围绕森林、荒漠等重点领域，积极探索生态产品价值实现路径。促进森林生态产品价值实现，立足资源优势</w:t>
      </w:r>
      <w:r>
        <w:rPr>
          <w:rFonts w:hint="eastAsia" w:eastAsia="仿宋_GB2312" w:cs="方正仿宋_GBK"/>
          <w:b w:val="0"/>
          <w:bCs w:val="0"/>
          <w:szCs w:val="36"/>
          <w:highlight w:val="none"/>
          <w:lang w:val="en-US" w:eastAsia="zh-CN"/>
        </w:rPr>
        <w:t>发展</w:t>
      </w:r>
      <w:r>
        <w:rPr>
          <w:rFonts w:hint="eastAsia" w:ascii="Times New Roman" w:hAnsi="Times New Roman" w:eastAsia="仿宋_GB2312" w:cs="方正仿宋_GBK"/>
          <w:b w:val="0"/>
          <w:bCs w:val="0"/>
          <w:szCs w:val="36"/>
          <w:highlight w:val="none"/>
          <w:lang w:val="en-US" w:eastAsia="zh-CN"/>
        </w:rPr>
        <w:t>林下经济，重点发展林下种植、林下养殖、森林康养等产业。促进荒漠生态产品价值实现，依托“三北”</w:t>
      </w:r>
      <w:r>
        <w:rPr>
          <w:rFonts w:hint="eastAsia" w:eastAsia="仿宋_GB2312" w:cs="方正仿宋_GBK"/>
          <w:b w:val="0"/>
          <w:bCs w:val="0"/>
          <w:szCs w:val="36"/>
          <w:highlight w:val="none"/>
          <w:lang w:val="en-US" w:eastAsia="zh-CN"/>
        </w:rPr>
        <w:t>六期</w:t>
      </w:r>
      <w:r>
        <w:rPr>
          <w:rFonts w:hint="eastAsia" w:ascii="Times New Roman" w:hAnsi="Times New Roman" w:eastAsia="仿宋_GB2312" w:cs="方正仿宋_GBK"/>
          <w:b w:val="0"/>
          <w:bCs w:val="0"/>
          <w:szCs w:val="36"/>
          <w:highlight w:val="none"/>
          <w:lang w:val="en-US" w:eastAsia="zh-CN"/>
        </w:rPr>
        <w:t>等重点生态工程，通过植树造林、发展特色种养、沙地旅游等，有效融入治沙和生态产业链条，实现生态效益与经济效益双赢。</w:t>
      </w:r>
      <w:r>
        <w:rPr>
          <w:rFonts w:hint="eastAsia" w:ascii="Times New Roman" w:hAnsi="Times New Roman" w:eastAsia="仿宋_GB2312" w:cs="方正仿宋_GBK"/>
          <w:b w:val="0"/>
          <w:bCs w:val="0"/>
          <w:szCs w:val="36"/>
          <w:highlight w:val="none"/>
          <w:lang w:eastAsia="zh-CN"/>
        </w:rPr>
        <w:t>巩固生态系统固碳作用，稳定现有森林、草原、湿地、土壤等固碳</w:t>
      </w:r>
      <w:r>
        <w:rPr>
          <w:rFonts w:hint="eastAsia" w:eastAsia="仿宋_GB2312" w:cs="方正仿宋_GBK"/>
          <w:b w:val="0"/>
          <w:bCs w:val="0"/>
          <w:szCs w:val="36"/>
          <w:highlight w:val="none"/>
          <w:lang w:val="en-US" w:eastAsia="zh-CN"/>
        </w:rPr>
        <w:t>功能</w:t>
      </w:r>
      <w:r>
        <w:rPr>
          <w:rFonts w:hint="eastAsia" w:ascii="Times New Roman" w:hAnsi="Times New Roman" w:eastAsia="仿宋_GB2312" w:cs="方正仿宋_GBK"/>
          <w:b w:val="0"/>
          <w:bCs w:val="0"/>
          <w:szCs w:val="36"/>
          <w:highlight w:val="none"/>
          <w:lang w:eastAsia="zh-CN"/>
        </w:rPr>
        <w:t>。提升生态系统碳汇增量，实施森林质量精准提升工程，增加森林蓄积量和碳汇量。加强生态系统碳汇基础支撑，建立健全林业碳汇计量监测体系</w:t>
      </w:r>
      <w:r>
        <w:rPr>
          <w:rFonts w:hint="eastAsia" w:eastAsia="仿宋_GB2312" w:cs="方正仿宋_GBK"/>
          <w:b w:val="0"/>
          <w:bCs w:val="0"/>
          <w:szCs w:val="36"/>
          <w:highlight w:val="none"/>
          <w:lang w:eastAsia="zh-CN"/>
        </w:rPr>
        <w:t>。</w:t>
      </w:r>
    </w:p>
    <w:p w14:paraId="06B590D6">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249" w:name="_Toc14973"/>
      <w:bookmarkStart w:id="250" w:name="_Toc9397"/>
      <w:bookmarkStart w:id="251" w:name="_Toc32047"/>
      <w:bookmarkStart w:id="252" w:name="_Toc16592"/>
      <w:bookmarkStart w:id="253" w:name="_Toc19869"/>
      <w:bookmarkStart w:id="254" w:name="_Toc11534"/>
      <w:bookmarkStart w:id="255" w:name="_Toc10908"/>
      <w:bookmarkStart w:id="256" w:name="_Toc15878"/>
      <w:bookmarkStart w:id="257" w:name="_Toc22423"/>
      <w:bookmarkStart w:id="258" w:name="_Toc8757"/>
      <w:bookmarkStart w:id="259" w:name="_Toc21260"/>
      <w:bookmarkStart w:id="260" w:name="_Toc23973"/>
      <w:bookmarkStart w:id="261" w:name="_Toc10534"/>
      <w:bookmarkStart w:id="262" w:name="_Toc21162"/>
      <w:bookmarkStart w:id="263" w:name="_Toc15384"/>
      <w:bookmarkStart w:id="264" w:name="_Toc29427"/>
      <w:bookmarkStart w:id="265" w:name="_Toc10412"/>
      <w:bookmarkStart w:id="266" w:name="_Toc13884"/>
      <w:bookmarkStart w:id="267" w:name="_Toc21050"/>
      <w:bookmarkStart w:id="268" w:name="_Toc9952"/>
      <w:bookmarkStart w:id="269" w:name="_Toc5508"/>
      <w:bookmarkStart w:id="270" w:name="_Toc2014"/>
      <w:bookmarkStart w:id="271" w:name="_Toc3662"/>
      <w:r>
        <w:rPr>
          <w:rFonts w:hint="eastAsia" w:ascii="楷体_GB2312" w:hAnsi="楷体_GB2312" w:eastAsia="楷体_GB2312" w:cs="楷体_GB2312"/>
          <w:b w:val="0"/>
          <w:bCs w:val="0"/>
          <w:color w:val="auto"/>
          <w:sz w:val="32"/>
          <w:szCs w:val="40"/>
          <w:highlight w:val="none"/>
          <w:lang w:val="en-US" w:eastAsia="zh-CN"/>
        </w:rPr>
        <w:t>积极稳妥推进和实现碳达峰</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05D416A3">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eastAsia="zh-CN"/>
        </w:rPr>
      </w:pPr>
      <w:bookmarkStart w:id="272" w:name="_Hlk208420444"/>
      <w:bookmarkStart w:id="273" w:name="_Hlk208420412"/>
      <w:r>
        <w:rPr>
          <w:rFonts w:hint="eastAsia" w:eastAsia="仿宋_GB2312" w:cs="方正仿宋_GBK"/>
          <w:b w:val="0"/>
          <w:bCs w:val="0"/>
          <w:szCs w:val="36"/>
          <w:highlight w:val="none"/>
          <w:lang w:val="en-US" w:eastAsia="zh-CN"/>
        </w:rPr>
        <w:t>统筹发展和减排，以碳达峰碳中和为牵引，推进绿色低碳循环发展，</w:t>
      </w:r>
      <w:r>
        <w:rPr>
          <w:rFonts w:hint="eastAsia" w:ascii="Times New Roman" w:hAnsi="Times New Roman" w:eastAsia="仿宋_GB2312" w:cs="方正仿宋_GBK"/>
          <w:b w:val="0"/>
          <w:bCs w:val="0"/>
          <w:szCs w:val="36"/>
          <w:highlight w:val="none"/>
          <w:lang w:eastAsia="zh-CN"/>
        </w:rPr>
        <w:t>确保如期实现</w:t>
      </w:r>
      <w:r>
        <w:rPr>
          <w:rFonts w:hint="eastAsia" w:eastAsia="仿宋_GB2312" w:cs="方正仿宋_GBK"/>
          <w:b w:val="0"/>
          <w:bCs w:val="0"/>
          <w:szCs w:val="36"/>
          <w:highlight w:val="none"/>
          <w:lang w:val="en-US" w:eastAsia="zh-CN"/>
        </w:rPr>
        <w:t>2030年前</w:t>
      </w:r>
      <w:r>
        <w:rPr>
          <w:rFonts w:hint="eastAsia" w:ascii="Times New Roman" w:hAnsi="Times New Roman" w:eastAsia="仿宋_GB2312" w:cs="方正仿宋_GBK"/>
          <w:b w:val="0"/>
          <w:bCs w:val="0"/>
          <w:szCs w:val="36"/>
          <w:highlight w:val="none"/>
          <w:lang w:eastAsia="zh-CN"/>
        </w:rPr>
        <w:t>碳达峰目标。</w:t>
      </w:r>
    </w:p>
    <w:p w14:paraId="691842D5">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3"/>
        <w:rPr>
          <w:rFonts w:hint="eastAsia" w:ascii="Times New Roman" w:hAnsi="Times New Roman" w:eastAsia="仿宋_GB2312" w:cs="方正仿宋_GBK"/>
          <w:b w:val="0"/>
          <w:bCs w:val="0"/>
          <w:spacing w:val="-6"/>
          <w:szCs w:val="36"/>
          <w:highlight w:val="none"/>
          <w:lang w:eastAsia="zh-CN"/>
        </w:rPr>
      </w:pPr>
      <w:bookmarkStart w:id="274" w:name="_Toc8992"/>
      <w:r>
        <w:rPr>
          <w:rFonts w:hint="eastAsia" w:ascii="Times New Roman" w:hAnsi="Times New Roman" w:eastAsia="仿宋_GB2312" w:cs="方正仿宋_GBK"/>
          <w:b w:val="0"/>
          <w:bCs w:val="0"/>
          <w:color w:val="auto"/>
          <w:szCs w:val="32"/>
          <w:highlight w:val="none"/>
          <w:lang w:eastAsia="zh-CN"/>
        </w:rPr>
        <w:t>全面实施碳排放双控</w:t>
      </w:r>
      <w:r>
        <w:rPr>
          <w:rFonts w:hint="eastAsia" w:eastAsia="仿宋_GB2312" w:cs="方正仿宋_GBK"/>
          <w:b w:val="0"/>
          <w:bCs w:val="0"/>
          <w:color w:val="auto"/>
          <w:szCs w:val="32"/>
          <w:highlight w:val="none"/>
          <w:lang w:val="en-US" w:eastAsia="zh-CN"/>
        </w:rPr>
        <w:t>新机制</w:t>
      </w:r>
      <w:bookmarkEnd w:id="274"/>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建立以强度控制为主、总量控制为辅的碳排放双控制度体系，实施</w:t>
      </w:r>
      <w:r>
        <w:rPr>
          <w:rFonts w:hint="eastAsia" w:eastAsia="仿宋_GB2312" w:cs="方正仿宋_GBK"/>
          <w:b w:val="0"/>
          <w:bCs w:val="0"/>
          <w:szCs w:val="36"/>
          <w:highlight w:val="none"/>
          <w:lang w:val="en-US" w:eastAsia="zh-CN"/>
        </w:rPr>
        <w:t>地区</w:t>
      </w:r>
      <w:r>
        <w:rPr>
          <w:rFonts w:hint="eastAsia" w:ascii="Times New Roman" w:hAnsi="Times New Roman" w:eastAsia="仿宋_GB2312" w:cs="方正仿宋_GBK"/>
          <w:b w:val="0"/>
          <w:bCs w:val="0"/>
          <w:szCs w:val="36"/>
          <w:highlight w:val="none"/>
          <w:lang w:eastAsia="zh-CN"/>
        </w:rPr>
        <w:t>碳考核、行业碳管控、企业碳管理、项目碳评价、产品</w:t>
      </w:r>
      <w:r>
        <w:rPr>
          <w:rFonts w:hint="eastAsia" w:ascii="Times New Roman" w:hAnsi="Times New Roman" w:eastAsia="仿宋_GB2312" w:cs="方正仿宋_GBK"/>
          <w:b w:val="0"/>
          <w:bCs w:val="0"/>
          <w:spacing w:val="-6"/>
          <w:szCs w:val="36"/>
          <w:highlight w:val="none"/>
          <w:lang w:eastAsia="zh-CN"/>
        </w:rPr>
        <w:t>碳足迹“五碳协同”管理机制。</w:t>
      </w:r>
      <w:r>
        <w:rPr>
          <w:rFonts w:hint="eastAsia" w:eastAsia="仿宋_GB2312" w:cs="方正仿宋_GBK"/>
          <w:b w:val="0"/>
          <w:bCs w:val="0"/>
          <w:spacing w:val="-6"/>
          <w:szCs w:val="36"/>
          <w:highlight w:val="none"/>
          <w:lang w:val="en-US" w:eastAsia="zh-CN"/>
        </w:rPr>
        <w:t>推动实现煤炭、石油消费达峰。</w:t>
      </w:r>
      <w:r>
        <w:rPr>
          <w:rFonts w:hint="eastAsia" w:ascii="Times New Roman" w:hAnsi="Times New Roman" w:eastAsia="仿宋_GB2312" w:cs="方正仿宋_GBK"/>
          <w:b w:val="0"/>
          <w:bCs w:val="0"/>
          <w:spacing w:val="-6"/>
          <w:szCs w:val="36"/>
          <w:highlight w:val="none"/>
          <w:lang w:eastAsia="zh-CN"/>
        </w:rPr>
        <w:t>逐步扩大碳排放权交易市场行业覆盖范围，积极参与全国温室气体自愿减排交易市场。</w:t>
      </w:r>
      <w:r>
        <w:rPr>
          <w:rFonts w:hint="eastAsia" w:ascii="Times New Roman" w:hAnsi="Times New Roman" w:eastAsia="仿宋_GB2312" w:cs="方正仿宋_GBK"/>
          <w:b w:val="0"/>
          <w:bCs w:val="0"/>
          <w:spacing w:val="-6"/>
          <w:szCs w:val="36"/>
          <w:highlight w:val="none"/>
          <w:lang w:val="en" w:eastAsia="zh-CN"/>
        </w:rPr>
        <w:t>加强气候</w:t>
      </w:r>
      <w:r>
        <w:rPr>
          <w:rFonts w:hint="eastAsia" w:ascii="Times New Roman" w:hAnsi="Times New Roman" w:eastAsia="仿宋_GB2312" w:cs="方正仿宋_GBK"/>
          <w:b w:val="0"/>
          <w:bCs w:val="0"/>
          <w:szCs w:val="36"/>
          <w:highlight w:val="none"/>
          <w:lang w:val="en" w:eastAsia="zh-CN"/>
        </w:rPr>
        <w:t>变化监测评估和相关基础数据支撑，提升碳排放总量和强度双控</w:t>
      </w:r>
      <w:r>
        <w:rPr>
          <w:rFonts w:hint="eastAsia" w:ascii="Times New Roman" w:hAnsi="Times New Roman" w:eastAsia="仿宋_GB2312" w:cs="方正仿宋_GBK"/>
          <w:b w:val="0"/>
          <w:bCs w:val="0"/>
          <w:spacing w:val="-6"/>
          <w:szCs w:val="36"/>
          <w:highlight w:val="none"/>
          <w:lang w:val="en" w:eastAsia="zh-CN"/>
        </w:rPr>
        <w:t>的科学性和精准性</w:t>
      </w:r>
      <w:r>
        <w:rPr>
          <w:rFonts w:hint="eastAsia" w:ascii="Times New Roman" w:hAnsi="Times New Roman" w:eastAsia="仿宋_GB2312" w:cs="方正仿宋_GBK"/>
          <w:b w:val="0"/>
          <w:bCs w:val="0"/>
          <w:spacing w:val="-6"/>
          <w:szCs w:val="36"/>
          <w:highlight w:val="none"/>
          <w:lang w:eastAsia="zh-CN"/>
        </w:rPr>
        <w:t>。加强市、旗县</w:t>
      </w:r>
      <w:r>
        <w:rPr>
          <w:rFonts w:hint="eastAsia" w:eastAsia="仿宋_GB2312" w:cs="方正仿宋_GBK"/>
          <w:b w:val="0"/>
          <w:bCs w:val="0"/>
          <w:spacing w:val="-6"/>
          <w:szCs w:val="36"/>
          <w:highlight w:val="none"/>
          <w:lang w:val="en-US" w:eastAsia="zh-CN"/>
        </w:rPr>
        <w:t>区两</w:t>
      </w:r>
      <w:r>
        <w:rPr>
          <w:rFonts w:hint="eastAsia" w:ascii="Times New Roman" w:hAnsi="Times New Roman" w:eastAsia="仿宋_GB2312" w:cs="方正仿宋_GBK"/>
          <w:b w:val="0"/>
          <w:bCs w:val="0"/>
          <w:spacing w:val="-6"/>
          <w:szCs w:val="36"/>
          <w:highlight w:val="none"/>
          <w:lang w:eastAsia="zh-CN"/>
        </w:rPr>
        <w:t>级节能降碳队伍建设</w:t>
      </w:r>
      <w:r>
        <w:rPr>
          <w:rFonts w:hint="eastAsia" w:eastAsia="仿宋_GB2312" w:cs="方正仿宋_GBK"/>
          <w:b w:val="0"/>
          <w:bCs w:val="0"/>
          <w:spacing w:val="-6"/>
          <w:szCs w:val="36"/>
          <w:highlight w:val="none"/>
          <w:lang w:eastAsia="zh-CN"/>
        </w:rPr>
        <w:t>。</w:t>
      </w:r>
      <w:r>
        <w:rPr>
          <w:rFonts w:hint="eastAsia" w:ascii="Times New Roman" w:hAnsi="Times New Roman" w:eastAsia="仿宋_GB2312" w:cs="方正仿宋_GBK"/>
          <w:b w:val="0"/>
          <w:bCs w:val="0"/>
          <w:spacing w:val="-6"/>
          <w:szCs w:val="36"/>
          <w:highlight w:val="none"/>
          <w:lang w:eastAsia="zh-CN"/>
        </w:rPr>
        <w:t>落实碳达峰碳中和“1+N+X”政策体系，加快构建科学高效的考核评价体系。</w:t>
      </w:r>
    </w:p>
    <w:p w14:paraId="03BFC8B3">
      <w:pPr>
        <w:pStyle w:val="43"/>
        <w:keepNext w:val="0"/>
        <w:keepLines w:val="0"/>
        <w:pageBreakBefore w:val="0"/>
        <w:shd w:val="clear" w:color="auto" w:fill="auto"/>
        <w:kinsoku/>
        <w:wordWrap/>
        <w:topLinePunct w:val="0"/>
        <w:autoSpaceDE/>
        <w:autoSpaceDN/>
        <w:bidi w:val="0"/>
        <w:adjustRightInd/>
        <w:spacing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bookmarkStart w:id="275" w:name="_Toc4870"/>
      <w:r>
        <w:rPr>
          <w:rFonts w:hint="eastAsia" w:ascii="Times New Roman" w:hAnsi="Times New Roman" w:eastAsia="仿宋_GB2312" w:cs="方正仿宋_GBK"/>
          <w:b w:val="0"/>
          <w:bCs w:val="0"/>
          <w:color w:val="auto"/>
          <w:szCs w:val="32"/>
          <w:highlight w:val="none"/>
          <w:lang w:eastAsia="zh-CN"/>
        </w:rPr>
        <w:t>加快建设零碳</w:t>
      </w:r>
      <w:r>
        <w:rPr>
          <w:rFonts w:hint="eastAsia" w:eastAsia="仿宋_GB2312" w:cs="方正仿宋_GBK"/>
          <w:b w:val="0"/>
          <w:bCs w:val="0"/>
          <w:color w:val="auto"/>
          <w:szCs w:val="32"/>
          <w:highlight w:val="none"/>
          <w:lang w:eastAsia="zh-CN"/>
        </w:rPr>
        <w:t>（</w:t>
      </w:r>
      <w:r>
        <w:rPr>
          <w:rFonts w:hint="eastAsia" w:eastAsia="仿宋_GB2312" w:cs="方正仿宋_GBK"/>
          <w:b w:val="0"/>
          <w:bCs w:val="0"/>
          <w:color w:val="auto"/>
          <w:szCs w:val="32"/>
          <w:highlight w:val="none"/>
          <w:lang w:val="en-US" w:eastAsia="zh-CN"/>
        </w:rPr>
        <w:t>低碳</w:t>
      </w:r>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color w:val="auto"/>
          <w:szCs w:val="32"/>
          <w:highlight w:val="none"/>
          <w:lang w:val="en-US" w:eastAsia="zh-CN"/>
        </w:rPr>
        <w:t>园区</w:t>
      </w:r>
      <w:bookmarkEnd w:id="272"/>
      <w:bookmarkEnd w:id="273"/>
      <w:bookmarkEnd w:id="275"/>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以赤峰高新技术产业开发区入选国家级碳达峰试点为契机，深化“绿色能源体系+绿色低碳产业体系+制度标准体系”建设模式，因地制宜、因园施策建设</w:t>
      </w:r>
      <w:r>
        <w:rPr>
          <w:rFonts w:hint="eastAsia" w:eastAsia="仿宋_GB2312" w:cs="方正仿宋_GBK"/>
          <w:b w:val="0"/>
          <w:bCs w:val="0"/>
          <w:szCs w:val="36"/>
          <w:highlight w:val="none"/>
          <w:lang w:val="en-US" w:eastAsia="zh-CN"/>
        </w:rPr>
        <w:t>国家级、</w:t>
      </w:r>
      <w:r>
        <w:rPr>
          <w:rFonts w:hint="eastAsia" w:ascii="Times New Roman" w:hAnsi="Times New Roman" w:eastAsia="仿宋_GB2312" w:cs="方正仿宋_GBK"/>
          <w:b w:val="0"/>
          <w:bCs w:val="0"/>
          <w:szCs w:val="36"/>
          <w:highlight w:val="none"/>
          <w:lang w:eastAsia="zh-CN"/>
        </w:rPr>
        <w:t>自治区级零碳</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低碳</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园区。推进“源网荷储”协同发展，大力发展绿电直连，加快推进制度、技术、管理和商业模式创新，有效破除存量负荷绿电直供、增量配电网等方面的体制机制障碍。按照“能源零碳化、资源高效化、生产清洁化、产品绿色化、用地集约化”导向，优先培育脱碳需求迫切、能源结构以电力为主、脱碳难度较小的行业建设零碳工厂</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先行先试探索传统行业培育建设路径。</w:t>
      </w:r>
    </w:p>
    <w:p w14:paraId="0BEDE0C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276" w:name="_Toc8149"/>
      <w:r>
        <w:rPr>
          <w:rFonts w:hint="eastAsia" w:ascii="Times New Roman" w:hAnsi="Times New Roman" w:eastAsia="仿宋_GB2312" w:cs="方正仿宋_GBK"/>
          <w:b w:val="0"/>
          <w:bCs w:val="0"/>
          <w:color w:val="auto"/>
          <w:szCs w:val="32"/>
          <w:highlight w:val="none"/>
          <w:lang w:val="en-US" w:eastAsia="zh-CN"/>
        </w:rPr>
        <w:t>加快重点领域绿色低碳转型</w:t>
      </w:r>
      <w:bookmarkEnd w:id="276"/>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坚持节能降碳与优化用能结构并举，推进工业、能源、交通运输、城乡建设等重点领域绿色低碳转型。坚决遏制高能耗高排放项目盲目上马，对新</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改、扩</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建</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两高</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工业项目实施碳排放等量或减量置换</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开展工业重点行业能效对标提升行动</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统筹推进存量煤电机组低碳化改造</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落实</w:t>
      </w:r>
      <w:r>
        <w:rPr>
          <w:rFonts w:hint="eastAsia" w:ascii="Times New Roman" w:hAnsi="Times New Roman" w:eastAsia="仿宋_GB2312" w:cs="方正仿宋_GBK"/>
          <w:b w:val="0"/>
          <w:bCs w:val="0"/>
          <w:szCs w:val="36"/>
          <w:highlight w:val="none"/>
          <w:lang w:eastAsia="zh-CN"/>
        </w:rPr>
        <w:t>绿电、绿氢、电能替代</w:t>
      </w:r>
      <w:r>
        <w:rPr>
          <w:rFonts w:hint="eastAsia" w:eastAsia="仿宋_GB2312" w:cs="方正仿宋_GBK"/>
          <w:b w:val="0"/>
          <w:bCs w:val="0"/>
          <w:szCs w:val="36"/>
          <w:highlight w:val="none"/>
          <w:lang w:val="en-US" w:eastAsia="zh-CN"/>
        </w:rPr>
        <w:t>行动</w:t>
      </w:r>
      <w:r>
        <w:rPr>
          <w:rFonts w:hint="eastAsia" w:ascii="Times New Roman" w:hAnsi="Times New Roman"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val="en-US" w:eastAsia="zh-CN"/>
        </w:rPr>
        <w:t>因地制宜布局建设用户侧新型储能设施</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eastAsia="zh-CN"/>
        </w:rPr>
        <w:t>提高终端用能电气化绿色化水平。“一业一策</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推动电解铝、铁合金、数据中心等行业深度脱碳。优化交通运输结构，大力发展多式联运，推进“公转铁”运输，推广新能源汽车、氢能重卡等低碳交通运输工具。持续开展既有建筑节能改造，发展绿色建筑和超低能耗建筑。</w:t>
      </w:r>
      <w:r>
        <w:rPr>
          <w:rFonts w:hint="eastAsia" w:ascii="Times New Roman" w:hAnsi="Times New Roman" w:eastAsia="仿宋_GB2312" w:cs="方正仿宋_GBK"/>
          <w:b w:val="0"/>
          <w:bCs w:val="0"/>
          <w:szCs w:val="36"/>
          <w:highlight w:val="none"/>
          <w:lang w:val="en-US" w:eastAsia="zh-CN"/>
        </w:rPr>
        <w:t>完善适应气候变化治理体系，有效控制非二氧化碳温室气体排放。</w:t>
      </w:r>
      <w:r>
        <w:rPr>
          <w:rFonts w:hint="eastAsia" w:ascii="Times New Roman" w:hAnsi="Times New Roman" w:eastAsia="仿宋_GB2312" w:cs="方正仿宋_GBK"/>
          <w:b w:val="0"/>
          <w:bCs w:val="0"/>
          <w:szCs w:val="36"/>
          <w:highlight w:val="none"/>
          <w:lang w:eastAsia="zh-CN"/>
        </w:rPr>
        <w:t>围绕源头减碳、过程降碳、末端固碳等重点环节</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实施零碳低碳负碳先进技术</w:t>
      </w:r>
      <w:r>
        <w:rPr>
          <w:rFonts w:hint="eastAsia" w:eastAsia="仿宋_GB2312" w:cs="方正仿宋_GBK"/>
          <w:b w:val="0"/>
          <w:bCs w:val="0"/>
          <w:szCs w:val="36"/>
          <w:highlight w:val="none"/>
          <w:lang w:val="en-US" w:eastAsia="zh-CN"/>
        </w:rPr>
        <w:t>应用</w:t>
      </w:r>
      <w:r>
        <w:rPr>
          <w:rFonts w:hint="eastAsia" w:ascii="Times New Roman" w:hAnsi="Times New Roman" w:eastAsia="仿宋_GB2312" w:cs="方正仿宋_GBK"/>
          <w:b w:val="0"/>
          <w:bCs w:val="0"/>
          <w:szCs w:val="36"/>
          <w:highlight w:val="none"/>
          <w:lang w:eastAsia="zh-CN"/>
        </w:rPr>
        <w:t>工程</w:t>
      </w:r>
      <w:r>
        <w:rPr>
          <w:rFonts w:hint="eastAsia" w:eastAsia="仿宋_GB2312" w:cs="方正仿宋_GBK"/>
          <w:b w:val="0"/>
          <w:bCs w:val="0"/>
          <w:szCs w:val="36"/>
          <w:highlight w:val="none"/>
          <w:lang w:eastAsia="zh-CN"/>
        </w:rPr>
        <w:t>。</w:t>
      </w:r>
    </w:p>
    <w:p w14:paraId="67906AE2">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3"/>
        <w:rPr>
          <w:rFonts w:hint="eastAsia" w:ascii="Times New Roman" w:hAnsi="Times New Roman" w:eastAsia="仿宋_GB2312" w:cs="方正仿宋_GBK"/>
          <w:b w:val="0"/>
          <w:bCs w:val="0"/>
          <w:szCs w:val="36"/>
          <w:highlight w:val="none"/>
          <w:lang w:eastAsia="zh-CN"/>
        </w:rPr>
      </w:pPr>
      <w:bookmarkStart w:id="277" w:name="_Toc21692"/>
      <w:r>
        <w:rPr>
          <w:rFonts w:hint="eastAsia" w:eastAsia="仿宋_GB2312" w:cs="方正仿宋_GBK"/>
          <w:b w:val="0"/>
          <w:bCs w:val="0"/>
          <w:color w:val="auto"/>
          <w:szCs w:val="32"/>
          <w:highlight w:val="none"/>
          <w:lang w:val="en-US" w:eastAsia="zh-CN"/>
        </w:rPr>
        <w:t>加快形成绿色生产生活方式</w:t>
      </w:r>
      <w:bookmarkEnd w:id="277"/>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深入实施全面节约战略，完善资源总量管理和全面节约制度</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加快形成节约集约生产方式和绿色简约生活方式。推进节约用水</w:t>
      </w:r>
      <w:r>
        <w:rPr>
          <w:rFonts w:hint="eastAsia" w:eastAsia="仿宋_GB2312" w:cs="方正仿宋_GBK"/>
          <w:b w:val="0"/>
          <w:bCs w:val="0"/>
          <w:szCs w:val="36"/>
          <w:highlight w:val="none"/>
          <w:lang w:eastAsia="zh-CN"/>
        </w:rPr>
        <w:t>，</w:t>
      </w:r>
      <w:r>
        <w:rPr>
          <w:rFonts w:hint="eastAsia" w:ascii="仿宋_GB2312" w:hAnsi="仿宋_GB2312" w:eastAsia="仿宋_GB2312" w:cs="仿宋_GB2312"/>
          <w:b w:val="0"/>
          <w:bCs w:val="0"/>
          <w:sz w:val="32"/>
          <w:szCs w:val="32"/>
          <w:highlight w:val="none"/>
          <w:u w:val="none" w:color="auto"/>
          <w:lang w:val="en-US" w:eastAsia="zh-CN"/>
        </w:rPr>
        <w:t>全方位贯彻“四水四定”原则，全面压实治水责任，深化水权分配改革，</w:t>
      </w:r>
      <w:r>
        <w:rPr>
          <w:rFonts w:hint="eastAsia" w:ascii="Times New Roman" w:hAnsi="Times New Roman" w:eastAsia="仿宋_GB2312" w:cs="方正仿宋_GBK"/>
          <w:b w:val="0"/>
          <w:bCs w:val="0"/>
          <w:szCs w:val="36"/>
          <w:highlight w:val="none"/>
          <w:lang w:eastAsia="zh-CN"/>
        </w:rPr>
        <w:t>提高水资源集约安全利用水平。开展农业节水增效行动，</w:t>
      </w:r>
      <w:r>
        <w:rPr>
          <w:rFonts w:hint="eastAsia" w:eastAsia="仿宋_GB2312" w:cs="方正仿宋_GBK"/>
          <w:b w:val="0"/>
          <w:bCs w:val="0"/>
          <w:szCs w:val="36"/>
          <w:highlight w:val="none"/>
          <w:lang w:val="en-US" w:eastAsia="zh-CN"/>
        </w:rPr>
        <w:t>深化</w:t>
      </w:r>
      <w:r>
        <w:rPr>
          <w:rFonts w:hint="eastAsia" w:ascii="仿宋_GB2312" w:hAnsi="仿宋_GB2312" w:eastAsia="仿宋_GB2312" w:cs="仿宋_GB2312"/>
          <w:b w:val="0"/>
          <w:bCs w:val="0"/>
          <w:sz w:val="32"/>
          <w:szCs w:val="32"/>
          <w:highlight w:val="none"/>
          <w:u w:val="none" w:color="auto"/>
          <w:lang w:val="en-US" w:eastAsia="zh-CN"/>
        </w:rPr>
        <w:t>农业水价综合改革，</w:t>
      </w:r>
      <w:r>
        <w:rPr>
          <w:rFonts w:hint="eastAsia" w:ascii="Times New Roman" w:hAnsi="Times New Roman" w:eastAsia="仿宋_GB2312" w:cs="方正仿宋_GBK"/>
          <w:b w:val="0"/>
          <w:bCs w:val="0"/>
          <w:szCs w:val="36"/>
          <w:highlight w:val="none"/>
          <w:lang w:eastAsia="zh-CN"/>
        </w:rPr>
        <w:t>大力发展高效节水灌溉工程</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严格工业项目用水约束，抓好火电、钢铁、煤制油气等重点行业节水改造</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加强非常规水综合利用。实施城镇公共供水管网建设改造，加大管网漏损治理力度。</w:t>
      </w:r>
      <w:r>
        <w:rPr>
          <w:rFonts w:hint="eastAsia" w:eastAsia="仿宋_GB2312" w:cs="方正仿宋_GBK"/>
          <w:b w:val="0"/>
          <w:bCs w:val="0"/>
          <w:szCs w:val="36"/>
          <w:highlight w:val="none"/>
          <w:lang w:val="en-US" w:eastAsia="zh-CN"/>
        </w:rPr>
        <w:t>规范地下水取用管理，</w:t>
      </w:r>
      <w:r>
        <w:rPr>
          <w:rFonts w:hint="eastAsia" w:ascii="Times New Roman" w:hAnsi="Times New Roman" w:eastAsia="仿宋_GB2312" w:cs="方正仿宋_GBK"/>
          <w:b w:val="0"/>
          <w:bCs w:val="0"/>
          <w:szCs w:val="36"/>
          <w:highlight w:val="none"/>
          <w:lang w:eastAsia="zh-CN"/>
        </w:rPr>
        <w:t>推进</w:t>
      </w:r>
      <w:r>
        <w:rPr>
          <w:rFonts w:hint="eastAsia" w:eastAsia="仿宋_GB2312" w:cs="方正仿宋_GBK"/>
          <w:b w:val="0"/>
          <w:bCs w:val="0"/>
          <w:szCs w:val="36"/>
          <w:highlight w:val="none"/>
          <w:lang w:val="en-US" w:eastAsia="zh-CN"/>
        </w:rPr>
        <w:t>西辽河流域</w:t>
      </w:r>
      <w:r>
        <w:rPr>
          <w:rFonts w:hint="eastAsia" w:ascii="Times New Roman" w:hAnsi="Times New Roman" w:eastAsia="仿宋_GB2312" w:cs="方正仿宋_GBK"/>
          <w:b w:val="0"/>
          <w:bCs w:val="0"/>
          <w:szCs w:val="36"/>
          <w:highlight w:val="none"/>
          <w:lang w:eastAsia="zh-CN"/>
        </w:rPr>
        <w:t>地下水超采治理。到</w:t>
      </w:r>
      <w:r>
        <w:rPr>
          <w:rFonts w:hint="eastAsia" w:eastAsia="仿宋_GB2312" w:cs="方正仿宋_GBK"/>
          <w:b w:val="0"/>
          <w:bCs w:val="0"/>
          <w:szCs w:val="36"/>
          <w:highlight w:val="none"/>
          <w:lang w:val="en-US" w:eastAsia="zh-CN"/>
        </w:rPr>
        <w:t>2030年</w:t>
      </w:r>
      <w:r>
        <w:rPr>
          <w:rFonts w:hint="eastAsia" w:ascii="Times New Roman" w:hAnsi="Times New Roman" w:eastAsia="仿宋_GB2312" w:cs="方正仿宋_GBK"/>
          <w:b w:val="0"/>
          <w:bCs w:val="0"/>
          <w:szCs w:val="36"/>
          <w:highlight w:val="none"/>
          <w:lang w:eastAsia="zh-CN"/>
        </w:rPr>
        <w:t>，农田灌溉水有效利用系数达到</w:t>
      </w:r>
      <w:r>
        <w:rPr>
          <w:rFonts w:hint="eastAsia" w:eastAsia="仿宋_GB2312" w:cs="方正仿宋_GBK"/>
          <w:b w:val="0"/>
          <w:bCs w:val="0"/>
          <w:szCs w:val="36"/>
          <w:highlight w:val="none"/>
          <w:lang w:val="en-US" w:eastAsia="zh-CN"/>
        </w:rPr>
        <w:t>0.665，</w:t>
      </w:r>
      <w:r>
        <w:rPr>
          <w:rFonts w:hint="eastAsia" w:ascii="Times New Roman" w:hAnsi="Times New Roman" w:eastAsia="仿宋_GB2312" w:cs="方正仿宋_GBK"/>
          <w:b w:val="0"/>
          <w:bCs w:val="0"/>
          <w:szCs w:val="36"/>
          <w:highlight w:val="none"/>
          <w:lang w:eastAsia="zh-CN"/>
        </w:rPr>
        <w:t>万元GDP用水量、万元工业增加值用水量较2025年</w:t>
      </w:r>
      <w:r>
        <w:rPr>
          <w:rFonts w:hint="eastAsia" w:eastAsia="仿宋_GB2312" w:cs="方正仿宋_GBK"/>
          <w:b w:val="0"/>
          <w:bCs w:val="0"/>
          <w:szCs w:val="36"/>
          <w:highlight w:val="none"/>
          <w:lang w:val="en-US" w:eastAsia="zh-CN"/>
        </w:rPr>
        <w:t>分别</w:t>
      </w:r>
      <w:r>
        <w:rPr>
          <w:rFonts w:hint="eastAsia" w:ascii="Times New Roman" w:hAnsi="Times New Roman" w:eastAsia="仿宋_GB2312" w:cs="方正仿宋_GBK"/>
          <w:b w:val="0"/>
          <w:bCs w:val="0"/>
          <w:szCs w:val="36"/>
          <w:highlight w:val="none"/>
          <w:lang w:eastAsia="zh-CN"/>
        </w:rPr>
        <w:t>下降</w:t>
      </w:r>
      <w:r>
        <w:rPr>
          <w:rFonts w:hint="eastAsia" w:eastAsia="仿宋_GB2312" w:cs="方正仿宋_GBK"/>
          <w:b w:val="0"/>
          <w:bCs w:val="0"/>
          <w:szCs w:val="36"/>
          <w:highlight w:val="none"/>
          <w:lang w:val="en-US" w:eastAsia="zh-CN"/>
        </w:rPr>
        <w:t>10</w:t>
      </w:r>
      <w:r>
        <w:rPr>
          <w:rFonts w:hint="eastAsia" w:ascii="Times New Roman" w:hAnsi="Times New Roman" w:eastAsia="仿宋_GB2312" w:cs="方正仿宋_GBK"/>
          <w:b w:val="0"/>
          <w:bCs w:val="0"/>
          <w:szCs w:val="36"/>
          <w:highlight w:val="none"/>
          <w:lang w:eastAsia="zh-CN"/>
        </w:rPr>
        <w:t>%和</w:t>
      </w:r>
      <w:r>
        <w:rPr>
          <w:rFonts w:hint="eastAsia" w:eastAsia="仿宋_GB2312" w:cs="方正仿宋_GBK"/>
          <w:b w:val="0"/>
          <w:bCs w:val="0"/>
          <w:szCs w:val="36"/>
          <w:highlight w:val="none"/>
          <w:lang w:val="en-US" w:eastAsia="zh-CN"/>
        </w:rPr>
        <w:t>10</w:t>
      </w:r>
      <w:r>
        <w:rPr>
          <w:rFonts w:hint="eastAsia" w:ascii="Times New Roman" w:hAnsi="Times New Roman" w:eastAsia="仿宋_GB2312" w:cs="方正仿宋_GBK"/>
          <w:b w:val="0"/>
          <w:bCs w:val="0"/>
          <w:szCs w:val="36"/>
          <w:highlight w:val="none"/>
          <w:lang w:eastAsia="zh-CN"/>
        </w:rPr>
        <w:t>%。持续强化高效用地</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推进新增耕地高效利用，统筹推进工矿废旧地复垦利用</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推进城镇低效用地再开发</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开展全域土地综合整治。提升资源循环利用水平</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加强传统大宗工业固废综合利用，持续提高</w:t>
      </w:r>
      <w:r>
        <w:rPr>
          <w:rFonts w:hint="eastAsia" w:eastAsia="仿宋_GB2312" w:cs="方正仿宋_GBK"/>
          <w:b w:val="0"/>
          <w:bCs w:val="0"/>
          <w:szCs w:val="36"/>
          <w:highlight w:val="none"/>
        </w:rPr>
        <w:t>冶金渣等综合利用水平</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发展</w:t>
      </w:r>
      <w:r>
        <w:rPr>
          <w:rFonts w:hint="eastAsia" w:eastAsia="仿宋_GB2312" w:cs="方正仿宋_GBK"/>
          <w:b w:val="0"/>
          <w:bCs w:val="0"/>
          <w:szCs w:val="36"/>
          <w:highlight w:val="none"/>
        </w:rPr>
        <w:t>废钢铁、废有色金属、废塑料等再生资源精深加工产业。推进新兴产业废弃物循环利用，构建风电、光伏设备和动力电池循环利用体系。推动生活方式绿色转型</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rPr>
        <w:t>大力倡导简约适度、绿色低碳、文明健康的生活理念和方式</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rPr>
        <w:t>开展绿色低碳全民行动，</w:t>
      </w:r>
      <w:r>
        <w:rPr>
          <w:rFonts w:hint="eastAsia" w:eastAsia="仿宋_GB2312" w:cs="方正仿宋_GBK"/>
          <w:b w:val="0"/>
          <w:bCs w:val="0"/>
          <w:szCs w:val="36"/>
          <w:highlight w:val="none"/>
          <w:lang w:val="en-US" w:eastAsia="zh-CN"/>
        </w:rPr>
        <w:t>深化绿色机关、绿色家庭、绿色社区建设。</w:t>
      </w:r>
      <w:r>
        <w:rPr>
          <w:rFonts w:hint="eastAsia" w:eastAsia="仿宋_GB2312" w:cs="方正仿宋_GBK"/>
          <w:b w:val="0"/>
          <w:bCs w:val="0"/>
          <w:szCs w:val="36"/>
          <w:highlight w:val="none"/>
        </w:rPr>
        <w:t>深入推进垃圾分类和资源化利用，提高可回收物再生利用和资源化水平。鼓励消费者购买绿色产品，开展新能源汽车和绿色智能家电、节水器具等下乡活动。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2"/>
      </w:tblGrid>
      <w:tr w14:paraId="428E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32" w:type="dxa"/>
            <w:noWrap w:val="0"/>
            <w:vAlign w:val="top"/>
          </w:tcPr>
          <w:p w14:paraId="74BBFD58">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专栏2</w:t>
            </w:r>
            <w:r>
              <w:rPr>
                <w:rFonts w:hint="eastAsia" w:ascii="Times New Roman" w:hAnsi="Times New Roman" w:eastAsia="仿宋_GB2312" w:cs="Times New Roman"/>
                <w:b w:val="0"/>
                <w:bCs w:val="0"/>
                <w:sz w:val="24"/>
                <w:highlight w:val="none"/>
                <w:lang w:val="en-US" w:eastAsia="zh-CN"/>
              </w:rPr>
              <w:t xml:space="preserve"> 生态安全屏障</w:t>
            </w:r>
            <w:r>
              <w:rPr>
                <w:rFonts w:hint="eastAsia" w:ascii="Times New Roman" w:hAnsi="Times New Roman" w:eastAsia="仿宋_GB2312" w:cs="Times New Roman"/>
                <w:b w:val="0"/>
                <w:bCs w:val="0"/>
                <w:sz w:val="24"/>
                <w:highlight w:val="none"/>
              </w:rPr>
              <w:t>重大工程</w:t>
            </w:r>
          </w:p>
        </w:tc>
      </w:tr>
      <w:tr w14:paraId="3028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2" w:type="dxa"/>
            <w:noWrap w:val="0"/>
            <w:vAlign w:val="top"/>
          </w:tcPr>
          <w:p w14:paraId="223CE4E0">
            <w:pPr>
              <w:pStyle w:val="32"/>
              <w:keepNext w:val="0"/>
              <w:keepLines w:val="0"/>
              <w:pageBreakBefore w:val="0"/>
              <w:kinsoku/>
              <w:wordWrap/>
              <w:topLinePunct w:val="0"/>
              <w:autoSpaceDE/>
              <w:autoSpaceDN/>
              <w:bidi w:val="0"/>
              <w:adjustRightInd/>
              <w:spacing w:line="540" w:lineRule="exact"/>
              <w:ind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沙地治理</w:t>
            </w:r>
            <w:r>
              <w:rPr>
                <w:rFonts w:hint="eastAsia" w:ascii="Times New Roman" w:hAnsi="Times New Roman" w:eastAsia="仿宋_GB2312" w:cs="Times New Roman"/>
                <w:b w:val="0"/>
                <w:bCs w:val="0"/>
                <w:sz w:val="24"/>
                <w:highlight w:val="none"/>
              </w:rPr>
              <w:t>重点工程：重点</w:t>
            </w:r>
            <w:r>
              <w:rPr>
                <w:rFonts w:hint="eastAsia" w:ascii="Times New Roman" w:hAnsi="Times New Roman" w:eastAsia="仿宋_GB2312" w:cs="Times New Roman"/>
                <w:b w:val="0"/>
                <w:bCs w:val="0"/>
                <w:sz w:val="24"/>
                <w:highlight w:val="none"/>
                <w:lang w:val="en-US" w:eastAsia="zh-CN"/>
              </w:rPr>
              <w:t>推进</w:t>
            </w:r>
            <w:r>
              <w:rPr>
                <w:rFonts w:hint="eastAsia" w:ascii="Times New Roman" w:hAnsi="Times New Roman" w:eastAsia="仿宋_GB2312" w:cs="Times New Roman"/>
                <w:b w:val="0"/>
                <w:bCs w:val="0"/>
                <w:sz w:val="24"/>
                <w:highlight w:val="none"/>
                <w:lang w:eastAsia="zh-CN"/>
              </w:rPr>
              <w:t>科尔沁沙地综合治理、浑善达克沙地综合治理、“三北”工程林草湿荒一体化保护修复、防沙治沙和风电光伏一体化工程</w:t>
            </w:r>
            <w:r>
              <w:rPr>
                <w:rFonts w:hint="eastAsia" w:ascii="Times New Roman" w:hAnsi="Times New Roman" w:eastAsia="仿宋_GB2312" w:cs="Times New Roman"/>
                <w:b w:val="0"/>
                <w:bCs w:val="0"/>
                <w:sz w:val="24"/>
                <w:highlight w:val="none"/>
                <w:lang w:val="en-US" w:eastAsia="zh-CN"/>
              </w:rPr>
              <w:t>等工程项目。</w:t>
            </w:r>
          </w:p>
          <w:p w14:paraId="3AAA8566">
            <w:pPr>
              <w:pStyle w:val="32"/>
              <w:keepNext w:val="0"/>
              <w:keepLines w:val="0"/>
              <w:pageBreakBefore w:val="0"/>
              <w:kinsoku/>
              <w:wordWrap/>
              <w:topLinePunct w:val="0"/>
              <w:autoSpaceDE/>
              <w:autoSpaceDN/>
              <w:bidi w:val="0"/>
              <w:adjustRightInd/>
              <w:spacing w:line="540" w:lineRule="exact"/>
              <w:ind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流域治理重点工程</w:t>
            </w: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推进辽河流域西拉木伦河治理、辽河流域新开河治理、重点中小河流防洪治理（老哈河、东辽河、西辽河）、小流域综合治理提质增效项目（巴林右旗、克什克腾旗、翁牛特旗、宁城县、敖汉旗）、</w:t>
            </w:r>
            <w:r>
              <w:rPr>
                <w:rFonts w:hint="eastAsia" w:ascii="Times New Roman" w:hAnsi="Times New Roman" w:eastAsia="仿宋_GB2312" w:cs="Times New Roman"/>
                <w:b w:val="0"/>
                <w:bCs w:val="0"/>
                <w:sz w:val="24"/>
                <w:highlight w:val="none"/>
              </w:rPr>
              <w:t>乌力吉木仁河</w:t>
            </w:r>
            <w:r>
              <w:rPr>
                <w:rFonts w:hint="eastAsia" w:ascii="Times New Roman" w:hAnsi="Times New Roman" w:eastAsia="仿宋_GB2312" w:cs="Times New Roman"/>
                <w:b w:val="0"/>
                <w:bCs w:val="0"/>
                <w:sz w:val="24"/>
                <w:highlight w:val="none"/>
                <w:lang w:val="en-US" w:eastAsia="zh-CN"/>
              </w:rPr>
              <w:t>水</w:t>
            </w:r>
            <w:r>
              <w:rPr>
                <w:rFonts w:hint="eastAsia" w:ascii="Times New Roman" w:hAnsi="Times New Roman" w:eastAsia="仿宋_GB2312" w:cs="Times New Roman"/>
                <w:b w:val="0"/>
                <w:bCs w:val="0"/>
                <w:sz w:val="24"/>
                <w:highlight w:val="none"/>
              </w:rPr>
              <w:t>生态修复</w:t>
            </w:r>
            <w:r>
              <w:rPr>
                <w:rFonts w:hint="eastAsia" w:ascii="Times New Roman" w:hAnsi="Times New Roman" w:eastAsia="仿宋_GB2312" w:cs="Times New Roman"/>
                <w:b w:val="0"/>
                <w:bCs w:val="0"/>
                <w:sz w:val="24"/>
                <w:highlight w:val="none"/>
                <w:lang w:val="en-US" w:eastAsia="zh-CN"/>
              </w:rPr>
              <w:t>治理</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rPr>
              <w:t>八里罕河幸福河湖建设</w:t>
            </w:r>
            <w:r>
              <w:rPr>
                <w:rFonts w:hint="eastAsia" w:ascii="Times New Roman" w:hAnsi="Times New Roman" w:eastAsia="仿宋_GB2312" w:cs="Times New Roman"/>
                <w:b w:val="0"/>
                <w:bCs w:val="0"/>
                <w:sz w:val="24"/>
                <w:highlight w:val="none"/>
                <w:lang w:eastAsia="zh-CN"/>
              </w:rPr>
              <w:t>、锡泊河幸福河湖建设</w:t>
            </w:r>
            <w:r>
              <w:rPr>
                <w:rFonts w:hint="eastAsia" w:ascii="Times New Roman" w:hAnsi="Times New Roman" w:eastAsia="仿宋_GB2312" w:cs="Times New Roman"/>
                <w:b w:val="0"/>
                <w:bCs w:val="0"/>
                <w:sz w:val="24"/>
                <w:highlight w:val="none"/>
                <w:lang w:val="en-US" w:eastAsia="zh-CN"/>
              </w:rPr>
              <w:t>、敖汉旗河道治理（黑城子河等）、元宝山区河道治理（楼子店河等）、松山区河道治理（嘎河等）、红山区河道治理（英金河、昭苏河等）等工程项目。</w:t>
            </w:r>
          </w:p>
          <w:p w14:paraId="27C58F71">
            <w:pPr>
              <w:pStyle w:val="32"/>
              <w:keepNext w:val="0"/>
              <w:keepLines w:val="0"/>
              <w:pageBreakBefore w:val="0"/>
              <w:kinsoku/>
              <w:wordWrap/>
              <w:topLinePunct w:val="0"/>
              <w:autoSpaceDE/>
              <w:autoSpaceDN/>
              <w:bidi w:val="0"/>
              <w:adjustRightInd/>
              <w:spacing w:line="540" w:lineRule="exact"/>
              <w:textAlignment w:val="auto"/>
              <w:rPr>
                <w:rFonts w:hint="eastAsia" w:eastAsia="仿宋_GB2312"/>
                <w:b w:val="0"/>
                <w:bCs w:val="0"/>
                <w:sz w:val="24"/>
                <w:highlight w:val="none"/>
                <w:lang w:val="en-US" w:eastAsia="zh-CN"/>
              </w:rPr>
            </w:pPr>
            <w:r>
              <w:rPr>
                <w:rFonts w:hint="eastAsia" w:eastAsia="仿宋_GB2312"/>
                <w:b w:val="0"/>
                <w:bCs w:val="0"/>
                <w:sz w:val="24"/>
                <w:highlight w:val="none"/>
                <w:lang w:val="en-US" w:eastAsia="zh-CN"/>
              </w:rPr>
              <w:t>水生态修复重点工程：重点推进达里湖东岸生态保护修复工程、黑里河流域水生态保护修复等工程项目。</w:t>
            </w:r>
          </w:p>
          <w:p w14:paraId="026C369E">
            <w:pPr>
              <w:pStyle w:val="32"/>
              <w:keepNext w:val="0"/>
              <w:keepLines w:val="0"/>
              <w:pageBreakBefore w:val="0"/>
              <w:kinsoku/>
              <w:wordWrap/>
              <w:topLinePunct w:val="0"/>
              <w:autoSpaceDE/>
              <w:autoSpaceDN/>
              <w:bidi w:val="0"/>
              <w:adjustRightInd/>
              <w:spacing w:line="540" w:lineRule="exact"/>
              <w:textAlignment w:val="auto"/>
              <w:rPr>
                <w:rFonts w:hint="eastAsia" w:eastAsia="仿宋_GB2312"/>
                <w:b w:val="0"/>
                <w:bCs w:val="0"/>
                <w:sz w:val="24"/>
                <w:highlight w:val="none"/>
                <w:lang w:val="en-US" w:eastAsia="zh-CN"/>
              </w:rPr>
            </w:pPr>
            <w:r>
              <w:rPr>
                <w:rFonts w:hint="default" w:eastAsia="仿宋_GB2312"/>
                <w:b w:val="0"/>
                <w:bCs w:val="0"/>
                <w:sz w:val="24"/>
                <w:highlight w:val="none"/>
                <w:lang w:val="en-US" w:eastAsia="zh-CN"/>
              </w:rPr>
              <w:t>大气环境治理工程：重点推进水泥</w:t>
            </w:r>
            <w:r>
              <w:rPr>
                <w:rFonts w:hint="eastAsia" w:eastAsia="仿宋_GB2312"/>
                <w:b w:val="0"/>
                <w:bCs w:val="0"/>
                <w:sz w:val="24"/>
                <w:highlight w:val="none"/>
                <w:lang w:val="en-US" w:eastAsia="zh-CN"/>
              </w:rPr>
              <w:t>等</w:t>
            </w:r>
            <w:r>
              <w:rPr>
                <w:rFonts w:hint="default" w:eastAsia="仿宋_GB2312"/>
                <w:b w:val="0"/>
                <w:bCs w:val="0"/>
                <w:sz w:val="24"/>
                <w:highlight w:val="none"/>
                <w:lang w:val="en-US" w:eastAsia="zh-CN"/>
              </w:rPr>
              <w:t>行业企业超低排放改造</w:t>
            </w:r>
            <w:r>
              <w:rPr>
                <w:rFonts w:hint="eastAsia" w:eastAsia="仿宋_GB2312"/>
                <w:b w:val="0"/>
                <w:bCs w:val="0"/>
                <w:sz w:val="24"/>
                <w:highlight w:val="none"/>
                <w:lang w:val="en-US" w:eastAsia="zh-CN"/>
              </w:rPr>
              <w:t>。</w:t>
            </w:r>
          </w:p>
          <w:p w14:paraId="21CC6834">
            <w:pPr>
              <w:pStyle w:val="32"/>
              <w:keepNext w:val="0"/>
              <w:keepLines w:val="0"/>
              <w:pageBreakBefore w:val="0"/>
              <w:kinsoku/>
              <w:wordWrap/>
              <w:topLinePunct w:val="0"/>
              <w:autoSpaceDE/>
              <w:autoSpaceDN/>
              <w:bidi w:val="0"/>
              <w:adjustRightInd/>
              <w:spacing w:line="540" w:lineRule="exact"/>
              <w:textAlignment w:val="auto"/>
              <w:rPr>
                <w:rFonts w:hint="default" w:eastAsia="仿宋_GB2312"/>
                <w:b w:val="0"/>
                <w:bCs w:val="0"/>
                <w:sz w:val="24"/>
                <w:highlight w:val="none"/>
                <w:lang w:val="en-US" w:eastAsia="zh-CN"/>
              </w:rPr>
            </w:pPr>
            <w:r>
              <w:rPr>
                <w:rFonts w:hint="eastAsia" w:eastAsia="仿宋_GB2312"/>
                <w:b w:val="0"/>
                <w:bCs w:val="0"/>
                <w:sz w:val="24"/>
                <w:highlight w:val="none"/>
                <w:lang w:val="en-US" w:eastAsia="zh-CN"/>
              </w:rPr>
              <w:t>土壤环境治理工程：重点推进农用地土壤重金属污染溯源、土壤污染重点监管单位周边土壤及地下水监测等项目。</w:t>
            </w:r>
          </w:p>
        </w:tc>
      </w:tr>
    </w:tbl>
    <w:p w14:paraId="4A4DB6A1">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lang w:eastAsia="zh-CN"/>
        </w:rPr>
      </w:pPr>
    </w:p>
    <w:p w14:paraId="08F33544">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278" w:name="_Toc16177"/>
      <w:bookmarkStart w:id="279" w:name="_Toc6661"/>
      <w:bookmarkStart w:id="280" w:name="_Toc10870"/>
      <w:bookmarkStart w:id="281" w:name="_Toc21204"/>
      <w:bookmarkStart w:id="282" w:name="_Toc28400"/>
      <w:bookmarkStart w:id="283" w:name="_Toc11392"/>
      <w:bookmarkStart w:id="284" w:name="_Toc21002"/>
      <w:bookmarkStart w:id="285" w:name="_Toc9357"/>
      <w:bookmarkStart w:id="286" w:name="_Toc15942"/>
      <w:bookmarkStart w:id="287" w:name="_Toc7449"/>
      <w:bookmarkStart w:id="288" w:name="_Toc7140"/>
      <w:bookmarkStart w:id="289" w:name="_Toc8763"/>
      <w:bookmarkStart w:id="290" w:name="_Toc23316"/>
      <w:bookmarkStart w:id="291" w:name="_Toc17681"/>
      <w:bookmarkStart w:id="292" w:name="_Toc11229"/>
      <w:bookmarkStart w:id="293" w:name="_Toc10245"/>
      <w:bookmarkStart w:id="294" w:name="_Toc20502"/>
      <w:bookmarkStart w:id="295" w:name="_Toc6129"/>
      <w:bookmarkStart w:id="296" w:name="_Toc30206"/>
      <w:bookmarkStart w:id="297" w:name="_Toc24260"/>
      <w:bookmarkStart w:id="298" w:name="_Toc5816"/>
      <w:bookmarkStart w:id="299" w:name="_Toc22935"/>
      <w:bookmarkStart w:id="300" w:name="_Toc23172"/>
      <w:bookmarkStart w:id="301" w:name="_Toc29336"/>
      <w:bookmarkStart w:id="302" w:name="_Toc29096"/>
      <w:r>
        <w:rPr>
          <w:rFonts w:hint="eastAsia" w:ascii="黑体" w:hAnsi="黑体" w:eastAsia="黑体" w:cs="黑体"/>
          <w:b w:val="0"/>
          <w:bCs w:val="0"/>
          <w:sz w:val="32"/>
          <w:szCs w:val="32"/>
          <w:highlight w:val="none"/>
          <w:lang w:val="en-US" w:eastAsia="zh-CN"/>
        </w:rPr>
        <w:t>构建现代化产业体系，巩固壮大实体经济根基</w:t>
      </w:r>
      <w:bookmarkEnd w:id="278"/>
      <w:bookmarkEnd w:id="279"/>
      <w:bookmarkEnd w:id="280"/>
      <w:bookmarkEnd w:id="281"/>
      <w:bookmarkEnd w:id="282"/>
    </w:p>
    <w:p w14:paraId="026B2D35">
      <w:pPr>
        <w:pStyle w:val="43"/>
        <w:keepNext w:val="0"/>
        <w:keepLines w:val="0"/>
        <w:pageBreakBefore w:val="0"/>
        <w:widowControl/>
        <w:shd w:val="clear" w:color="auto" w:fill="auto"/>
        <w:kinsoku/>
        <w:wordWrap/>
        <w:overflowPunct/>
        <w:topLinePunct w:val="0"/>
        <w:autoSpaceDE/>
        <w:autoSpaceDN/>
        <w:bidi w:val="0"/>
        <w:adjustRightInd/>
        <w:snapToGrid/>
        <w:spacing w:before="157" w:beforeLines="50" w:after="157" w:afterLines="50" w:line="540" w:lineRule="exact"/>
        <w:jc w:val="both"/>
        <w:textAlignment w:val="auto"/>
        <w:outlineLvl w:val="9"/>
        <w:rPr>
          <w:rFonts w:hint="eastAsia" w:ascii="Times New Roman" w:hAnsi="Times New Roman" w:eastAsia="仿宋_GB2312" w:cs="方正仿宋_GBK"/>
          <w:b w:val="0"/>
          <w:bCs w:val="0"/>
          <w:sz w:val="32"/>
          <w:szCs w:val="32"/>
          <w:highlight w:val="none"/>
          <w:lang w:val="en-US" w:eastAsia="zh-CN"/>
        </w:rPr>
      </w:pPr>
      <w:r>
        <w:rPr>
          <w:rFonts w:hint="eastAsia" w:eastAsia="仿宋_GB2312" w:cs="方正仿宋_GBK"/>
          <w:b w:val="0"/>
          <w:bCs w:val="0"/>
          <w:sz w:val="32"/>
          <w:szCs w:val="32"/>
          <w:highlight w:val="none"/>
          <w:lang w:val="en-US" w:eastAsia="zh-CN"/>
        </w:rPr>
        <w:t>坚持以经济建设为中心，</w:t>
      </w:r>
      <w:r>
        <w:rPr>
          <w:rFonts w:hint="eastAsia" w:ascii="Times New Roman" w:hAnsi="Times New Roman" w:eastAsia="仿宋_GB2312" w:cs="方正仿宋_GBK"/>
          <w:b w:val="0"/>
          <w:bCs w:val="0"/>
          <w:sz w:val="32"/>
          <w:szCs w:val="32"/>
          <w:highlight w:val="none"/>
          <w:lang w:val="en-US" w:eastAsia="zh-CN"/>
        </w:rPr>
        <w:t>把</w:t>
      </w:r>
      <w:r>
        <w:rPr>
          <w:rFonts w:hint="eastAsia" w:eastAsia="仿宋_GB2312" w:cs="方正仿宋_GBK"/>
          <w:b w:val="0"/>
          <w:bCs w:val="0"/>
          <w:sz w:val="32"/>
          <w:szCs w:val="32"/>
          <w:highlight w:val="none"/>
          <w:lang w:val="en-US" w:eastAsia="zh-CN"/>
        </w:rPr>
        <w:t>构建现代化产业体系</w:t>
      </w:r>
      <w:r>
        <w:rPr>
          <w:rFonts w:hint="eastAsia" w:ascii="Times New Roman" w:hAnsi="Times New Roman" w:eastAsia="仿宋_GB2312" w:cs="方正仿宋_GBK"/>
          <w:b w:val="0"/>
          <w:bCs w:val="0"/>
          <w:sz w:val="32"/>
          <w:szCs w:val="32"/>
          <w:highlight w:val="none"/>
          <w:lang w:val="en-US" w:eastAsia="zh-CN"/>
        </w:rPr>
        <w:t>作为经济高质量发展的基础性、支撑性、决定性因素，瞄准智能化、绿色化、融合化方向，推动链条化、集群化发展，巩固壮大实体经济根基。</w:t>
      </w:r>
    </w:p>
    <w:p w14:paraId="23E496D2">
      <w:pPr>
        <w:keepNext w:val="0"/>
        <w:keepLines w:val="0"/>
        <w:pageBreakBefore w:val="0"/>
        <w:widowControl/>
        <w:numPr>
          <w:ilvl w:val="0"/>
          <w:numId w:val="5"/>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303" w:name="_Toc27654"/>
      <w:bookmarkStart w:id="304" w:name="_Toc24460"/>
      <w:bookmarkStart w:id="305" w:name="_Toc4904"/>
      <w:bookmarkStart w:id="306" w:name="_Toc19378"/>
      <w:bookmarkStart w:id="307" w:name="_Toc11158"/>
      <w:r>
        <w:rPr>
          <w:rFonts w:hint="eastAsia" w:ascii="楷体_GB2312" w:hAnsi="楷体_GB2312" w:eastAsia="楷体_GB2312" w:cs="楷体_GB2312"/>
          <w:b w:val="0"/>
          <w:bCs w:val="0"/>
          <w:color w:val="auto"/>
          <w:sz w:val="32"/>
          <w:szCs w:val="40"/>
          <w:highlight w:val="none"/>
          <w:lang w:val="en-US" w:eastAsia="zh-CN"/>
        </w:rPr>
        <w:t>深入实施工业强市战略</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3"/>
      <w:bookmarkEnd w:id="304"/>
      <w:bookmarkEnd w:id="305"/>
      <w:bookmarkEnd w:id="306"/>
      <w:bookmarkEnd w:id="307"/>
    </w:p>
    <w:p w14:paraId="7158332C">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eastAsia="仿宋_GB2312" w:cs="方正仿宋_GBK"/>
          <w:b w:val="0"/>
          <w:bCs w:val="0"/>
          <w:highlight w:val="none"/>
          <w:lang w:val="en-US" w:eastAsia="zh-CN"/>
        </w:rPr>
      </w:pPr>
      <w:r>
        <w:rPr>
          <w:rFonts w:hint="eastAsia" w:eastAsia="仿宋_GB2312" w:cs="方正仿宋_GBK"/>
          <w:b w:val="0"/>
          <w:bCs w:val="0"/>
          <w:highlight w:val="none"/>
          <w:lang w:val="en-US" w:eastAsia="zh-CN"/>
        </w:rPr>
        <w:t>锚定再造一个“工业赤峰”奋斗目标，</w:t>
      </w:r>
      <w:r>
        <w:rPr>
          <w:rFonts w:hint="eastAsia" w:ascii="Times New Roman" w:hAnsi="Times New Roman" w:eastAsia="仿宋_GB2312" w:cs="方正仿宋_GBK"/>
          <w:b w:val="0"/>
          <w:bCs w:val="0"/>
          <w:highlight w:val="none"/>
        </w:rPr>
        <w:t>依托资源优势和产业基础，</w:t>
      </w:r>
      <w:r>
        <w:rPr>
          <w:rFonts w:hint="eastAsia" w:eastAsia="仿宋_GB2312" w:cs="方正仿宋_GBK"/>
          <w:b w:val="0"/>
          <w:bCs w:val="0"/>
          <w:highlight w:val="none"/>
          <w:lang w:val="en-US" w:eastAsia="zh-CN"/>
        </w:rPr>
        <w:t>全方位推进质量强市建设，</w:t>
      </w:r>
      <w:r>
        <w:rPr>
          <w:rFonts w:hint="eastAsia" w:ascii="Times New Roman" w:hAnsi="Times New Roman" w:eastAsia="仿宋_GB2312" w:cs="方正仿宋_GBK"/>
          <w:b w:val="0"/>
          <w:bCs w:val="0"/>
          <w:highlight w:val="none"/>
          <w:lang w:val="en-US" w:eastAsia="zh-CN"/>
        </w:rPr>
        <w:t>接续实施“工业倍增”行动</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rPr>
        <w:t>构建“五链条</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两集群”现代</w:t>
      </w:r>
      <w:r>
        <w:rPr>
          <w:rFonts w:hint="eastAsia" w:eastAsia="仿宋_GB2312" w:cs="方正仿宋_GBK"/>
          <w:b w:val="0"/>
          <w:bCs w:val="0"/>
          <w:highlight w:val="none"/>
          <w:lang w:val="en-US" w:eastAsia="zh-CN"/>
        </w:rPr>
        <w:t>化</w:t>
      </w:r>
      <w:r>
        <w:rPr>
          <w:rFonts w:hint="eastAsia" w:ascii="Times New Roman" w:hAnsi="Times New Roman" w:eastAsia="仿宋_GB2312" w:cs="方正仿宋_GBK"/>
          <w:b w:val="0"/>
          <w:bCs w:val="0"/>
          <w:highlight w:val="none"/>
        </w:rPr>
        <w:t>工业体系，</w:t>
      </w:r>
      <w:r>
        <w:rPr>
          <w:rFonts w:hint="eastAsia" w:ascii="Times New Roman" w:hAnsi="Times New Roman" w:eastAsia="仿宋_GB2312" w:cs="方正仿宋_GBK"/>
          <w:b w:val="0"/>
          <w:bCs w:val="0"/>
          <w:highlight w:val="none"/>
          <w:lang w:val="en-US" w:eastAsia="zh-CN"/>
        </w:rPr>
        <w:t>全面提升工业经济支撑力、带动力、竞争力，更好助力自治区建设国家重要能源和战略资</w:t>
      </w:r>
      <w:r>
        <w:rPr>
          <w:rFonts w:hint="eastAsia" w:eastAsia="仿宋_GB2312" w:cs="方正仿宋_GBK"/>
          <w:b w:val="0"/>
          <w:bCs w:val="0"/>
          <w:highlight w:val="none"/>
          <w:lang w:val="en-US" w:eastAsia="zh-CN"/>
        </w:rPr>
        <w:t>源基地。到2030年，全市工业总产值达到4000亿元。</w:t>
      </w:r>
    </w:p>
    <w:p w14:paraId="79B01D52">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eastAsia="仿宋_GB2312" w:cs="方正仿宋_GBK"/>
          <w:b w:val="0"/>
          <w:bCs w:val="0"/>
          <w:highlight w:val="none"/>
          <w:lang w:val="en-US" w:eastAsia="zh-CN"/>
        </w:rPr>
      </w:pPr>
      <w:bookmarkStart w:id="308" w:name="_Toc19310"/>
      <w:bookmarkStart w:id="309" w:name="_Toc15552"/>
      <w:bookmarkStart w:id="310" w:name="_Toc20074"/>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highlight w:val="none"/>
          <w:lang w:val="en-US" w:eastAsia="zh-CN"/>
        </w:rPr>
        <w:t>优化提升传统产业</w:t>
      </w:r>
      <w:bookmarkEnd w:id="308"/>
      <w:bookmarkEnd w:id="309"/>
      <w:bookmarkEnd w:id="310"/>
      <w:r>
        <w:rPr>
          <w:rFonts w:hint="eastAsia" w:eastAsia="仿宋_GB2312" w:cs="方正仿宋_GBK"/>
          <w:b w:val="0"/>
          <w:bCs w:val="0"/>
          <w:highlight w:val="none"/>
          <w:lang w:val="en-US" w:eastAsia="zh-CN"/>
        </w:rPr>
        <w:t>。加快应用高新技术和先进适用技术，改造传统产业和传统企业，推进延链补链强链，推动传统产业向绿色化、高端化、智能化方向转型升级。</w:t>
      </w:r>
    </w:p>
    <w:p w14:paraId="300F4652">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highlight w:val="none"/>
          <w:lang w:val="en-US" w:eastAsia="zh-CN"/>
        </w:rPr>
      </w:pPr>
      <w:r>
        <w:rPr>
          <w:rFonts w:hint="default" w:eastAsia="仿宋_GB2312" w:cs="方正仿宋_GBK"/>
          <w:b w:val="0"/>
          <w:bCs w:val="0"/>
          <w:highlight w:val="none"/>
          <w:lang w:val="en-US" w:eastAsia="zh-CN"/>
        </w:rPr>
        <w:t>推动矿产资源扩量增储与精深转化</w:t>
      </w:r>
      <w:r>
        <w:rPr>
          <w:rFonts w:hint="eastAsia" w:eastAsia="仿宋_GB2312" w:cs="方正仿宋_GBK"/>
          <w:b w:val="0"/>
          <w:bCs w:val="0"/>
          <w:highlight w:val="none"/>
          <w:lang w:val="en-US" w:eastAsia="zh-CN"/>
        </w:rPr>
        <w:t>。</w:t>
      </w:r>
      <w:r>
        <w:rPr>
          <w:rFonts w:hint="default" w:eastAsia="仿宋_GB2312" w:cs="方正仿宋_GBK"/>
          <w:b w:val="0"/>
          <w:bCs w:val="0"/>
          <w:highlight w:val="none"/>
          <w:lang w:val="en-US" w:eastAsia="zh-CN"/>
        </w:rPr>
        <w:t>深入实施找矿突破行动</w:t>
      </w:r>
      <w:r>
        <w:rPr>
          <w:rFonts w:hint="eastAsia" w:ascii="Times New Roman" w:hAnsi="Times New Roman" w:eastAsia="仿宋_GB2312" w:cs="方正仿宋_GBK"/>
          <w:b w:val="0"/>
          <w:bCs w:val="0"/>
          <w:highlight w:val="none"/>
          <w:lang w:eastAsia="zh-CN"/>
        </w:rPr>
        <w:t>，按照“做大规模、做长链条、做出影响”</w:t>
      </w:r>
      <w:r>
        <w:rPr>
          <w:rFonts w:hint="eastAsia" w:eastAsia="仿宋_GB2312" w:cs="方正仿宋_GBK"/>
          <w:b w:val="0"/>
          <w:bCs w:val="0"/>
          <w:highlight w:val="none"/>
          <w:lang w:val="en-US" w:eastAsia="zh-CN"/>
        </w:rPr>
        <w:t>的矿业经济发展</w:t>
      </w:r>
      <w:r>
        <w:rPr>
          <w:rFonts w:hint="eastAsia" w:ascii="Times New Roman" w:hAnsi="Times New Roman" w:eastAsia="仿宋_GB2312" w:cs="方正仿宋_GBK"/>
          <w:b w:val="0"/>
          <w:bCs w:val="0"/>
          <w:highlight w:val="none"/>
          <w:lang w:eastAsia="zh-CN"/>
        </w:rPr>
        <w:t>思路，不断发掘矿产资源潜力，</w:t>
      </w:r>
      <w:r>
        <w:rPr>
          <w:rFonts w:hint="eastAsia" w:eastAsia="仿宋_GB2312" w:cs="方正仿宋_GBK"/>
          <w:b w:val="0"/>
          <w:bCs w:val="0"/>
          <w:highlight w:val="none"/>
          <w:lang w:val="en-US" w:eastAsia="zh-CN"/>
        </w:rPr>
        <w:t>推动</w:t>
      </w:r>
      <w:r>
        <w:rPr>
          <w:rFonts w:hint="eastAsia" w:ascii="Times New Roman" w:hAnsi="Times New Roman" w:eastAsia="仿宋_GB2312" w:cs="方正仿宋_GBK"/>
          <w:b w:val="0"/>
          <w:bCs w:val="0"/>
          <w:highlight w:val="none"/>
          <w:lang w:eastAsia="zh-CN"/>
        </w:rPr>
        <w:t>探、采、选、冶、加全产业链一体化绿色发展，为矿业经济二次振兴和工业倍增提供重要支撑。</w:t>
      </w:r>
      <w:r>
        <w:rPr>
          <w:rFonts w:hint="eastAsia" w:eastAsia="仿宋_GB2312" w:cs="方正仿宋_GBK"/>
          <w:b w:val="0"/>
          <w:bCs w:val="0"/>
          <w:highlight w:val="none"/>
          <w:lang w:val="en-US" w:eastAsia="zh-CN"/>
        </w:rPr>
        <w:t>做大矿业经济规模，加强铜、锡、金、锂等国家紧缺战略性矿种和铅、锌、银等优势矿种勘查，深入实施“就矿找矿”、深部探矿，努力实现增储上产；推动矿山整合，提升矿业经济开发利用水平。做长矿业产业链条，按照“资源保障、冶炼集群、精深加工、全链发展”的路径，上游重点加大矿山开采力度，切实保障资源供给；中游重点稳定现有冶炼规模；下游以打造锂基、铝基、冶金等产业链条和新材料产业集群为重点，积极引进一批精深加工企业和项目，进一步拉长产业链条。全面推进绿色矿山建设，到2028年底，绿色矿山建设工作机制更加完善，持证在产的90%大型矿山、80%中型矿山要达到绿色矿山标准要求，持证在产的小型矿山和剩余储量可采年限不足3年的生产矿山应参照绿色矿山标准管理。</w:t>
      </w:r>
    </w:p>
    <w:p w14:paraId="0C3379F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rPr>
      </w:pPr>
      <w:r>
        <w:rPr>
          <w:rFonts w:hint="default" w:eastAsia="仿宋_GB2312" w:cs="方正仿宋_GBK"/>
          <w:b w:val="0"/>
          <w:bCs w:val="0"/>
          <w:color w:val="auto"/>
          <w:sz w:val="32"/>
          <w:szCs w:val="32"/>
          <w:highlight w:val="none"/>
          <w:lang w:val="en-US" w:eastAsia="zh-CN"/>
        </w:rPr>
        <w:t>推动医药产业全链条发展</w:t>
      </w:r>
      <w:r>
        <w:rPr>
          <w:rFonts w:hint="eastAsia" w:eastAsia="仿宋_GB2312" w:cs="方正仿宋_GBK"/>
          <w:b w:val="0"/>
          <w:bCs w:val="0"/>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以做优原料药、做强化学制剂、做精中蒙药为重点</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全力释放现有企业产能，积极引进高附加值化学原料药、医药中间体、中药（蒙药）制剂等项目，打造医药产业集群。</w:t>
      </w:r>
      <w:r>
        <w:rPr>
          <w:rFonts w:hint="eastAsia" w:ascii="Times New Roman" w:hAnsi="Times New Roman" w:eastAsia="仿宋_GB2312" w:cs="方正仿宋_GBK"/>
          <w:b w:val="0"/>
          <w:bCs w:val="0"/>
          <w:highlight w:val="none"/>
        </w:rPr>
        <w:t>大力发展原料药，</w:t>
      </w:r>
      <w:r>
        <w:rPr>
          <w:rFonts w:hint="eastAsia" w:eastAsia="仿宋_GB2312" w:cs="方正仿宋_GBK"/>
          <w:b w:val="0"/>
          <w:bCs w:val="0"/>
          <w:highlight w:val="none"/>
          <w:lang w:val="en-US" w:eastAsia="zh-CN"/>
        </w:rPr>
        <w:t>充分</w:t>
      </w:r>
      <w:r>
        <w:rPr>
          <w:rFonts w:hint="eastAsia" w:ascii="Times New Roman" w:hAnsi="Times New Roman" w:eastAsia="仿宋_GB2312" w:cs="方正仿宋_GBK"/>
          <w:b w:val="0"/>
          <w:bCs w:val="0"/>
          <w:highlight w:val="none"/>
        </w:rPr>
        <w:t>释放现有企业产能</w:t>
      </w:r>
      <w:r>
        <w:rPr>
          <w:rFonts w:hint="eastAsia" w:eastAsia="仿宋_GB2312" w:cs="方正仿宋_GBK"/>
          <w:b w:val="0"/>
          <w:bCs w:val="0"/>
          <w:highlight w:val="none"/>
          <w:lang w:eastAsia="zh-CN"/>
        </w:rPr>
        <w:t>，</w:t>
      </w:r>
      <w:r>
        <w:rPr>
          <w:rFonts w:hint="eastAsia" w:eastAsia="仿宋_GB2312" w:cs="方正仿宋_GBK"/>
          <w:b w:val="0"/>
          <w:bCs w:val="0"/>
          <w:highlight w:val="none"/>
          <w:lang w:val="en-US" w:eastAsia="zh-CN"/>
        </w:rPr>
        <w:t>壮大原料药规模</w:t>
      </w:r>
      <w:r>
        <w:rPr>
          <w:rFonts w:hint="eastAsia" w:ascii="Times New Roman" w:hAnsi="Times New Roman" w:eastAsia="仿宋_GB2312" w:cs="方正仿宋_GBK"/>
          <w:b w:val="0"/>
          <w:bCs w:val="0"/>
          <w:highlight w:val="none"/>
        </w:rPr>
        <w:t>。创新发展化学制剂，通过“仿创”结合加速化学药新品种生产，推动化学药产业快速发展。振兴发展中蒙药，</w:t>
      </w:r>
      <w:r>
        <w:rPr>
          <w:rFonts w:hint="eastAsia" w:ascii="Times New Roman" w:hAnsi="Times New Roman" w:eastAsia="仿宋_GB2312" w:cs="方正仿宋_GBK"/>
          <w:b w:val="0"/>
          <w:bCs w:val="0"/>
          <w:color w:val="auto"/>
          <w:sz w:val="32"/>
          <w:szCs w:val="32"/>
          <w:highlight w:val="none"/>
        </w:rPr>
        <w:t>稳步提升特色中药材</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蒙药材</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种植规模和品质，发展壮大饮片、配方颗粒、制剂产业链</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highlight w:val="none"/>
        </w:rPr>
        <w:t>打造“道地药材种植</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中蒙药生产</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销售</w:t>
      </w:r>
      <w:r>
        <w:rPr>
          <w:rFonts w:hint="eastAsia" w:ascii="Times New Roman" w:hAnsi="Times New Roman" w:eastAsia="仿宋_GB2312" w:cs="方正仿宋_GBK"/>
          <w:b w:val="0"/>
          <w:bCs w:val="0"/>
          <w:color w:val="auto"/>
          <w:sz w:val="32"/>
          <w:szCs w:val="32"/>
          <w:highlight w:val="none"/>
        </w:rPr>
        <w:t>—临床应用</w:t>
      </w:r>
      <w:r>
        <w:rPr>
          <w:rFonts w:hint="eastAsia" w:ascii="Times New Roman" w:hAnsi="Times New Roman" w:eastAsia="仿宋_GB2312" w:cs="方正仿宋_GBK"/>
          <w:b w:val="0"/>
          <w:bCs w:val="0"/>
          <w:highlight w:val="none"/>
        </w:rPr>
        <w:t>”于一体的中药（蒙药）产业链条。到20</w:t>
      </w:r>
      <w:r>
        <w:rPr>
          <w:rFonts w:hint="eastAsia" w:ascii="Times New Roman" w:hAnsi="Times New Roman" w:eastAsia="仿宋_GB2312" w:cs="方正仿宋_GBK"/>
          <w:b w:val="0"/>
          <w:bCs w:val="0"/>
          <w:highlight w:val="none"/>
          <w:lang w:val="en-US" w:eastAsia="zh-CN"/>
        </w:rPr>
        <w:t>30</w:t>
      </w:r>
      <w:r>
        <w:rPr>
          <w:rFonts w:hint="eastAsia" w:ascii="Times New Roman" w:hAnsi="Times New Roman" w:eastAsia="仿宋_GB2312" w:cs="方正仿宋_GBK"/>
          <w:b w:val="0"/>
          <w:bCs w:val="0"/>
          <w:highlight w:val="none"/>
        </w:rPr>
        <w:t>年</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力争医药产业产值</w:t>
      </w:r>
      <w:r>
        <w:rPr>
          <w:rFonts w:hint="eastAsia" w:ascii="Times New Roman" w:hAnsi="Times New Roman" w:eastAsia="仿宋_GB2312" w:cs="方正仿宋_GBK"/>
          <w:b w:val="0"/>
          <w:bCs w:val="0"/>
          <w:highlight w:val="none"/>
        </w:rPr>
        <w:t>达到</w:t>
      </w:r>
      <w:r>
        <w:rPr>
          <w:rFonts w:hint="eastAsia" w:ascii="Times New Roman" w:hAnsi="Times New Roman" w:eastAsia="仿宋_GB2312" w:cs="方正仿宋_GBK"/>
          <w:b w:val="0"/>
          <w:bCs w:val="0"/>
          <w:highlight w:val="none"/>
          <w:lang w:val="en-US" w:eastAsia="zh-CN"/>
        </w:rPr>
        <w:t>35</w:t>
      </w:r>
      <w:r>
        <w:rPr>
          <w:rFonts w:hint="eastAsia" w:ascii="Times New Roman" w:hAnsi="Times New Roman" w:eastAsia="仿宋_GB2312" w:cs="方正仿宋_GBK"/>
          <w:b w:val="0"/>
          <w:bCs w:val="0"/>
          <w:highlight w:val="none"/>
        </w:rPr>
        <w:t>亿元。</w:t>
      </w:r>
    </w:p>
    <w:p w14:paraId="097CE86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default" w:eastAsia="仿宋_GB2312" w:cs="方正仿宋_GBK"/>
          <w:b w:val="0"/>
          <w:bCs w:val="0"/>
          <w:color w:val="auto"/>
          <w:sz w:val="32"/>
          <w:szCs w:val="32"/>
          <w:highlight w:val="none"/>
          <w:lang w:val="en-US" w:eastAsia="zh-CN"/>
        </w:rPr>
        <w:t>推动</w:t>
      </w:r>
      <w:r>
        <w:rPr>
          <w:rFonts w:hint="default" w:ascii="Times New Roman" w:hAnsi="Times New Roman" w:eastAsia="仿宋_GB2312" w:cs="方正仿宋_GBK"/>
          <w:b w:val="0"/>
          <w:bCs w:val="0"/>
          <w:color w:val="auto"/>
          <w:highlight w:val="none"/>
          <w:lang w:val="en-US" w:eastAsia="zh-CN"/>
        </w:rPr>
        <w:t>绒毛纺织</w:t>
      </w:r>
      <w:r>
        <w:rPr>
          <w:rFonts w:hint="default" w:eastAsia="仿宋_GB2312" w:cs="方正仿宋_GBK"/>
          <w:b w:val="0"/>
          <w:bCs w:val="0"/>
          <w:color w:val="auto"/>
          <w:highlight w:val="none"/>
          <w:lang w:val="en-US" w:eastAsia="zh-CN"/>
        </w:rPr>
        <w:t>提质创新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sz w:val="32"/>
          <w:szCs w:val="32"/>
          <w:highlight w:val="none"/>
        </w:rPr>
        <w:t>坚持推动纺织产业向集群化、高端化、品牌化方向发展，</w:t>
      </w:r>
      <w:r>
        <w:rPr>
          <w:rFonts w:hint="eastAsia" w:ascii="Times New Roman" w:hAnsi="Times New Roman" w:eastAsia="仿宋_GB2312" w:cs="方正仿宋_GBK"/>
          <w:b w:val="0"/>
          <w:bCs w:val="0"/>
          <w:color w:val="auto"/>
          <w:highlight w:val="none"/>
        </w:rPr>
        <w:t>支持绒毛加工企业实施一批改造升级项目，提高羊绒深加工水平</w:t>
      </w:r>
      <w:r>
        <w:rPr>
          <w:rFonts w:hint="eastAsia" w:ascii="Times New Roman" w:hAnsi="Times New Roman" w:eastAsia="仿宋_GB2312" w:cs="方正仿宋_GBK"/>
          <w:b w:val="0"/>
          <w:bCs w:val="0"/>
          <w:color w:val="auto"/>
          <w:sz w:val="32"/>
          <w:szCs w:val="32"/>
          <w:highlight w:val="none"/>
        </w:rPr>
        <w:t>，进一步强化全链条生产能力。</w:t>
      </w:r>
      <w:r>
        <w:rPr>
          <w:rFonts w:hint="eastAsia" w:ascii="Times New Roman" w:hAnsi="Times New Roman" w:eastAsia="仿宋_GB2312" w:cs="方正仿宋_GBK"/>
          <w:b w:val="0"/>
          <w:bCs w:val="0"/>
          <w:color w:val="auto"/>
          <w:highlight w:val="none"/>
        </w:rPr>
        <w:t>鼓励绒毛企业进行艺术创作和品牌创新，</w:t>
      </w:r>
      <w:r>
        <w:rPr>
          <w:rFonts w:hint="eastAsia" w:eastAsia="仿宋_GB2312" w:cs="方正仿宋_GBK"/>
          <w:b w:val="0"/>
          <w:bCs w:val="0"/>
          <w:color w:val="auto"/>
          <w:highlight w:val="none"/>
          <w:lang w:val="en-US" w:eastAsia="zh-CN"/>
        </w:rPr>
        <w:t>鼓励自主品牌走向国际市场，</w:t>
      </w:r>
      <w:r>
        <w:rPr>
          <w:rFonts w:hint="eastAsia" w:ascii="Times New Roman" w:hAnsi="Times New Roman" w:eastAsia="仿宋_GB2312" w:cs="方正仿宋_GBK"/>
          <w:b w:val="0"/>
          <w:bCs w:val="0"/>
          <w:color w:val="auto"/>
          <w:highlight w:val="none"/>
        </w:rPr>
        <w:t>提升羊绒制品竞争力</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eastAsia="zh-CN"/>
        </w:rPr>
        <w:t>3</w:t>
      </w:r>
      <w:r>
        <w:rPr>
          <w:rFonts w:hint="eastAsia" w:ascii="Times New Roman" w:hAnsi="Times New Roman" w:eastAsia="仿宋_GB2312" w:cs="方正仿宋_GBK"/>
          <w:b w:val="0"/>
          <w:bCs w:val="0"/>
          <w:color w:val="auto"/>
          <w:highlight w:val="none"/>
          <w:lang w:val="en-US" w:eastAsia="zh-CN"/>
        </w:rPr>
        <w:t>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力争绒毛纺织加工产业产值</w:t>
      </w:r>
      <w:r>
        <w:rPr>
          <w:rFonts w:hint="eastAsia" w:ascii="Times New Roman" w:hAnsi="Times New Roman" w:eastAsia="仿宋_GB2312" w:cs="方正仿宋_GBK"/>
          <w:b w:val="0"/>
          <w:bCs w:val="0"/>
          <w:color w:val="auto"/>
          <w:highlight w:val="none"/>
        </w:rPr>
        <w:t>达到</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亿元。</w:t>
      </w:r>
    </w:p>
    <w:p w14:paraId="02B6B7A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default" w:ascii="Times New Roman" w:hAnsi="Times New Roman" w:eastAsia="仿宋_GB2312" w:cs="方正仿宋_GBK"/>
          <w:b w:val="0"/>
          <w:bCs w:val="0"/>
          <w:color w:val="auto"/>
          <w:highlight w:val="none"/>
        </w:rPr>
        <w:t>推动建材行业多元发展</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color w:val="auto"/>
          <w:highlight w:val="none"/>
        </w:rPr>
        <w:t>以推动建材产品向高端化、智能化、绿色化方向发展为重点，优化产业结构，引导传统建材企业转型</w:t>
      </w:r>
      <w:r>
        <w:rPr>
          <w:rFonts w:hint="eastAsia" w:ascii="Times New Roman" w:hAnsi="Times New Roman" w:eastAsia="仿宋_GB2312" w:cs="方正仿宋_GBK"/>
          <w:b w:val="0"/>
          <w:bCs w:val="0"/>
          <w:color w:val="auto"/>
          <w:highlight w:val="none"/>
          <w:lang w:val="en-US" w:eastAsia="zh-CN"/>
        </w:rPr>
        <w:t>提质</w:t>
      </w:r>
      <w:r>
        <w:rPr>
          <w:rFonts w:hint="eastAsia" w:ascii="Times New Roman" w:hAnsi="Times New Roman" w:eastAsia="仿宋_GB2312" w:cs="方正仿宋_GBK"/>
          <w:b w:val="0"/>
          <w:bCs w:val="0"/>
          <w:color w:val="auto"/>
          <w:highlight w:val="none"/>
        </w:rPr>
        <w:t>，提高产业集中度。</w:t>
      </w:r>
      <w:r>
        <w:rPr>
          <w:rFonts w:hint="eastAsia" w:eastAsia="仿宋_GB2312" w:cs="方正仿宋_GBK"/>
          <w:b w:val="0"/>
          <w:bCs w:val="0"/>
          <w:color w:val="auto"/>
          <w:highlight w:val="none"/>
          <w:lang w:val="en-US" w:eastAsia="zh-CN"/>
        </w:rPr>
        <w:t>培育管道管材配套设施项目，延长产业链条。</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力争建材产业产值</w:t>
      </w:r>
      <w:r>
        <w:rPr>
          <w:rFonts w:hint="eastAsia" w:ascii="Times New Roman" w:hAnsi="Times New Roman" w:eastAsia="仿宋_GB2312" w:cs="方正仿宋_GBK"/>
          <w:b w:val="0"/>
          <w:bCs w:val="0"/>
          <w:color w:val="auto"/>
          <w:highlight w:val="none"/>
        </w:rPr>
        <w:t>达到</w:t>
      </w:r>
      <w:r>
        <w:rPr>
          <w:rFonts w:hint="eastAsia" w:ascii="Times New Roman" w:hAnsi="Times New Roman" w:eastAsia="仿宋_GB2312" w:cs="方正仿宋_GBK"/>
          <w:b w:val="0"/>
          <w:bCs w:val="0"/>
          <w:color w:val="auto"/>
          <w:highlight w:val="none"/>
          <w:lang w:val="en-US" w:eastAsia="zh-CN"/>
        </w:rPr>
        <w:t>80</w:t>
      </w:r>
      <w:r>
        <w:rPr>
          <w:rFonts w:hint="eastAsia" w:ascii="Times New Roman" w:hAnsi="Times New Roman" w:eastAsia="仿宋_GB2312" w:cs="方正仿宋_GBK"/>
          <w:b w:val="0"/>
          <w:bCs w:val="0"/>
          <w:color w:val="auto"/>
          <w:highlight w:val="none"/>
        </w:rPr>
        <w:t>亿元。</w:t>
      </w:r>
    </w:p>
    <w:p w14:paraId="31B64D4F">
      <w:pPr>
        <w:pStyle w:val="43"/>
        <w:keepNext w:val="0"/>
        <w:keepLines w:val="0"/>
        <w:pageBreakBefore w:val="0"/>
        <w:shd w:val="clear" w:color="auto" w:fill="auto"/>
        <w:kinsoku/>
        <w:wordWrap/>
        <w:topLinePunct w:val="0"/>
        <w:autoSpaceDE/>
        <w:autoSpaceDN/>
        <w:bidi w:val="0"/>
        <w:adjustRightInd/>
        <w:spacing w:after="0" w:afterAutospacing="0" w:line="540" w:lineRule="exact"/>
        <w:ind w:firstLine="624" w:firstLineChars="200"/>
        <w:textAlignment w:val="auto"/>
        <w:outlineLvl w:val="9"/>
        <w:rPr>
          <w:rFonts w:hint="eastAsia" w:ascii="Times New Roman" w:hAnsi="Times New Roman" w:eastAsia="方正仿宋_GBK" w:cs="方正仿宋_GBK"/>
          <w:b w:val="0"/>
          <w:bCs w:val="0"/>
          <w:color w:val="auto"/>
          <w:spacing w:val="-6"/>
          <w:sz w:val="32"/>
          <w:szCs w:val="32"/>
          <w:highlight w:val="none"/>
        </w:rPr>
      </w:pPr>
      <w:r>
        <w:rPr>
          <w:rFonts w:hint="default" w:eastAsia="仿宋_GB2312" w:cs="方正仿宋_GBK"/>
          <w:b w:val="0"/>
          <w:bCs w:val="0"/>
          <w:color w:val="auto"/>
          <w:highlight w:val="none"/>
          <w:lang w:val="en-US" w:eastAsia="zh-CN"/>
        </w:rPr>
        <w:t>推动产业数智化绿色化发展</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持续实施技改提能行动和大规模设备更新工程，加快冶金、化工、建材等重点行业高端化、智能化、数字化、绿色化改造。</w:t>
      </w:r>
      <w:r>
        <w:rPr>
          <w:rFonts w:hint="eastAsia" w:ascii="Times New Roman" w:hAnsi="Times New Roman" w:eastAsia="仿宋_GB2312" w:cs="方正仿宋_GBK"/>
          <w:b w:val="0"/>
          <w:bCs w:val="0"/>
          <w:color w:val="auto"/>
          <w:sz w:val="32"/>
          <w:szCs w:val="32"/>
          <w:highlight w:val="none"/>
        </w:rPr>
        <w:t>探索</w:t>
      </w:r>
      <w:r>
        <w:rPr>
          <w:rFonts w:hint="eastAsia" w:ascii="Times New Roman" w:hAnsi="Times New Roman" w:eastAsia="仿宋_GB2312" w:cs="方正仿宋_GBK"/>
          <w:b w:val="0"/>
          <w:bCs w:val="0"/>
          <w:color w:val="auto"/>
          <w:sz w:val="32"/>
          <w:szCs w:val="32"/>
          <w:highlight w:val="none"/>
          <w:lang w:val="en-US" w:eastAsia="zh-CN"/>
        </w:rPr>
        <w:t>冶金、化工等重点产业</w:t>
      </w:r>
      <w:r>
        <w:rPr>
          <w:rFonts w:hint="eastAsia" w:ascii="Times New Roman" w:hAnsi="Times New Roman" w:eastAsia="仿宋_GB2312" w:cs="方正仿宋_GBK"/>
          <w:b w:val="0"/>
          <w:bCs w:val="0"/>
          <w:color w:val="auto"/>
          <w:sz w:val="32"/>
          <w:szCs w:val="32"/>
          <w:highlight w:val="none"/>
        </w:rPr>
        <w:t>与绿氢、碳捕集利用与封存</w:t>
      </w:r>
      <w:r>
        <w:rPr>
          <w:rFonts w:hint="eastAsia"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CCUS</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耦合发展模式，积极推进</w:t>
      </w:r>
      <w:r>
        <w:rPr>
          <w:rFonts w:hint="eastAsia" w:ascii="Times New Roman" w:hAnsi="Times New Roman" w:eastAsia="仿宋_GB2312" w:cs="方正仿宋_GBK"/>
          <w:b w:val="0"/>
          <w:bCs w:val="0"/>
          <w:color w:val="auto"/>
          <w:sz w:val="32"/>
          <w:szCs w:val="32"/>
          <w:highlight w:val="none"/>
          <w:lang w:val="en-US" w:eastAsia="zh-CN"/>
        </w:rPr>
        <w:t>前沿</w:t>
      </w:r>
      <w:r>
        <w:rPr>
          <w:rFonts w:hint="eastAsia" w:ascii="Times New Roman" w:hAnsi="Times New Roman" w:eastAsia="仿宋_GB2312" w:cs="方正仿宋_GBK"/>
          <w:b w:val="0"/>
          <w:bCs w:val="0"/>
          <w:color w:val="auto"/>
          <w:sz w:val="32"/>
          <w:szCs w:val="32"/>
          <w:highlight w:val="none"/>
        </w:rPr>
        <w:t>技术研发和工业化应用。加快工业数字化转型</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以工业互联网赋能制造业数字化转型为主线，打造一批技术引领、集成协同、绿色低碳的智能工厂。推行普惠性“上云用数赋智”服务，扩大数字化转型系统解决方案场景覆盖领域，创新数字化、网络化、智能化改造应用场景赋能模式</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支持企业建设企业级工业互联网平台，实现生产、仓储、物流、销售等环节数字化管理和协同。鼓励企</w:t>
      </w:r>
      <w:r>
        <w:rPr>
          <w:rFonts w:hint="eastAsia" w:ascii="Times New Roman" w:hAnsi="Times New Roman" w:eastAsia="仿宋_GB2312" w:cs="方正仿宋_GBK"/>
          <w:b w:val="0"/>
          <w:bCs w:val="0"/>
          <w:color w:val="auto"/>
          <w:spacing w:val="-6"/>
          <w:sz w:val="32"/>
          <w:szCs w:val="32"/>
          <w:highlight w:val="none"/>
        </w:rPr>
        <w:t>业使用行业级或区域级工业互联网平台。推广应用工业机器人、智能传感、AGV小车等智能装备，实现关键工序的自动化、智能化。</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726F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E8C2D6D">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3 传统产业提升</w:t>
            </w:r>
            <w:r>
              <w:rPr>
                <w:rFonts w:hint="eastAsia" w:ascii="Times New Roman" w:hAnsi="Times New Roman" w:eastAsia="仿宋_GB2312" w:cs="Times New Roman"/>
                <w:b w:val="0"/>
                <w:bCs w:val="0"/>
                <w:sz w:val="24"/>
                <w:highlight w:val="none"/>
              </w:rPr>
              <w:t>重大工程</w:t>
            </w:r>
          </w:p>
        </w:tc>
      </w:tr>
      <w:tr w14:paraId="7DF0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907F227">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医药产业重点工程：按照全力释放存量、扩大增量、提高质量发展思路，重点引进创新药、高端仿制药、中药饮片加工、中成药生产、传统蒙药新剂型研发、生物药品制造等相关项目。</w:t>
            </w:r>
          </w:p>
          <w:p w14:paraId="4A18AD61">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绒毛纺织重点工程：按照“绿色、精品、高端”发展方向，强化创新链、拉长产业链、完善交易链，重点推进羊绒产业园、高端时尚羊绒面料数字化研发等工程项目。</w:t>
            </w:r>
          </w:p>
          <w:p w14:paraId="65BC0AB6">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食品加工重点工程：按照“粮头食尾”、“畜头肉尾”、“农头工尾”发展思路，大力发展农畜产品精深加工，培育引进一批精深加工企业，推动生产加工、产品研新等环节延链补链强链。</w:t>
            </w:r>
          </w:p>
          <w:p w14:paraId="36EFC00F">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建材产业重点工程：按照调整产品结构、淘汰落后产能、推动绿色低碳的发展思路，推动水泥企业兼并重组，发展花岗岩石材加工、混凝土预制件等产品。</w:t>
            </w:r>
          </w:p>
          <w:p w14:paraId="0C67288A">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szCs w:val="28"/>
                <w:highlight w:val="none"/>
                <w:lang w:val="en-US" w:eastAsia="zh-CN"/>
              </w:rPr>
              <w:t>传统产业数字化绿色化重点工程：推进冶金、化工、建材等重点行业和重点企业绿色低碳发展、智慧化改造和数字化转型，培育建设一批国家级、自治区级绿色工厂、绿色工业园区及绿色供应链企业。支持产业数智化改造，实施企业“智改数转网联”行动，建设一批智能工厂、智能车间、智能生产线。</w:t>
            </w:r>
          </w:p>
        </w:tc>
      </w:tr>
    </w:tbl>
    <w:p w14:paraId="59E51A0D">
      <w:pPr>
        <w:keepNext w:val="0"/>
        <w:keepLines w:val="0"/>
        <w:pageBreakBefore w:val="0"/>
        <w:kinsoku/>
        <w:wordWrap/>
        <w:topLinePunct w:val="0"/>
        <w:autoSpaceDE/>
        <w:autoSpaceDN/>
        <w:bidi w:val="0"/>
        <w:adjustRightInd/>
        <w:spacing w:line="540" w:lineRule="exact"/>
        <w:textAlignment w:val="auto"/>
        <w:rPr>
          <w:rFonts w:hint="default"/>
          <w:b w:val="0"/>
          <w:bCs w:val="0"/>
          <w:highlight w:val="none"/>
        </w:rPr>
      </w:pPr>
    </w:p>
    <w:p w14:paraId="797AD5D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lang w:val="en-US" w:eastAsia="zh-CN"/>
        </w:rPr>
      </w:pPr>
      <w:bookmarkStart w:id="311" w:name="_Toc10403"/>
      <w:bookmarkStart w:id="312" w:name="_Toc10227"/>
      <w:bookmarkStart w:id="313" w:name="_Toc7764"/>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打造优势产业集群</w:t>
      </w:r>
      <w:bookmarkEnd w:id="311"/>
      <w:bookmarkEnd w:id="312"/>
      <w:bookmarkEnd w:id="313"/>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highlight w:val="none"/>
          <w:lang w:val="en-US" w:eastAsia="zh-CN"/>
        </w:rPr>
        <w:t>加快推进锂基、铝基、冶金、化工、氢能五条千亿</w:t>
      </w:r>
      <w:r>
        <w:rPr>
          <w:rFonts w:hint="eastAsia" w:ascii="Times New Roman" w:hAnsi="Times New Roman" w:eastAsia="仿宋_GB2312" w:cs="方正仿宋_GBK"/>
          <w:b w:val="0"/>
          <w:bCs w:val="0"/>
          <w:color w:val="auto"/>
          <w:highlight w:val="none"/>
          <w:lang w:val="en-US" w:eastAsia="zh-CN"/>
        </w:rPr>
        <w:t>级产业链和新能源、新材料两大产业集群建设。</w:t>
      </w:r>
    </w:p>
    <w:p w14:paraId="2524DBF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方正仿宋_GBK" w:cs="方正仿宋_GBK"/>
          <w:b w:val="0"/>
          <w:bCs w:val="0"/>
          <w:highlight w:val="none"/>
        </w:rPr>
      </w:pPr>
      <w:r>
        <w:rPr>
          <w:rFonts w:hint="eastAsia" w:ascii="Times New Roman" w:hAnsi="Times New Roman" w:eastAsia="仿宋_GB2312" w:cs="方正仿宋_GBK"/>
          <w:b w:val="0"/>
          <w:bCs w:val="0"/>
          <w:color w:val="auto"/>
          <w:highlight w:val="none"/>
          <w:lang w:val="en-US" w:eastAsia="zh-CN"/>
        </w:rPr>
        <w:t>打造新能源全链条产业集群。大力发展现代能源经济，打造自治区绿色能源综合应用先行区，构建全国重要现代</w:t>
      </w:r>
      <w:r>
        <w:rPr>
          <w:rFonts w:hint="eastAsia" w:eastAsia="仿宋_GB2312" w:cs="方正仿宋_GBK"/>
          <w:b w:val="0"/>
          <w:bCs w:val="0"/>
          <w:highlight w:val="none"/>
          <w:lang w:val="en-US" w:eastAsia="zh-CN"/>
        </w:rPr>
        <w:t>能源产业基地。加快推进“沙戈荒”新能源基地建设，抓好总装机800万千瓦大基地收尾工程，争取更多保障性新能源竞配指标和新能源外送通道大基地落地建设，力促新增新能源重点转向以绿电直连为代表的市场化消纳模式。到2030年，全市新能源总装机规模达到4000万千瓦。做大新能源就地消纳规模，以建设绿色高载能产业承接基地、自治区绿色氢氨醇一体化产业基地为目标，加速实施总装机1000万千瓦源网荷储一体化项目，统筹布局总装机1000万千瓦风光制绿色氢氨醇一体化项目。到2030年，全市绿电直连消纳新能源总装机规模达到1600万千瓦。大力发展新型储能，以建设蒙东储能产业基地为目标，着力打造以大规模独立共享储能电站群和克旗、宁城、左旗三大抽水蓄能电站为骨干、新能源配储为补充的多元储能体系。到2030年，全市储能装机规模达到800万千瓦。大力发展新能源制造，以建设好蒙东新能源装备制造产业链基地为目标，加快壮大风电、光伏、氢能、储能装备制造产业集群。到2030年，全市新能源装备制造规模在“十四五”基础上实现倍增。</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3842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E60DD0A">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4 新能源产业集群</w:t>
            </w:r>
            <w:r>
              <w:rPr>
                <w:rFonts w:hint="eastAsia" w:ascii="Times New Roman" w:hAnsi="Times New Roman" w:eastAsia="仿宋_GB2312" w:cs="Times New Roman"/>
                <w:b w:val="0"/>
                <w:bCs w:val="0"/>
                <w:sz w:val="24"/>
                <w:highlight w:val="none"/>
              </w:rPr>
              <w:t>重大工程</w:t>
            </w:r>
          </w:p>
        </w:tc>
      </w:tr>
      <w:tr w14:paraId="1CC5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A9DF8C6">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b w:val="0"/>
                <w:bCs w:val="0"/>
                <w:sz w:val="24"/>
                <w:szCs w:val="24"/>
                <w:highlight w:val="none"/>
                <w:lang w:val="en-US" w:eastAsia="zh-CN"/>
              </w:rPr>
            </w:pPr>
            <w:r>
              <w:rPr>
                <w:rFonts w:hint="eastAsia" w:ascii="Times New Roman" w:hAnsi="Times New Roman" w:eastAsia="仿宋_GB2312"/>
                <w:b w:val="0"/>
                <w:bCs w:val="0"/>
                <w:sz w:val="24"/>
                <w:szCs w:val="24"/>
                <w:highlight w:val="none"/>
                <w:lang w:val="en-US" w:eastAsia="zh-CN"/>
              </w:rPr>
              <w:t>保障性新能源重点工程：重点推进总装机800万千瓦大型风光基地、总装机1150万千瓦新能源外送基地等“沙戈荒”大基地工程。</w:t>
            </w:r>
          </w:p>
          <w:p w14:paraId="5126AEE4">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b w:val="0"/>
                <w:bCs w:val="0"/>
                <w:sz w:val="24"/>
                <w:szCs w:val="24"/>
                <w:highlight w:val="none"/>
                <w:lang w:val="en-US" w:eastAsia="zh-CN"/>
              </w:rPr>
            </w:pPr>
            <w:r>
              <w:rPr>
                <w:rFonts w:hint="eastAsia" w:ascii="Times New Roman" w:hAnsi="Times New Roman" w:eastAsia="仿宋_GB2312"/>
                <w:b w:val="0"/>
                <w:bCs w:val="0"/>
                <w:sz w:val="24"/>
                <w:szCs w:val="24"/>
                <w:highlight w:val="none"/>
                <w:lang w:val="en-US" w:eastAsia="zh-CN"/>
              </w:rPr>
              <w:t>市场化新能源重点工程：用足用好绿电直连价格机制，加速形成“低电价”洼地效应，系统布局铝基新材料、锂基新材料、大型冶金化工、先进算力中心等四大“新能源+”特色产业集群。</w:t>
            </w:r>
          </w:p>
          <w:p w14:paraId="6D658143">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b w:val="0"/>
                <w:bCs w:val="0"/>
                <w:sz w:val="24"/>
                <w:szCs w:val="24"/>
                <w:highlight w:val="none"/>
                <w:lang w:val="en-US" w:eastAsia="zh-CN"/>
              </w:rPr>
            </w:pPr>
            <w:r>
              <w:rPr>
                <w:rFonts w:hint="eastAsia" w:ascii="Times New Roman" w:hAnsi="Times New Roman" w:eastAsia="仿宋_GB2312"/>
                <w:b w:val="0"/>
                <w:bCs w:val="0"/>
                <w:sz w:val="24"/>
                <w:szCs w:val="24"/>
                <w:highlight w:val="none"/>
                <w:lang w:val="en-US" w:eastAsia="zh-CN"/>
              </w:rPr>
              <w:t>独立新型储能重点工程：重点推进集中式、大容量、长周期独立新型储能设施建设，提升电网调峰调频能力与跨区域优化配置能力。</w:t>
            </w:r>
          </w:p>
          <w:p w14:paraId="1DB5F014">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b w:val="0"/>
                <w:bCs w:val="0"/>
                <w:highlight w:val="none"/>
                <w:lang w:val="en-US" w:eastAsia="zh-CN"/>
              </w:rPr>
            </w:pPr>
            <w:r>
              <w:rPr>
                <w:rFonts w:hint="eastAsia" w:ascii="Times New Roman" w:hAnsi="Times New Roman" w:eastAsia="仿宋_GB2312"/>
                <w:b w:val="0"/>
                <w:bCs w:val="0"/>
                <w:sz w:val="24"/>
                <w:szCs w:val="24"/>
                <w:highlight w:val="none"/>
                <w:lang w:val="en-US" w:eastAsia="zh-CN"/>
              </w:rPr>
              <w:t>新能源装备制造重点工程：壮大风电、光伏、氢能、储能装备制造产业集群，推动关键零部件核心技术自主化、本地化生产和上下游协同发展，提升产业链协同效率和整体竞争力。</w:t>
            </w:r>
          </w:p>
        </w:tc>
      </w:tr>
    </w:tbl>
    <w:p w14:paraId="49CF43D1">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rPr>
      </w:pPr>
    </w:p>
    <w:p w14:paraId="024A331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color w:val="auto"/>
          <w:highlight w:val="none"/>
        </w:rPr>
        <w:t>打造千亿级锂基新材料产业</w:t>
      </w:r>
      <w:r>
        <w:rPr>
          <w:rFonts w:hint="eastAsia" w:ascii="Times New Roman" w:hAnsi="Times New Roman" w:eastAsia="仿宋_GB2312" w:cs="方正仿宋_GBK"/>
          <w:b w:val="0"/>
          <w:bCs w:val="0"/>
          <w:color w:val="auto"/>
          <w:highlight w:val="none"/>
          <w:lang w:val="en-US" w:eastAsia="zh-CN"/>
        </w:rPr>
        <w:t>链条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rPr>
        <w:t>聚焦</w:t>
      </w:r>
      <w:r>
        <w:rPr>
          <w:rFonts w:hint="eastAsia" w:ascii="Times New Roman" w:hAnsi="Times New Roman" w:eastAsia="仿宋_GB2312" w:cs="方正仿宋_GBK"/>
          <w:b w:val="0"/>
          <w:bCs w:val="0"/>
          <w:highlight w:val="none"/>
          <w:lang w:val="en-US" w:eastAsia="zh-CN"/>
        </w:rPr>
        <w:t>建设</w:t>
      </w:r>
      <w:r>
        <w:rPr>
          <w:rFonts w:hint="eastAsia" w:ascii="Times New Roman" w:hAnsi="Times New Roman" w:eastAsia="仿宋_GB2312" w:cs="方正仿宋_GBK"/>
          <w:b w:val="0"/>
          <w:bCs w:val="0"/>
          <w:highlight w:val="none"/>
        </w:rPr>
        <w:t>“绿色锂都”目标，</w:t>
      </w:r>
      <w:r>
        <w:rPr>
          <w:rFonts w:hint="eastAsia" w:ascii="Times New Roman" w:hAnsi="Times New Roman" w:eastAsia="仿宋_GB2312" w:cs="方正仿宋_GBK"/>
          <w:b w:val="0"/>
          <w:bCs w:val="0"/>
          <w:color w:val="auto"/>
          <w:highlight w:val="none"/>
        </w:rPr>
        <w:t>推动锂产业加快成链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highlight w:val="none"/>
        </w:rPr>
        <w:t>依托锂多金属矿资源优势，重点发展“锂矿石采选—基础锂盐—正负极材料—隔膜—电解液—电芯制造—电池回收”全生命周期产业链</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构建</w:t>
      </w:r>
      <w:r>
        <w:rPr>
          <w:rFonts w:hint="eastAsia" w:ascii="Times New Roman" w:hAnsi="Times New Roman" w:eastAsia="仿宋_GB2312" w:cs="方正仿宋_GBK"/>
          <w:b w:val="0"/>
          <w:bCs w:val="0"/>
          <w:highlight w:val="none"/>
        </w:rPr>
        <w:t>完善</w:t>
      </w:r>
      <w:r>
        <w:rPr>
          <w:rFonts w:hint="eastAsia" w:ascii="Times New Roman" w:hAnsi="Times New Roman" w:eastAsia="仿宋_GB2312" w:cs="方正仿宋_GBK"/>
          <w:b w:val="0"/>
          <w:bCs w:val="0"/>
          <w:highlight w:val="none"/>
          <w:lang w:val="en-US" w:eastAsia="zh-CN"/>
        </w:rPr>
        <w:t>锂</w:t>
      </w:r>
      <w:r>
        <w:rPr>
          <w:rFonts w:hint="eastAsia" w:ascii="Times New Roman" w:hAnsi="Times New Roman" w:eastAsia="仿宋_GB2312" w:cs="方正仿宋_GBK"/>
          <w:b w:val="0"/>
          <w:bCs w:val="0"/>
          <w:highlight w:val="none"/>
        </w:rPr>
        <w:t>产业生态，</w:t>
      </w:r>
      <w:r>
        <w:rPr>
          <w:rFonts w:hint="eastAsia" w:ascii="Times New Roman" w:hAnsi="Times New Roman" w:eastAsia="仿宋_GB2312" w:cs="方正仿宋_GBK"/>
          <w:b w:val="0"/>
          <w:bCs w:val="0"/>
          <w:highlight w:val="none"/>
          <w:lang w:val="en-US" w:eastAsia="zh-CN"/>
        </w:rPr>
        <w:t>打造</w:t>
      </w:r>
      <w:r>
        <w:rPr>
          <w:rFonts w:hint="eastAsia" w:ascii="Times New Roman" w:hAnsi="Times New Roman" w:eastAsia="仿宋_GB2312" w:cs="方正仿宋_GBK"/>
          <w:b w:val="0"/>
          <w:bCs w:val="0"/>
          <w:highlight w:val="none"/>
        </w:rPr>
        <w:t>全国具有重要影响力的锂电产业基地。加快锂多金属矿开发，增强锂产业资源保障能力。</w:t>
      </w:r>
      <w:r>
        <w:rPr>
          <w:rFonts w:hint="eastAsia" w:ascii="Times New Roman" w:hAnsi="Times New Roman" w:eastAsia="仿宋_GB2312" w:cs="方正仿宋_GBK"/>
          <w:b w:val="0"/>
          <w:bCs w:val="0"/>
          <w:highlight w:val="none"/>
          <w:lang w:val="en-US" w:eastAsia="zh-CN"/>
        </w:rPr>
        <w:t>着力延伸产业链条，</w:t>
      </w:r>
      <w:r>
        <w:rPr>
          <w:rFonts w:hint="eastAsia" w:eastAsia="仿宋_GB2312" w:cs="方正仿宋_GBK"/>
          <w:b w:val="0"/>
          <w:bCs w:val="0"/>
          <w:highlight w:val="none"/>
          <w:lang w:val="en-US" w:eastAsia="zh-CN"/>
        </w:rPr>
        <w:t>对接国内锂电相关企业，</w:t>
      </w:r>
      <w:r>
        <w:rPr>
          <w:rFonts w:hint="eastAsia" w:ascii="Times New Roman" w:hAnsi="Times New Roman" w:eastAsia="仿宋_GB2312" w:cs="方正仿宋_GBK"/>
          <w:b w:val="0"/>
          <w:bCs w:val="0"/>
          <w:highlight w:val="none"/>
        </w:rPr>
        <w:t>积极谋划</w:t>
      </w:r>
      <w:r>
        <w:rPr>
          <w:rFonts w:hint="eastAsia" w:ascii="Times New Roman" w:hAnsi="Times New Roman" w:eastAsia="仿宋_GB2312" w:cs="方正仿宋_GBK"/>
          <w:b w:val="0"/>
          <w:bCs w:val="0"/>
          <w:highlight w:val="none"/>
          <w:lang w:val="en-US" w:eastAsia="zh-CN"/>
        </w:rPr>
        <w:t>推进</w:t>
      </w:r>
      <w:r>
        <w:rPr>
          <w:rFonts w:hint="eastAsia" w:ascii="Times New Roman" w:hAnsi="Times New Roman" w:eastAsia="仿宋_GB2312" w:cs="方正仿宋_GBK"/>
          <w:b w:val="0"/>
          <w:bCs w:val="0"/>
          <w:highlight w:val="none"/>
        </w:rPr>
        <w:t>一批碳酸锂、磷酸铁锂、锂电池正极材料</w:t>
      </w:r>
      <w:r>
        <w:rPr>
          <w:rFonts w:hint="eastAsia" w:eastAsia="仿宋_GB2312" w:cs="方正仿宋_GBK"/>
          <w:b w:val="0"/>
          <w:bCs w:val="0"/>
          <w:highlight w:val="none"/>
          <w:lang w:val="en-US" w:eastAsia="zh-CN"/>
        </w:rPr>
        <w:t>等</w:t>
      </w:r>
      <w:r>
        <w:rPr>
          <w:rFonts w:hint="eastAsia" w:ascii="Times New Roman" w:hAnsi="Times New Roman" w:eastAsia="仿宋_GB2312" w:cs="方正仿宋_GBK"/>
          <w:b w:val="0"/>
          <w:bCs w:val="0"/>
          <w:highlight w:val="none"/>
        </w:rPr>
        <w:t>锂电全产业链项目，力促钛白粉、磷酸铁、磷酸铁锂、电芯等系列项目落地实施。到20</w:t>
      </w:r>
      <w:r>
        <w:rPr>
          <w:rFonts w:hint="eastAsia" w:ascii="Times New Roman" w:hAnsi="Times New Roman" w:eastAsia="仿宋_GB2312" w:cs="方正仿宋_GBK"/>
          <w:b w:val="0"/>
          <w:bCs w:val="0"/>
          <w:highlight w:val="none"/>
          <w:lang w:val="en-US" w:eastAsia="zh-CN"/>
        </w:rPr>
        <w:t>30</w:t>
      </w:r>
      <w:r>
        <w:rPr>
          <w:rFonts w:hint="eastAsia" w:ascii="Times New Roman" w:hAnsi="Times New Roman" w:eastAsia="仿宋_GB2312" w:cs="方正仿宋_GBK"/>
          <w:b w:val="0"/>
          <w:bCs w:val="0"/>
          <w:highlight w:val="none"/>
        </w:rPr>
        <w:t>年，</w:t>
      </w:r>
      <w:r>
        <w:rPr>
          <w:rFonts w:hint="eastAsia" w:ascii="Times New Roman" w:hAnsi="Times New Roman" w:eastAsia="仿宋_GB2312" w:cs="方正仿宋_GBK"/>
          <w:b w:val="0"/>
          <w:bCs w:val="0"/>
          <w:highlight w:val="none"/>
          <w:lang w:val="en-US" w:eastAsia="zh-CN"/>
        </w:rPr>
        <w:t>力争</w:t>
      </w:r>
      <w:r>
        <w:rPr>
          <w:rFonts w:hint="eastAsia" w:ascii="Times New Roman" w:hAnsi="Times New Roman" w:eastAsia="仿宋_GB2312" w:cs="方正仿宋_GBK"/>
          <w:b w:val="0"/>
          <w:bCs w:val="0"/>
          <w:highlight w:val="none"/>
        </w:rPr>
        <w:t>锂产业产值</w:t>
      </w:r>
      <w:r>
        <w:rPr>
          <w:rFonts w:hint="eastAsia" w:ascii="Times New Roman" w:hAnsi="Times New Roman" w:eastAsia="仿宋_GB2312" w:cs="方正仿宋_GBK"/>
          <w:b w:val="0"/>
          <w:bCs w:val="0"/>
          <w:highlight w:val="none"/>
          <w:lang w:val="en-US" w:eastAsia="zh-CN"/>
        </w:rPr>
        <w:t>达到300</w:t>
      </w:r>
      <w:r>
        <w:rPr>
          <w:rFonts w:hint="eastAsia" w:ascii="Times New Roman" w:hAnsi="Times New Roman" w:eastAsia="仿宋_GB2312" w:cs="方正仿宋_GBK"/>
          <w:b w:val="0"/>
          <w:bCs w:val="0"/>
          <w:highlight w:val="none"/>
        </w:rPr>
        <w:t>亿元。</w:t>
      </w:r>
    </w:p>
    <w:p w14:paraId="081E99FC">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打造千亿级铝基新材料产业</w:t>
      </w:r>
      <w:r>
        <w:rPr>
          <w:rFonts w:hint="eastAsia" w:ascii="Times New Roman" w:hAnsi="Times New Roman" w:eastAsia="仿宋_GB2312" w:cs="方正仿宋_GBK"/>
          <w:b w:val="0"/>
          <w:bCs w:val="0"/>
          <w:color w:val="auto"/>
          <w:highlight w:val="none"/>
          <w:lang w:val="en-US" w:eastAsia="zh-CN"/>
        </w:rPr>
        <w:t>链条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highlight w:val="none"/>
        </w:rPr>
        <w:t>推动铝业延链补链强链，实施氧化铝一电解铝一铝材深加工全产业链项目，全力打造千亿级铝基新材料产业链条。全力引进落地铝合金等铝材深加工项目，谋划布局新的</w:t>
      </w:r>
      <w:r>
        <w:rPr>
          <w:rFonts w:hint="eastAsia" w:ascii="Times New Roman" w:hAnsi="Times New Roman" w:eastAsia="仿宋_GB2312" w:cs="方正仿宋_GBK"/>
          <w:b w:val="0"/>
          <w:bCs w:val="0"/>
          <w:color w:val="auto"/>
          <w:highlight w:val="none"/>
          <w:lang w:val="en-US" w:eastAsia="zh-CN"/>
        </w:rPr>
        <w:t>电解铝</w:t>
      </w:r>
      <w:r>
        <w:rPr>
          <w:rFonts w:hint="eastAsia" w:ascii="Times New Roman" w:hAnsi="Times New Roman" w:eastAsia="仿宋_GB2312" w:cs="方正仿宋_GBK"/>
          <w:b w:val="0"/>
          <w:bCs w:val="0"/>
          <w:color w:val="auto"/>
          <w:highlight w:val="none"/>
        </w:rPr>
        <w:t>项目，积极引入稀土铝合金架空电缆、铝合金</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铝镁合金、铝合金轮毂</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铝型材等铝后加工项目，重点推进铝循环经济产业链、先进有色金属高端新材料加工制造基地等重大项目建设</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构建绿色铝全产业链。到20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val="en-US" w:eastAsia="zh-CN"/>
        </w:rPr>
        <w:t>力争</w:t>
      </w:r>
      <w:r>
        <w:rPr>
          <w:rFonts w:hint="eastAsia" w:ascii="Times New Roman" w:hAnsi="Times New Roman" w:eastAsia="仿宋_GB2312" w:cs="方正仿宋_GBK"/>
          <w:b w:val="0"/>
          <w:bCs w:val="0"/>
          <w:color w:val="auto"/>
          <w:highlight w:val="none"/>
        </w:rPr>
        <w:t>铝基产业产值</w:t>
      </w:r>
      <w:r>
        <w:rPr>
          <w:rFonts w:hint="eastAsia" w:ascii="Times New Roman" w:hAnsi="Times New Roman" w:eastAsia="仿宋_GB2312" w:cs="方正仿宋_GBK"/>
          <w:b w:val="0"/>
          <w:bCs w:val="0"/>
          <w:color w:val="auto"/>
          <w:highlight w:val="none"/>
          <w:lang w:val="en-US" w:eastAsia="zh-CN"/>
        </w:rPr>
        <w:t>达到</w:t>
      </w:r>
      <w:r>
        <w:rPr>
          <w:rFonts w:hint="eastAsia" w:eastAsia="仿宋_GB2312" w:cs="方正仿宋_GBK"/>
          <w:b w:val="0"/>
          <w:bCs w:val="0"/>
          <w:color w:val="auto"/>
          <w:highlight w:val="none"/>
          <w:lang w:val="en-US" w:eastAsia="zh-CN"/>
        </w:rPr>
        <w:t>500</w:t>
      </w:r>
      <w:r>
        <w:rPr>
          <w:rFonts w:hint="eastAsia" w:ascii="Times New Roman" w:hAnsi="Times New Roman" w:eastAsia="仿宋_GB2312" w:cs="方正仿宋_GBK"/>
          <w:b w:val="0"/>
          <w:bCs w:val="0"/>
          <w:color w:val="auto"/>
          <w:highlight w:val="none"/>
        </w:rPr>
        <w:t>亿元。</w:t>
      </w:r>
    </w:p>
    <w:p w14:paraId="685D1BC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提升千亿级冶金产业</w:t>
      </w:r>
      <w:r>
        <w:rPr>
          <w:rFonts w:hint="eastAsia" w:ascii="Times New Roman" w:hAnsi="Times New Roman" w:eastAsia="仿宋_GB2312" w:cs="方正仿宋_GBK"/>
          <w:b w:val="0"/>
          <w:bCs w:val="0"/>
          <w:color w:val="auto"/>
          <w:highlight w:val="none"/>
          <w:lang w:val="en-US" w:eastAsia="zh-CN"/>
        </w:rPr>
        <w:t>链条</w:t>
      </w:r>
      <w:r>
        <w:rPr>
          <w:rFonts w:hint="eastAsia" w:ascii="Times New Roman" w:hAnsi="Times New Roman" w:eastAsia="仿宋_GB2312" w:cs="方正仿宋_GBK"/>
          <w:b w:val="0"/>
          <w:bCs w:val="0"/>
          <w:color w:val="auto"/>
          <w:highlight w:val="none"/>
        </w:rPr>
        <w:t>能级</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color w:val="auto"/>
          <w:highlight w:val="none"/>
        </w:rPr>
        <w:t>推动冶金产业全链攻关，</w:t>
      </w:r>
      <w:r>
        <w:rPr>
          <w:rFonts w:hint="eastAsia" w:ascii="Times New Roman" w:hAnsi="Times New Roman" w:eastAsia="仿宋_GB2312" w:cs="方正仿宋_GBK"/>
          <w:b w:val="0"/>
          <w:bCs w:val="0"/>
          <w:color w:val="auto"/>
          <w:highlight w:val="none"/>
          <w:lang w:val="en-US" w:eastAsia="zh-CN"/>
        </w:rPr>
        <w:t>以钢铁、铜、锌、</w:t>
      </w:r>
      <w:r>
        <w:rPr>
          <w:rFonts w:hint="eastAsia" w:eastAsia="仿宋_GB2312" w:cs="方正仿宋_GBK"/>
          <w:b w:val="0"/>
          <w:bCs w:val="0"/>
          <w:color w:val="auto"/>
          <w:highlight w:val="none"/>
          <w:lang w:val="en-US" w:eastAsia="zh-CN"/>
        </w:rPr>
        <w:t>银、</w:t>
      </w:r>
      <w:r>
        <w:rPr>
          <w:rFonts w:hint="eastAsia" w:ascii="Times New Roman" w:hAnsi="Times New Roman" w:eastAsia="仿宋_GB2312" w:cs="方正仿宋_GBK"/>
          <w:b w:val="0"/>
          <w:bCs w:val="0"/>
          <w:color w:val="auto"/>
          <w:highlight w:val="none"/>
          <w:lang w:val="en-US" w:eastAsia="zh-CN"/>
        </w:rPr>
        <w:t>钨、钼、锡</w:t>
      </w:r>
      <w:r>
        <w:rPr>
          <w:rFonts w:hint="eastAsia" w:ascii="Times New Roman" w:hAnsi="Times New Roman" w:eastAsia="仿宋_GB2312" w:cs="方正仿宋_GBK"/>
          <w:b w:val="0"/>
          <w:bCs w:val="0"/>
          <w:color w:val="auto"/>
          <w:highlight w:val="none"/>
        </w:rPr>
        <w:t>等</w:t>
      </w:r>
      <w:r>
        <w:rPr>
          <w:rFonts w:hint="eastAsia" w:ascii="Times New Roman" w:hAnsi="Times New Roman" w:eastAsia="仿宋_GB2312" w:cs="方正仿宋_GBK"/>
          <w:b w:val="0"/>
          <w:bCs w:val="0"/>
          <w:color w:val="auto"/>
          <w:highlight w:val="none"/>
          <w:lang w:val="en-US" w:eastAsia="zh-CN"/>
        </w:rPr>
        <w:t>优势产业为重点，</w:t>
      </w:r>
      <w:r>
        <w:rPr>
          <w:rFonts w:hint="eastAsia" w:ascii="Times New Roman" w:hAnsi="Times New Roman" w:eastAsia="仿宋_GB2312" w:cs="方正仿宋_GBK"/>
          <w:b w:val="0"/>
          <w:bCs w:val="0"/>
          <w:color w:val="auto"/>
          <w:highlight w:val="none"/>
        </w:rPr>
        <w:t>稳定现有</w:t>
      </w:r>
      <w:r>
        <w:rPr>
          <w:rFonts w:hint="eastAsia" w:ascii="Times New Roman" w:hAnsi="Times New Roman" w:eastAsia="仿宋_GB2312" w:cs="方正仿宋_GBK"/>
          <w:b w:val="0"/>
          <w:bCs w:val="0"/>
          <w:color w:val="auto"/>
          <w:highlight w:val="none"/>
          <w:lang w:val="en-US" w:eastAsia="zh-CN"/>
        </w:rPr>
        <w:t>冶金产业</w:t>
      </w:r>
      <w:r>
        <w:rPr>
          <w:rFonts w:hint="eastAsia" w:ascii="Times New Roman" w:hAnsi="Times New Roman" w:eastAsia="仿宋_GB2312" w:cs="方正仿宋_GBK"/>
          <w:b w:val="0"/>
          <w:bCs w:val="0"/>
          <w:color w:val="auto"/>
          <w:highlight w:val="none"/>
        </w:rPr>
        <w:t>产能，</w:t>
      </w:r>
      <w:r>
        <w:rPr>
          <w:rFonts w:hint="eastAsia" w:ascii="Times New Roman" w:hAnsi="Times New Roman" w:eastAsia="仿宋_GB2312" w:cs="方正仿宋_GBK"/>
          <w:b w:val="0"/>
          <w:bCs w:val="0"/>
          <w:color w:val="auto"/>
          <w:highlight w:val="none"/>
          <w:lang w:val="en-US" w:eastAsia="zh-CN"/>
        </w:rPr>
        <w:t>推动产业链价值链延伸，打造全国重要高端有色金属新材料集聚区。到2030年，力争冶金产业产值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18</w:t>
      </w:r>
      <w:r>
        <w:rPr>
          <w:rFonts w:hint="eastAsia" w:ascii="Times New Roman" w:hAnsi="Times New Roman" w:eastAsia="仿宋_GB2312" w:cs="方正仿宋_GBK"/>
          <w:b w:val="0"/>
          <w:bCs w:val="0"/>
          <w:color w:val="auto"/>
          <w:highlight w:val="none"/>
          <w:lang w:val="en-US" w:eastAsia="zh-CN"/>
        </w:rPr>
        <w:t>00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推动钢铁产业提质增效</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力促</w:t>
      </w:r>
      <w:r>
        <w:rPr>
          <w:rFonts w:hint="eastAsia" w:eastAsia="仿宋_GB2312" w:cs="方正仿宋_GBK"/>
          <w:b w:val="0"/>
          <w:bCs w:val="0"/>
          <w:color w:val="auto"/>
          <w:highlight w:val="none"/>
          <w:lang w:val="en-US" w:eastAsia="zh-CN"/>
        </w:rPr>
        <w:t>钢铁企业</w:t>
      </w:r>
      <w:r>
        <w:rPr>
          <w:rFonts w:hint="eastAsia" w:ascii="Times New Roman" w:hAnsi="Times New Roman" w:eastAsia="仿宋_GB2312" w:cs="方正仿宋_GBK"/>
          <w:b w:val="0"/>
          <w:bCs w:val="0"/>
          <w:color w:val="auto"/>
          <w:highlight w:val="none"/>
          <w:lang w:val="en-US" w:eastAsia="zh-CN"/>
        </w:rPr>
        <w:t>充分释放产能，</w:t>
      </w:r>
      <w:r>
        <w:rPr>
          <w:rFonts w:hint="eastAsia" w:ascii="Times New Roman" w:hAnsi="Times New Roman" w:eastAsia="仿宋_GB2312" w:cs="方正仿宋_GBK"/>
          <w:b w:val="0"/>
          <w:bCs w:val="0"/>
          <w:color w:val="auto"/>
          <w:highlight w:val="none"/>
        </w:rPr>
        <w:t>积极延伸产业链条，培育研发新产品，增强市场竞争力，推动钢铁产业实现高质量发展</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力争钢铁产业产值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600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着力夯实铜产业基础，提升铜产业规模，推动铜产业精深发展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积极引进</w:t>
      </w:r>
      <w:r>
        <w:rPr>
          <w:rFonts w:hint="eastAsia" w:ascii="Times New Roman" w:hAnsi="Times New Roman" w:eastAsia="仿宋_GB2312" w:cs="方正仿宋_GBK"/>
          <w:b w:val="0"/>
          <w:bCs w:val="0"/>
          <w:color w:val="auto"/>
          <w:highlight w:val="none"/>
          <w:lang w:val="en-US" w:eastAsia="zh-CN"/>
        </w:rPr>
        <w:t>高精度铜板带箔、</w:t>
      </w:r>
      <w:r>
        <w:rPr>
          <w:rFonts w:hint="eastAsia" w:ascii="Times New Roman" w:hAnsi="Times New Roman" w:eastAsia="仿宋_GB2312" w:cs="方正仿宋_GBK"/>
          <w:b w:val="0"/>
          <w:bCs w:val="0"/>
          <w:color w:val="auto"/>
          <w:highlight w:val="none"/>
        </w:rPr>
        <w:t>铜合金材料、</w:t>
      </w:r>
      <w:r>
        <w:rPr>
          <w:rFonts w:hint="eastAsia" w:ascii="Times New Roman" w:hAnsi="Times New Roman" w:eastAsia="仿宋_GB2312" w:cs="方正仿宋_GBK"/>
          <w:b w:val="0"/>
          <w:bCs w:val="0"/>
          <w:color w:val="auto"/>
          <w:highlight w:val="none"/>
          <w:lang w:val="en-US" w:eastAsia="zh-CN"/>
        </w:rPr>
        <w:t>铜合金零部件、</w:t>
      </w:r>
      <w:r>
        <w:rPr>
          <w:rFonts w:hint="eastAsia" w:ascii="Times New Roman" w:hAnsi="Times New Roman" w:eastAsia="仿宋_GB2312" w:cs="方正仿宋_GBK"/>
          <w:b w:val="0"/>
          <w:bCs w:val="0"/>
          <w:color w:val="auto"/>
          <w:highlight w:val="none"/>
        </w:rPr>
        <w:t>变压器</w:t>
      </w:r>
      <w:r>
        <w:rPr>
          <w:rFonts w:hint="eastAsia" w:ascii="Times New Roman" w:hAnsi="Times New Roman" w:eastAsia="仿宋_GB2312" w:cs="方正仿宋_GBK"/>
          <w:b w:val="0"/>
          <w:bCs w:val="0"/>
          <w:color w:val="auto"/>
          <w:highlight w:val="none"/>
          <w:lang w:val="en-US" w:eastAsia="zh-CN"/>
        </w:rPr>
        <w:t>超细铜线</w:t>
      </w:r>
      <w:r>
        <w:rPr>
          <w:rFonts w:hint="eastAsia" w:ascii="Times New Roman" w:hAnsi="Times New Roman" w:eastAsia="仿宋_GB2312" w:cs="方正仿宋_GBK"/>
          <w:b w:val="0"/>
          <w:bCs w:val="0"/>
          <w:color w:val="auto"/>
          <w:highlight w:val="none"/>
        </w:rPr>
        <w:t>等精深加工项目</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打造中国北方铜产业生产加工基地。</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力争铜产业产值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900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推动铅锌产业做优做强</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以稳定现有冶炼规模为基础，以铅锌产品向高附加值新材料领域延伸为主攻方向，推进铅锌产业技术创新、资源再生利用，提升产品科技含量和市场竞争力。</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力争铅锌产业</w:t>
      </w:r>
      <w:r>
        <w:rPr>
          <w:rFonts w:hint="eastAsia" w:ascii="Times New Roman" w:hAnsi="Times New Roman" w:eastAsia="仿宋_GB2312" w:cs="方正仿宋_GBK"/>
          <w:b w:val="0"/>
          <w:bCs w:val="0"/>
          <w:color w:val="auto"/>
          <w:highlight w:val="none"/>
        </w:rPr>
        <w:t>产值达到</w:t>
      </w:r>
      <w:r>
        <w:rPr>
          <w:rFonts w:hint="eastAsia" w:eastAsia="仿宋_GB2312" w:cs="方正仿宋_GBK"/>
          <w:b w:val="0"/>
          <w:bCs w:val="0"/>
          <w:color w:val="auto"/>
          <w:highlight w:val="none"/>
          <w:lang w:val="en-US" w:eastAsia="zh-CN"/>
        </w:rPr>
        <w:t>200</w:t>
      </w:r>
      <w:r>
        <w:rPr>
          <w:rFonts w:hint="eastAsia" w:ascii="Times New Roman" w:hAnsi="Times New Roman" w:eastAsia="仿宋_GB2312" w:cs="方正仿宋_GBK"/>
          <w:b w:val="0"/>
          <w:bCs w:val="0"/>
          <w:color w:val="auto"/>
          <w:highlight w:val="none"/>
        </w:rPr>
        <w:t>亿元。推动金银锡钨钼等产业全面发展</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推动金精矿、银冶炼等重点项目建设，</w:t>
      </w:r>
      <w:r>
        <w:rPr>
          <w:rFonts w:hint="eastAsia" w:ascii="Times New Roman" w:hAnsi="Times New Roman" w:eastAsia="仿宋_GB2312" w:cs="方正仿宋_GBK"/>
          <w:b w:val="0"/>
          <w:bCs w:val="0"/>
          <w:color w:val="auto"/>
          <w:highlight w:val="none"/>
        </w:rPr>
        <w:t>适时启动锡材、锡化工等新材料精深加工项目，积极谋划引进钨钼高端金属材料及制品、铬锆铜高端新材料项目。</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金银锡钨钼</w:t>
      </w:r>
      <w:r>
        <w:rPr>
          <w:rFonts w:hint="eastAsia" w:ascii="Times New Roman" w:hAnsi="Times New Roman"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产值达到</w:t>
      </w:r>
      <w:r>
        <w:rPr>
          <w:rFonts w:hint="eastAsia" w:eastAsia="仿宋_GB2312" w:cs="方正仿宋_GBK"/>
          <w:b w:val="0"/>
          <w:bCs w:val="0"/>
          <w:color w:val="auto"/>
          <w:highlight w:val="none"/>
          <w:lang w:val="en-US" w:eastAsia="zh-CN"/>
        </w:rPr>
        <w:t>100</w:t>
      </w:r>
      <w:r>
        <w:rPr>
          <w:rFonts w:hint="eastAsia" w:ascii="Times New Roman" w:hAnsi="Times New Roman" w:eastAsia="仿宋_GB2312" w:cs="方正仿宋_GBK"/>
          <w:b w:val="0"/>
          <w:bCs w:val="0"/>
          <w:color w:val="auto"/>
          <w:highlight w:val="none"/>
        </w:rPr>
        <w:t>亿元。</w:t>
      </w:r>
    </w:p>
    <w:p w14:paraId="53EBAEA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培育千亿级</w:t>
      </w:r>
      <w:r>
        <w:rPr>
          <w:rFonts w:hint="eastAsia" w:ascii="Times New Roman" w:hAnsi="Times New Roman" w:eastAsia="仿宋_GB2312" w:cs="方正仿宋_GBK"/>
          <w:b w:val="0"/>
          <w:bCs w:val="0"/>
          <w:color w:val="auto"/>
          <w:highlight w:val="none"/>
          <w:lang w:val="en-US" w:eastAsia="zh-CN"/>
        </w:rPr>
        <w:t>新型</w:t>
      </w:r>
      <w:r>
        <w:rPr>
          <w:rFonts w:hint="eastAsia" w:ascii="Times New Roman" w:hAnsi="Times New Roman" w:eastAsia="仿宋_GB2312" w:cs="方正仿宋_GBK"/>
          <w:b w:val="0"/>
          <w:bCs w:val="0"/>
          <w:color w:val="auto"/>
          <w:highlight w:val="none"/>
        </w:rPr>
        <w:t>化工产业</w:t>
      </w:r>
      <w:r>
        <w:rPr>
          <w:rFonts w:hint="eastAsia" w:ascii="Times New Roman" w:hAnsi="Times New Roman" w:eastAsia="仿宋_GB2312" w:cs="方正仿宋_GBK"/>
          <w:b w:val="0"/>
          <w:bCs w:val="0"/>
          <w:color w:val="auto"/>
          <w:highlight w:val="none"/>
          <w:lang w:val="en-US" w:eastAsia="zh-CN"/>
        </w:rPr>
        <w:t>链条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highlight w:val="none"/>
        </w:rPr>
        <w:t>推动新型化工链式循环，实施冶金产业、</w:t>
      </w:r>
      <w:r>
        <w:rPr>
          <w:rFonts w:hint="eastAsia" w:ascii="Times New Roman" w:hAnsi="Times New Roman" w:eastAsia="仿宋_GB2312" w:cs="方正仿宋_GBK"/>
          <w:b w:val="0"/>
          <w:bCs w:val="0"/>
          <w:color w:val="auto"/>
          <w:highlight w:val="none"/>
          <w:lang w:eastAsia="zh-CN"/>
        </w:rPr>
        <w:t>硫</w:t>
      </w:r>
      <w:r>
        <w:rPr>
          <w:rFonts w:hint="eastAsia" w:ascii="Times New Roman" w:hAnsi="Times New Roman" w:eastAsia="仿宋_GB2312" w:cs="方正仿宋_GBK"/>
          <w:b w:val="0"/>
          <w:bCs w:val="0"/>
          <w:color w:val="auto"/>
          <w:highlight w:val="none"/>
        </w:rPr>
        <w:t>化工与氟化工联动发展，</w:t>
      </w:r>
      <w:r>
        <w:rPr>
          <w:rFonts w:hint="eastAsia" w:ascii="Times New Roman" w:hAnsi="Times New Roman" w:eastAsia="仿宋_GB2312" w:cs="方正仿宋_GBK"/>
          <w:b w:val="0"/>
          <w:bCs w:val="0"/>
          <w:color w:val="auto"/>
          <w:highlight w:val="none"/>
          <w:lang w:val="en-US" w:eastAsia="zh-CN"/>
        </w:rPr>
        <w:t>壮大</w:t>
      </w:r>
      <w:r>
        <w:rPr>
          <w:rFonts w:hint="eastAsia" w:ascii="Times New Roman" w:hAnsi="Times New Roman" w:eastAsia="仿宋_GB2312" w:cs="方正仿宋_GBK"/>
          <w:b w:val="0"/>
          <w:bCs w:val="0"/>
          <w:color w:val="auto"/>
          <w:highlight w:val="none"/>
        </w:rPr>
        <w:t>现代煤化工和磷化工，培育发展精细化工，</w:t>
      </w:r>
      <w:r>
        <w:rPr>
          <w:rFonts w:hint="eastAsia" w:ascii="Times New Roman" w:hAnsi="Times New Roman" w:eastAsia="仿宋_GB2312" w:cs="方正仿宋_GBK"/>
          <w:b w:val="0"/>
          <w:bCs w:val="0"/>
          <w:color w:val="auto"/>
          <w:highlight w:val="none"/>
          <w:lang w:val="en-US" w:eastAsia="zh-CN"/>
        </w:rPr>
        <w:t>打造化工产业新高地</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力争化工产业产值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35</w:t>
      </w:r>
      <w:r>
        <w:rPr>
          <w:rFonts w:hint="eastAsia" w:ascii="Times New Roman" w:hAnsi="Times New Roman" w:eastAsia="仿宋_GB2312" w:cs="方正仿宋_GBK"/>
          <w:b w:val="0"/>
          <w:bCs w:val="0"/>
          <w:color w:val="auto"/>
          <w:highlight w:val="none"/>
          <w:lang w:val="en-US" w:eastAsia="zh-CN"/>
        </w:rPr>
        <w:t>0</w:t>
      </w:r>
      <w:r>
        <w:rPr>
          <w:rFonts w:hint="eastAsia" w:ascii="Times New Roman" w:hAnsi="Times New Roman" w:eastAsia="仿宋_GB2312" w:cs="方正仿宋_GBK"/>
          <w:b w:val="0"/>
          <w:bCs w:val="0"/>
          <w:color w:val="auto"/>
          <w:highlight w:val="none"/>
        </w:rPr>
        <w:t>亿元。聚力发展现代煤化工和磷化工产业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以元宝山</w:t>
      </w:r>
      <w:r>
        <w:rPr>
          <w:rFonts w:hint="eastAsia" w:eastAsia="仿宋_GB2312" w:cs="方正仿宋_GBK"/>
          <w:b w:val="0"/>
          <w:bCs w:val="0"/>
          <w:color w:val="auto"/>
          <w:highlight w:val="none"/>
          <w:lang w:val="en-US" w:eastAsia="zh-CN"/>
        </w:rPr>
        <w:t>工业</w:t>
      </w:r>
      <w:r>
        <w:rPr>
          <w:rFonts w:hint="eastAsia" w:ascii="Times New Roman" w:hAnsi="Times New Roman" w:eastAsia="仿宋_GB2312" w:cs="方正仿宋_GBK"/>
          <w:b w:val="0"/>
          <w:bCs w:val="0"/>
          <w:color w:val="auto"/>
          <w:highlight w:val="none"/>
        </w:rPr>
        <w:t>园等园区为重点，全力推进</w:t>
      </w:r>
      <w:r>
        <w:rPr>
          <w:rFonts w:hint="eastAsia" w:ascii="Times New Roman" w:hAnsi="Times New Roman" w:eastAsia="仿宋_GB2312" w:cs="方正仿宋_GBK"/>
          <w:b w:val="0"/>
          <w:bCs w:val="0"/>
          <w:color w:val="auto"/>
          <w:highlight w:val="none"/>
          <w:lang w:val="en-US" w:eastAsia="zh-CN"/>
        </w:rPr>
        <w:t>硫磷钛铁锂绿色循环产业集群建设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加快新能源耦合焦化及绿色延链补链产业集群、焦炉煤气综合利用生产LNG及液氨等项目建设，争取早日达产达效</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lang w:eastAsia="zh-CN"/>
        </w:rPr>
        <w:t>煤制天然气</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eastAsia="zh-CN"/>
        </w:rPr>
        <w:t>焦油加氢制苯、二氧化碳收集利用等</w:t>
      </w:r>
      <w:r>
        <w:rPr>
          <w:rFonts w:hint="eastAsia" w:ascii="Times New Roman" w:hAnsi="Times New Roman" w:eastAsia="仿宋_GB2312" w:cs="方正仿宋_GBK"/>
          <w:b w:val="0"/>
          <w:bCs w:val="0"/>
          <w:color w:val="auto"/>
          <w:highlight w:val="none"/>
          <w:lang w:val="en-US" w:eastAsia="zh-CN"/>
        </w:rPr>
        <w:t>高附加值</w:t>
      </w:r>
      <w:r>
        <w:rPr>
          <w:rFonts w:hint="eastAsia" w:eastAsia="仿宋_GB2312" w:cs="方正仿宋_GBK"/>
          <w:b w:val="0"/>
          <w:bCs w:val="0"/>
          <w:color w:val="auto"/>
          <w:highlight w:val="none"/>
          <w:lang w:val="en-US" w:eastAsia="zh-CN"/>
        </w:rPr>
        <w:t>产业链条建设</w:t>
      </w:r>
      <w:r>
        <w:rPr>
          <w:rFonts w:hint="eastAsia" w:ascii="Times New Roman" w:hAnsi="Times New Roman"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积极谋划焦化及其副产品精深加工项目</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打造现代煤化工产业集群。到20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力争煤磷化工产业产值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200</w:t>
      </w:r>
      <w:r>
        <w:rPr>
          <w:rFonts w:hint="eastAsia" w:ascii="Times New Roman" w:hAnsi="Times New Roman" w:eastAsia="仿宋_GB2312" w:cs="方正仿宋_GBK"/>
          <w:b w:val="0"/>
          <w:bCs w:val="0"/>
          <w:color w:val="auto"/>
          <w:highlight w:val="none"/>
        </w:rPr>
        <w:t>亿元。联动发展硫酸化工与氟化工产业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w:t>
      </w:r>
      <w:r>
        <w:rPr>
          <w:rFonts w:hint="eastAsia" w:ascii="Times New Roman" w:hAnsi="Times New Roman" w:eastAsia="仿宋_GB2312" w:cs="方正仿宋_GBK"/>
          <w:b w:val="0"/>
          <w:bCs w:val="0"/>
          <w:color w:val="auto"/>
          <w:highlight w:val="none"/>
          <w:lang w:val="en-US" w:eastAsia="zh-CN"/>
        </w:rPr>
        <w:t>赤峰高新区</w:t>
      </w:r>
      <w:r>
        <w:rPr>
          <w:rFonts w:hint="eastAsia" w:ascii="Times New Roman" w:hAnsi="Times New Roman" w:eastAsia="仿宋_GB2312" w:cs="方正仿宋_GBK"/>
          <w:b w:val="0"/>
          <w:bCs w:val="0"/>
          <w:color w:val="auto"/>
          <w:highlight w:val="none"/>
        </w:rPr>
        <w:t>、元宝山</w:t>
      </w:r>
      <w:r>
        <w:rPr>
          <w:rFonts w:hint="eastAsia" w:eastAsia="仿宋_GB2312" w:cs="方正仿宋_GBK"/>
          <w:b w:val="0"/>
          <w:bCs w:val="0"/>
          <w:color w:val="auto"/>
          <w:highlight w:val="none"/>
          <w:lang w:val="en-US" w:eastAsia="zh-CN"/>
        </w:rPr>
        <w:t>工业</w:t>
      </w:r>
      <w:r>
        <w:rPr>
          <w:rFonts w:hint="eastAsia" w:ascii="Times New Roman" w:hAnsi="Times New Roman" w:eastAsia="仿宋_GB2312" w:cs="方正仿宋_GBK"/>
          <w:b w:val="0"/>
          <w:bCs w:val="0"/>
          <w:color w:val="auto"/>
          <w:highlight w:val="none"/>
          <w:lang w:val="en-US" w:eastAsia="zh-CN"/>
        </w:rPr>
        <w:t>园</w:t>
      </w:r>
      <w:r>
        <w:rPr>
          <w:rFonts w:hint="eastAsia" w:ascii="Times New Roman" w:hAnsi="Times New Roman" w:eastAsia="仿宋_GB2312" w:cs="方正仿宋_GBK"/>
          <w:b w:val="0"/>
          <w:bCs w:val="0"/>
          <w:color w:val="auto"/>
          <w:highlight w:val="none"/>
        </w:rPr>
        <w:t>、林西</w:t>
      </w:r>
      <w:r>
        <w:rPr>
          <w:rFonts w:hint="eastAsia" w:ascii="Times New Roman" w:hAnsi="Times New Roman" w:eastAsia="仿宋_GB2312" w:cs="方正仿宋_GBK"/>
          <w:b w:val="0"/>
          <w:bCs w:val="0"/>
          <w:color w:val="auto"/>
          <w:highlight w:val="none"/>
          <w:lang w:val="en-US" w:eastAsia="zh-CN"/>
        </w:rPr>
        <w:t>工业园</w:t>
      </w:r>
      <w:r>
        <w:rPr>
          <w:rFonts w:hint="eastAsia" w:ascii="Times New Roman" w:hAnsi="Times New Roman" w:eastAsia="仿宋_GB2312" w:cs="方正仿宋_GBK"/>
          <w:b w:val="0"/>
          <w:bCs w:val="0"/>
          <w:color w:val="auto"/>
          <w:highlight w:val="none"/>
        </w:rPr>
        <w:t>等园</w:t>
      </w:r>
      <w:r>
        <w:rPr>
          <w:rFonts w:hint="eastAsia" w:ascii="Times New Roman" w:hAnsi="Times New Roman" w:eastAsia="仿宋_GB2312" w:cs="方正仿宋_GBK"/>
          <w:b w:val="0"/>
          <w:bCs w:val="0"/>
          <w:color w:val="auto"/>
          <w:highlight w:val="none"/>
          <w:lang w:val="en-US" w:eastAsia="zh-CN"/>
        </w:rPr>
        <w:t>区</w:t>
      </w:r>
      <w:r>
        <w:rPr>
          <w:rFonts w:hint="eastAsia" w:ascii="Times New Roman" w:hAnsi="Times New Roman" w:eastAsia="仿宋_GB2312" w:cs="方正仿宋_GBK"/>
          <w:b w:val="0"/>
          <w:bCs w:val="0"/>
          <w:color w:val="auto"/>
          <w:highlight w:val="none"/>
        </w:rPr>
        <w:t>为重点，发展新型含氟聚合物、电子级氢氟酸等高附加值产品</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推动冶金产业、硫化工与氟化工联动发展，</w:t>
      </w:r>
      <w:r>
        <w:rPr>
          <w:rFonts w:hint="eastAsia" w:ascii="Times New Roman" w:hAnsi="Times New Roman" w:eastAsia="仿宋_GB2312" w:cs="方正仿宋_GBK"/>
          <w:b w:val="0"/>
          <w:bCs w:val="0"/>
          <w:color w:val="auto"/>
          <w:highlight w:val="none"/>
          <w:lang w:val="en-US" w:eastAsia="zh-CN"/>
        </w:rPr>
        <w:t>布局建设</w:t>
      </w:r>
      <w:r>
        <w:rPr>
          <w:rFonts w:hint="eastAsia" w:ascii="Times New Roman" w:hAnsi="Times New Roman" w:eastAsia="仿宋_GB2312" w:cs="方正仿宋_GBK"/>
          <w:b w:val="0"/>
          <w:bCs w:val="0"/>
          <w:color w:val="auto"/>
          <w:highlight w:val="none"/>
        </w:rPr>
        <w:t>精深加工项目，提高副产硫酸转化加工能力</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把握氟化工、硅化工合并联动趋势，推进氟</w:t>
      </w:r>
      <w:r>
        <w:rPr>
          <w:rFonts w:hint="eastAsia" w:eastAsia="仿宋_GB2312" w:cs="方正仿宋_GBK"/>
          <w:b w:val="0"/>
          <w:bCs w:val="0"/>
          <w:color w:val="auto"/>
          <w:highlight w:val="none"/>
          <w:lang w:val="en-US" w:eastAsia="zh-CN"/>
        </w:rPr>
        <w:t>氯</w:t>
      </w:r>
      <w:r>
        <w:rPr>
          <w:rFonts w:hint="eastAsia" w:ascii="Times New Roman" w:hAnsi="Times New Roman" w:eastAsia="仿宋_GB2312" w:cs="方正仿宋_GBK"/>
          <w:b w:val="0"/>
          <w:bCs w:val="0"/>
          <w:color w:val="auto"/>
          <w:highlight w:val="none"/>
        </w:rPr>
        <w:t>硅联动产业链建设，拓展氟化工发展新空间。</w:t>
      </w:r>
      <w:r>
        <w:rPr>
          <w:rFonts w:hint="eastAsia" w:ascii="Times New Roman" w:hAnsi="Times New Roman" w:eastAsia="仿宋_GB2312" w:cs="方正仿宋_GBK"/>
          <w:b w:val="0"/>
          <w:bCs w:val="0"/>
          <w:color w:val="auto"/>
          <w:highlight w:val="none"/>
          <w:lang w:val="en-US" w:eastAsia="zh-CN"/>
        </w:rPr>
        <w:t>延伸拓展电子级氯硅烷、特种有机硅等硅产业板块</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力争氟化工产业产值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50</w:t>
      </w:r>
      <w:r>
        <w:rPr>
          <w:rFonts w:hint="eastAsia" w:ascii="Times New Roman" w:hAnsi="Times New Roman" w:eastAsia="仿宋_GB2312" w:cs="方正仿宋_GBK"/>
          <w:b w:val="0"/>
          <w:bCs w:val="0"/>
          <w:color w:val="auto"/>
          <w:highlight w:val="none"/>
        </w:rPr>
        <w:t>亿元。培育壮大生物化工和精细化工等化工产业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以元宝山</w:t>
      </w:r>
      <w:r>
        <w:rPr>
          <w:rFonts w:hint="eastAsia" w:eastAsia="仿宋_GB2312" w:cs="方正仿宋_GBK"/>
          <w:b w:val="0"/>
          <w:bCs w:val="0"/>
          <w:color w:val="auto"/>
          <w:highlight w:val="none"/>
          <w:lang w:val="en-US" w:eastAsia="zh-CN"/>
        </w:rPr>
        <w:t>工业</w:t>
      </w:r>
      <w:r>
        <w:rPr>
          <w:rFonts w:hint="eastAsia" w:ascii="Times New Roman" w:hAnsi="Times New Roman" w:eastAsia="仿宋_GB2312" w:cs="方正仿宋_GBK"/>
          <w:b w:val="0"/>
          <w:bCs w:val="0"/>
          <w:color w:val="auto"/>
          <w:highlight w:val="none"/>
        </w:rPr>
        <w:t>园为核心，建设</w:t>
      </w:r>
      <w:r>
        <w:rPr>
          <w:rFonts w:hint="eastAsia" w:ascii="Times New Roman" w:hAnsi="Times New Roman" w:eastAsia="仿宋_GB2312" w:cs="方正仿宋_GBK"/>
          <w:b w:val="0"/>
          <w:bCs w:val="0"/>
          <w:color w:val="auto"/>
          <w:highlight w:val="none"/>
          <w:lang w:val="en-US" w:eastAsia="zh-CN"/>
        </w:rPr>
        <w:t>以</w:t>
      </w:r>
      <w:r>
        <w:rPr>
          <w:rFonts w:hint="eastAsia" w:ascii="Times New Roman" w:hAnsi="Times New Roman" w:eastAsia="仿宋_GB2312" w:cs="方正仿宋_GBK"/>
          <w:b w:val="0"/>
          <w:bCs w:val="0"/>
          <w:color w:val="auto"/>
          <w:highlight w:val="none"/>
        </w:rPr>
        <w:t>多元醇系列、有机化工产品系列等为主的精深加工项目</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通过引进先进技术和创新研发，拓展高端精细化工产品，提升产业竞争力，提高精细化工产品的附加值。到20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力争生物化工和精细化工产业</w:t>
      </w:r>
      <w:r>
        <w:rPr>
          <w:rFonts w:hint="eastAsia" w:ascii="Times New Roman" w:hAnsi="Times New Roman" w:eastAsia="仿宋_GB2312" w:cs="方正仿宋_GBK"/>
          <w:b w:val="0"/>
          <w:bCs w:val="0"/>
          <w:color w:val="auto"/>
          <w:highlight w:val="none"/>
        </w:rPr>
        <w:t>产值</w:t>
      </w:r>
      <w:r>
        <w:rPr>
          <w:rFonts w:hint="eastAsia" w:ascii="Times New Roman" w:hAnsi="Times New Roman" w:eastAsia="仿宋_GB2312" w:cs="方正仿宋_GBK"/>
          <w:b w:val="0"/>
          <w:bCs w:val="0"/>
          <w:color w:val="auto"/>
          <w:highlight w:val="none"/>
          <w:lang w:val="en-US" w:eastAsia="zh-CN"/>
        </w:rPr>
        <w:t>达到</w:t>
      </w:r>
      <w:r>
        <w:rPr>
          <w:rFonts w:hint="eastAsia" w:eastAsia="仿宋_GB2312" w:cs="方正仿宋_GBK"/>
          <w:b w:val="0"/>
          <w:bCs w:val="0"/>
          <w:color w:val="auto"/>
          <w:highlight w:val="none"/>
          <w:lang w:val="en-US" w:eastAsia="zh-CN"/>
        </w:rPr>
        <w:t>100</w:t>
      </w:r>
      <w:r>
        <w:rPr>
          <w:rFonts w:hint="eastAsia" w:ascii="Times New Roman" w:hAnsi="Times New Roman" w:eastAsia="仿宋_GB2312" w:cs="方正仿宋_GBK"/>
          <w:b w:val="0"/>
          <w:bCs w:val="0"/>
          <w:color w:val="auto"/>
          <w:highlight w:val="none"/>
        </w:rPr>
        <w:t>亿元。</w:t>
      </w:r>
    </w:p>
    <w:p w14:paraId="43FD235F">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lang w:val="en-US" w:eastAsia="zh-CN"/>
        </w:rPr>
        <w:t>建设千亿级氢能经济生态圈</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加速培育绿氢“制储输用”全产业链</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重点推进风光制绿色氢氨醇一体化项目，加快发展绿氢制绿色合成氨、绿色甲醇、绿色航油等绿色燃料，</w:t>
      </w:r>
      <w:r>
        <w:rPr>
          <w:rFonts w:hint="eastAsia" w:ascii="Times New Roman" w:hAnsi="Times New Roman" w:eastAsia="仿宋_GB2312" w:cs="方正仿宋_GBK"/>
          <w:b w:val="0"/>
          <w:bCs w:val="0"/>
          <w:color w:val="auto"/>
          <w:highlight w:val="none"/>
        </w:rPr>
        <w:t>拓展绿氢在化工、冶金、交通等领域的耦合应用。提升制氢、储氢、用氢装备高端化水平，扩大纯化装置、加氢设备、压缩机、氢氨燃气轮机等关键装备产能。构建“新能源基地＋绿色氢氨醇产业基地＋智能管网输送”体系，打造全国重要的绿色燃料生产保障基地和沪蒙、京蒙绿色燃料合作高地。到2030年，</w:t>
      </w:r>
      <w:r>
        <w:rPr>
          <w:rFonts w:hint="eastAsia" w:ascii="Times New Roman" w:hAnsi="Times New Roman" w:eastAsia="仿宋_GB2312" w:cs="方正仿宋_GBK"/>
          <w:b w:val="0"/>
          <w:bCs w:val="0"/>
          <w:color w:val="auto"/>
          <w:highlight w:val="none"/>
          <w:lang w:val="en-US" w:eastAsia="zh-CN"/>
        </w:rPr>
        <w:t>力争建设成为千亿元项目总投资、千万千瓦新能源总装机、500万吨绿色氢氨醇总产能和千亿级氢能经济生态圈，建设全国重要的区域性绿色氢氨醇一体化产业基地，打造赤峰绿色氢氨醇产业新地标。</w:t>
      </w:r>
    </w:p>
    <w:tbl>
      <w:tblPr>
        <w:tblStyle w:val="26"/>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766"/>
      </w:tblGrid>
      <w:tr w14:paraId="4E90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66" w:type="dxa"/>
            <w:noWrap w:val="0"/>
            <w:vAlign w:val="top"/>
          </w:tcPr>
          <w:p w14:paraId="60FAB23D">
            <w:pPr>
              <w:keepNext w:val="0"/>
              <w:keepLines w:val="0"/>
              <w:pageBreakBefore w:val="0"/>
              <w:kinsoku/>
              <w:wordWrap/>
              <w:topLinePunct w:val="0"/>
              <w:autoSpaceDE/>
              <w:autoSpaceDN/>
              <w:bidi w:val="0"/>
              <w:adjustRightInd/>
              <w:snapToGrid w:val="0"/>
              <w:spacing w:line="540" w:lineRule="exact"/>
              <w:ind w:firstLine="464" w:firstLineChars="200"/>
              <w:jc w:val="center"/>
              <w:textAlignment w:val="auto"/>
              <w:rPr>
                <w:rFonts w:ascii="Times New Roman" w:hAnsi="Times New Roman" w:eastAsia="方正仿宋_GBK" w:cs="Times New Roman"/>
                <w:b w:val="0"/>
                <w:bCs w:val="0"/>
                <w:sz w:val="24"/>
                <w:szCs w:val="24"/>
                <w:highlight w:val="none"/>
              </w:rPr>
            </w:pPr>
            <w:r>
              <w:rPr>
                <w:rFonts w:hint="eastAsia" w:ascii="Times New Roman" w:hAnsi="Times New Roman" w:eastAsia="仿宋_GB2312" w:cs="Times New Roman"/>
                <w:b w:val="0"/>
                <w:bCs w:val="0"/>
                <w:sz w:val="24"/>
                <w:szCs w:val="24"/>
                <w:highlight w:val="none"/>
              </w:rPr>
              <w:t>专栏</w:t>
            </w:r>
            <w:r>
              <w:rPr>
                <w:rFonts w:hint="eastAsia" w:ascii="Times New Roman" w:hAnsi="Times New Roman" w:eastAsia="仿宋_GB2312" w:cs="Times New Roman"/>
                <w:b w:val="0"/>
                <w:bCs w:val="0"/>
                <w:sz w:val="24"/>
                <w:szCs w:val="24"/>
                <w:highlight w:val="none"/>
                <w:lang w:val="en-US" w:eastAsia="zh-CN"/>
              </w:rPr>
              <w:t>5 优势产业集群建设</w:t>
            </w:r>
            <w:r>
              <w:rPr>
                <w:rFonts w:hint="eastAsia" w:ascii="Times New Roman" w:hAnsi="Times New Roman" w:eastAsia="仿宋_GB2312" w:cs="Times New Roman"/>
                <w:b w:val="0"/>
                <w:bCs w:val="0"/>
                <w:sz w:val="24"/>
                <w:szCs w:val="24"/>
                <w:highlight w:val="none"/>
              </w:rPr>
              <w:t>重大工程</w:t>
            </w:r>
          </w:p>
        </w:tc>
      </w:tr>
      <w:tr w14:paraId="4F0A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66" w:type="dxa"/>
            <w:noWrap w:val="0"/>
            <w:vAlign w:val="top"/>
          </w:tcPr>
          <w:p w14:paraId="231BEE87">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eastAsia"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锂基新材料</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围绕锂多金属矿，以克什克腾工业园区、赤峰高新区、赤峰元宝山工业园为核心区，重点引进落地正极材料、电解液和石墨负极材料、辅材材料及电芯产品制造等精深加工项目。</w:t>
            </w:r>
          </w:p>
          <w:p w14:paraId="31BF4EA6">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default"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铝基新材料</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w:t>
            </w:r>
            <w:r>
              <w:rPr>
                <w:rFonts w:hint="eastAsia" w:ascii="Times New Roman" w:hAnsi="Times New Roman" w:eastAsia="仿宋_GB2312" w:cs="Times New Roman"/>
                <w:b w:val="0"/>
                <w:bCs w:val="0"/>
                <w:sz w:val="24"/>
                <w:szCs w:val="24"/>
                <w:highlight w:val="none"/>
              </w:rPr>
              <w:t>构建铝基新材料全产业链</w:t>
            </w:r>
            <w:r>
              <w:rPr>
                <w:rFonts w:hint="eastAsia" w:ascii="Times New Roman" w:hAnsi="Times New Roman" w:eastAsia="仿宋_GB2312" w:cs="Times New Roman"/>
                <w:b w:val="0"/>
                <w:bCs w:val="0"/>
                <w:sz w:val="24"/>
                <w:szCs w:val="24"/>
                <w:highlight w:val="none"/>
                <w:lang w:val="en-US" w:eastAsia="zh-CN"/>
              </w:rPr>
              <w:t>目标</w:t>
            </w:r>
            <w:r>
              <w:rPr>
                <w:rFonts w:hint="eastAsia" w:ascii="Times New Roman" w:hAnsi="Times New Roman" w:eastAsia="仿宋_GB2312" w:cs="Times New Roman"/>
                <w:b w:val="0"/>
                <w:bCs w:val="0"/>
                <w:sz w:val="24"/>
                <w:szCs w:val="24"/>
                <w:highlight w:val="none"/>
              </w:rPr>
              <w:t>，以赤峰高新区为主体，</w:t>
            </w:r>
            <w:r>
              <w:rPr>
                <w:rFonts w:hint="eastAsia" w:ascii="Times New Roman" w:hAnsi="Times New Roman" w:eastAsia="仿宋_GB2312" w:cs="Times New Roman"/>
                <w:b w:val="0"/>
                <w:bCs w:val="0"/>
                <w:sz w:val="24"/>
                <w:szCs w:val="24"/>
                <w:highlight w:val="none"/>
                <w:lang w:val="en-US" w:eastAsia="zh-CN"/>
              </w:rPr>
              <w:t>打造</w:t>
            </w:r>
            <w:r>
              <w:rPr>
                <w:rFonts w:hint="eastAsia" w:ascii="Times New Roman" w:hAnsi="Times New Roman" w:eastAsia="仿宋_GB2312" w:cs="Times New Roman"/>
                <w:b w:val="0"/>
                <w:bCs w:val="0"/>
                <w:sz w:val="24"/>
                <w:szCs w:val="24"/>
                <w:highlight w:val="none"/>
              </w:rPr>
              <w:t>氧化铝一电解铝一铝材深加工全产业链，</w:t>
            </w:r>
            <w:r>
              <w:rPr>
                <w:rFonts w:hint="eastAsia" w:ascii="Times New Roman" w:hAnsi="Times New Roman" w:eastAsia="仿宋_GB2312" w:cs="Times New Roman"/>
                <w:b w:val="0"/>
                <w:bCs w:val="0"/>
                <w:sz w:val="24"/>
                <w:szCs w:val="24"/>
                <w:highlight w:val="none"/>
                <w:lang w:val="en-US" w:eastAsia="zh-CN"/>
              </w:rPr>
              <w:t>积极引进布局高端铝型材、高压铝电缆等项目。</w:t>
            </w:r>
          </w:p>
          <w:p w14:paraId="76B78949">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default"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冶金产业</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w:t>
            </w:r>
            <w:r>
              <w:rPr>
                <w:rFonts w:hint="eastAsia" w:ascii="Times New Roman" w:hAnsi="Times New Roman" w:eastAsia="仿宋_GB2312" w:cs="方正仿宋_GBK"/>
                <w:b w:val="0"/>
                <w:bCs w:val="0"/>
                <w:color w:val="auto"/>
                <w:sz w:val="24"/>
                <w:szCs w:val="24"/>
                <w:highlight w:val="none"/>
                <w:lang w:val="en-US" w:eastAsia="zh-CN"/>
              </w:rPr>
              <w:t>钢铁、铜、铅锌、</w:t>
            </w:r>
            <w:r>
              <w:rPr>
                <w:rFonts w:hint="eastAsia" w:ascii="Times New Roman" w:hAnsi="Times New Roman" w:eastAsia="仿宋_GB2312" w:cs="方正仿宋_GBK"/>
                <w:b w:val="0"/>
                <w:bCs w:val="0"/>
                <w:color w:val="auto"/>
                <w:sz w:val="24"/>
                <w:szCs w:val="24"/>
                <w:highlight w:val="none"/>
              </w:rPr>
              <w:t>金银锡钨钼等</w:t>
            </w:r>
            <w:r>
              <w:rPr>
                <w:rFonts w:hint="eastAsia" w:ascii="Times New Roman" w:hAnsi="Times New Roman" w:eastAsia="仿宋_GB2312" w:cs="方正仿宋_GBK"/>
                <w:b w:val="0"/>
                <w:bCs w:val="0"/>
                <w:color w:val="auto"/>
                <w:sz w:val="24"/>
                <w:szCs w:val="24"/>
                <w:highlight w:val="none"/>
                <w:lang w:val="en-US" w:eastAsia="zh-CN"/>
              </w:rPr>
              <w:t>优势产业，在稳定和释放产能的基础上，重点推动产业向高端化转型，延伸高附加值产业链条，发展高碳铬铁合金、高精度铜板带箔、铜合金材料、锡焊料、锡化工、钨基高比重合金等产品，提升冶金产业整体质量效益。</w:t>
            </w:r>
          </w:p>
          <w:p w14:paraId="6C034850">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eastAsia"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化工新材料</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w:t>
            </w:r>
            <w:r>
              <w:rPr>
                <w:rFonts w:hint="eastAsia" w:ascii="Times New Roman" w:hAnsi="Times New Roman" w:eastAsia="仿宋_GB2312" w:cs="Times New Roman"/>
                <w:b w:val="0"/>
                <w:bCs w:val="0"/>
                <w:sz w:val="24"/>
                <w:szCs w:val="24"/>
                <w:highlight w:val="none"/>
              </w:rPr>
              <w:t>高端化、</w:t>
            </w:r>
            <w:r>
              <w:rPr>
                <w:rFonts w:hint="eastAsia" w:ascii="Times New Roman" w:hAnsi="Times New Roman" w:eastAsia="仿宋_GB2312" w:cs="Times New Roman"/>
                <w:b w:val="0"/>
                <w:bCs w:val="0"/>
                <w:sz w:val="24"/>
                <w:szCs w:val="24"/>
                <w:highlight w:val="none"/>
                <w:lang w:val="en-US" w:eastAsia="zh-CN"/>
              </w:rPr>
              <w:t>循环化、</w:t>
            </w:r>
            <w:r>
              <w:rPr>
                <w:rFonts w:hint="eastAsia" w:ascii="Times New Roman" w:hAnsi="Times New Roman" w:eastAsia="仿宋_GB2312" w:cs="Times New Roman"/>
                <w:b w:val="0"/>
                <w:bCs w:val="0"/>
                <w:sz w:val="24"/>
                <w:szCs w:val="24"/>
                <w:highlight w:val="none"/>
              </w:rPr>
              <w:t>绿色化、精细化发展</w:t>
            </w:r>
            <w:r>
              <w:rPr>
                <w:rFonts w:hint="eastAsia" w:ascii="Times New Roman" w:hAnsi="Times New Roman" w:eastAsia="仿宋_GB2312" w:cs="Times New Roman"/>
                <w:b w:val="0"/>
                <w:bCs w:val="0"/>
                <w:sz w:val="24"/>
                <w:szCs w:val="24"/>
                <w:highlight w:val="none"/>
                <w:lang w:val="en-US" w:eastAsia="zh-CN"/>
              </w:rPr>
              <w:t>方向</w:t>
            </w:r>
            <w:r>
              <w:rPr>
                <w:rFonts w:hint="eastAsia" w:ascii="Times New Roman" w:hAnsi="Times New Roman" w:eastAsia="仿宋_GB2312" w:cs="Times New Roman"/>
                <w:b w:val="0"/>
                <w:bCs w:val="0"/>
                <w:sz w:val="24"/>
                <w:szCs w:val="24"/>
                <w:highlight w:val="none"/>
              </w:rPr>
              <w:t>，</w:t>
            </w:r>
            <w:r>
              <w:rPr>
                <w:rFonts w:hint="eastAsia" w:ascii="Times New Roman" w:hAnsi="Times New Roman" w:eastAsia="仿宋_GB2312" w:cs="Times New Roman"/>
                <w:b w:val="0"/>
                <w:bCs w:val="0"/>
                <w:sz w:val="24"/>
                <w:szCs w:val="24"/>
                <w:highlight w:val="none"/>
                <w:lang w:val="en-US" w:eastAsia="zh-CN"/>
              </w:rPr>
              <w:t>以赤峰高新区、赤峰承接产业转移开发区、巴林左工业园区、克什克腾工业园区、林西工业园区、元宝山工业园区为重点</w:t>
            </w:r>
            <w:r>
              <w:rPr>
                <w:rFonts w:hint="eastAsia" w:ascii="Times New Roman" w:hAnsi="Times New Roman" w:eastAsia="仿宋_GB2312" w:cs="Times New Roman"/>
                <w:b w:val="0"/>
                <w:bCs w:val="0"/>
                <w:sz w:val="24"/>
                <w:szCs w:val="24"/>
                <w:highlight w:val="none"/>
              </w:rPr>
              <w:t>，重点打造硫磷钛、氟化工、</w:t>
            </w:r>
            <w:r>
              <w:rPr>
                <w:rFonts w:hint="eastAsia" w:ascii="Times New Roman" w:hAnsi="Times New Roman" w:eastAsia="仿宋_GB2312" w:cs="Times New Roman"/>
                <w:b w:val="0"/>
                <w:bCs w:val="0"/>
                <w:sz w:val="24"/>
                <w:szCs w:val="24"/>
                <w:highlight w:val="none"/>
                <w:lang w:val="en-US" w:eastAsia="zh-CN"/>
              </w:rPr>
              <w:t>氯化工、</w:t>
            </w:r>
            <w:r>
              <w:rPr>
                <w:rFonts w:hint="eastAsia" w:ascii="Times New Roman" w:hAnsi="Times New Roman" w:eastAsia="仿宋_GB2312" w:cs="Times New Roman"/>
                <w:b w:val="0"/>
                <w:bCs w:val="0"/>
                <w:sz w:val="24"/>
                <w:szCs w:val="24"/>
                <w:highlight w:val="none"/>
              </w:rPr>
              <w:t>煤化工、生物化工</w:t>
            </w:r>
            <w:r>
              <w:rPr>
                <w:rFonts w:hint="eastAsia" w:ascii="Times New Roman" w:hAnsi="Times New Roman" w:eastAsia="仿宋_GB2312" w:cs="Times New Roman"/>
                <w:b w:val="0"/>
                <w:bCs w:val="0"/>
                <w:sz w:val="24"/>
                <w:szCs w:val="24"/>
                <w:highlight w:val="none"/>
                <w:lang w:val="en-US" w:eastAsia="zh-CN"/>
              </w:rPr>
              <w:t>等</w:t>
            </w:r>
            <w:r>
              <w:rPr>
                <w:rFonts w:hint="eastAsia" w:ascii="Times New Roman" w:hAnsi="Times New Roman" w:eastAsia="仿宋_GB2312" w:cs="Times New Roman"/>
                <w:b w:val="0"/>
                <w:bCs w:val="0"/>
                <w:sz w:val="24"/>
                <w:szCs w:val="24"/>
                <w:highlight w:val="none"/>
              </w:rPr>
              <w:t>产业</w:t>
            </w:r>
            <w:r>
              <w:rPr>
                <w:rFonts w:hint="eastAsia" w:ascii="Times New Roman" w:hAnsi="Times New Roman" w:eastAsia="仿宋_GB2312" w:cs="Times New Roman"/>
                <w:b w:val="0"/>
                <w:bCs w:val="0"/>
                <w:sz w:val="24"/>
                <w:szCs w:val="24"/>
                <w:highlight w:val="none"/>
                <w:lang w:val="en-US" w:eastAsia="zh-CN"/>
              </w:rPr>
              <w:t>链条</w:t>
            </w:r>
            <w:r>
              <w:rPr>
                <w:rFonts w:hint="eastAsia" w:ascii="Times New Roman" w:hAnsi="Times New Roman" w:eastAsia="仿宋_GB2312" w:cs="Times New Roman"/>
                <w:b w:val="0"/>
                <w:bCs w:val="0"/>
                <w:sz w:val="24"/>
                <w:szCs w:val="24"/>
                <w:highlight w:val="none"/>
                <w:lang w:eastAsia="zh-CN"/>
              </w:rPr>
              <w:t>，集中引进一批延链补链项目，</w:t>
            </w:r>
            <w:r>
              <w:rPr>
                <w:rFonts w:hint="eastAsia" w:ascii="Times New Roman" w:hAnsi="Times New Roman" w:eastAsia="仿宋_GB2312" w:cs="Times New Roman"/>
                <w:b w:val="0"/>
                <w:bCs w:val="0"/>
                <w:sz w:val="24"/>
                <w:szCs w:val="24"/>
                <w:highlight w:val="none"/>
                <w:lang w:val="en-US" w:eastAsia="zh-CN"/>
              </w:rPr>
              <w:t>发展含氟聚合物、电子级氢氟酸等高附加值产品。</w:t>
            </w:r>
          </w:p>
          <w:p w14:paraId="7F7AD1DF">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绿色氢氨醇产业重大项目</w:t>
            </w:r>
            <w:r>
              <w:rPr>
                <w:rFonts w:hint="eastAsia" w:ascii="Times New Roman" w:hAnsi="Times New Roman" w:eastAsia="仿宋_GB2312" w:cs="Times New Roman"/>
                <w:b w:val="0"/>
                <w:bCs w:val="0"/>
                <w:sz w:val="24"/>
                <w:szCs w:val="24"/>
                <w:highlight w:val="none"/>
                <w:lang w:val="en-US" w:eastAsia="zh-CN"/>
              </w:rPr>
              <w:t>：重点推进绿氢制绿色合成氨、绿色甲醇、绿色航油等风光制绿色氢氨醇一体化项目及制氢、储氢、用氢等氢能装备制造项目。</w:t>
            </w:r>
          </w:p>
        </w:tc>
      </w:tr>
    </w:tbl>
    <w:p w14:paraId="1A9ED7BB">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rPr>
      </w:pPr>
    </w:p>
    <w:p w14:paraId="24CD609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ascii="Times New Roman" w:hAnsi="Times New Roman" w:eastAsia="仿宋_GB2312" w:cs="方正仿宋_GBK"/>
          <w:b w:val="0"/>
          <w:bCs w:val="0"/>
          <w:color w:val="auto"/>
          <w:highlight w:val="none"/>
          <w:lang w:val="en-US" w:eastAsia="zh-CN"/>
        </w:rPr>
      </w:pPr>
      <w:bookmarkStart w:id="314" w:name="_Toc12102"/>
      <w:bookmarkStart w:id="315" w:name="_Toc31591"/>
      <w:bookmarkStart w:id="316" w:name="_Toc4874"/>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培育壮大新兴产业和未来产业</w:t>
      </w:r>
      <w:bookmarkEnd w:id="314"/>
      <w:bookmarkEnd w:id="315"/>
      <w:bookmarkEnd w:id="316"/>
      <w:r>
        <w:rPr>
          <w:rFonts w:hint="eastAsia" w:eastAsia="仿宋_GB2312" w:cs="方正仿宋_GBK"/>
          <w:b w:val="0"/>
          <w:bCs w:val="0"/>
          <w:color w:val="auto"/>
          <w:sz w:val="32"/>
          <w:szCs w:val="32"/>
          <w:highlight w:val="none"/>
          <w:lang w:val="en-US" w:eastAsia="zh-CN"/>
        </w:rPr>
        <w:t>。</w:t>
      </w:r>
      <w:r>
        <w:rPr>
          <w:rFonts w:hint="default" w:ascii="Times New Roman" w:hAnsi="Times New Roman" w:eastAsia="仿宋_GB2312" w:cs="方正仿宋_GBK"/>
          <w:b w:val="0"/>
          <w:bCs w:val="0"/>
          <w:highlight w:val="none"/>
          <w:lang w:val="en-US" w:eastAsia="zh-CN"/>
        </w:rPr>
        <w:t>加强技术创新，拓展应用场景，加快新兴产业集群式规模化发展，积极培育先导性和支柱性产业，构筑</w:t>
      </w:r>
      <w:r>
        <w:rPr>
          <w:rFonts w:hint="default" w:ascii="Times New Roman" w:hAnsi="Times New Roman" w:eastAsia="仿宋_GB2312" w:cs="方正仿宋_GBK"/>
          <w:b w:val="0"/>
          <w:bCs w:val="0"/>
          <w:color w:val="auto"/>
          <w:highlight w:val="none"/>
          <w:lang w:val="en-US" w:eastAsia="zh-CN"/>
        </w:rPr>
        <w:t>新兴产业和未来产业协同联动的发展格局。</w:t>
      </w:r>
    </w:p>
    <w:p w14:paraId="45746EB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rPr>
      </w:pPr>
      <w:bookmarkStart w:id="317" w:name="_Toc14752"/>
      <w:bookmarkStart w:id="318" w:name="_Toc21084"/>
      <w:bookmarkStart w:id="319" w:name="_Toc23499"/>
      <w:bookmarkStart w:id="320" w:name="_Toc24956"/>
      <w:bookmarkStart w:id="321" w:name="_Toc17960"/>
      <w:bookmarkStart w:id="322" w:name="_Toc16810"/>
      <w:bookmarkStart w:id="323" w:name="_Toc31455"/>
      <w:bookmarkStart w:id="324" w:name="_Toc26099"/>
      <w:bookmarkStart w:id="325" w:name="_Toc24931"/>
      <w:bookmarkStart w:id="326" w:name="_Toc20303"/>
      <w:bookmarkStart w:id="327" w:name="_Toc27001"/>
      <w:bookmarkStart w:id="328" w:name="_Toc11306"/>
      <w:bookmarkStart w:id="329" w:name="_Toc9683"/>
      <w:bookmarkStart w:id="330" w:name="_Toc28317"/>
      <w:bookmarkStart w:id="331" w:name="_Toc23469"/>
      <w:r>
        <w:rPr>
          <w:rFonts w:hint="eastAsia" w:ascii="Times New Roman" w:hAnsi="Times New Roman" w:eastAsia="仿宋_GB2312" w:cs="方正仿宋_GBK"/>
          <w:b w:val="0"/>
          <w:bCs w:val="0"/>
          <w:color w:val="auto"/>
          <w:highlight w:val="none"/>
          <w:lang w:val="en-US" w:eastAsia="zh-CN"/>
        </w:rPr>
        <w:t>培育壮大新兴产业。聚焦优势领域，集中资源、重点突破，努力营造有利于新兴产业孵化成长的市场环境，加快</w:t>
      </w:r>
      <w:r>
        <w:rPr>
          <w:rFonts w:hint="eastAsia" w:ascii="Times New Roman" w:hAnsi="Times New Roman" w:eastAsia="仿宋_GB2312" w:cs="方正仿宋_GBK"/>
          <w:b w:val="0"/>
          <w:bCs w:val="0"/>
          <w:color w:val="auto"/>
          <w:sz w:val="32"/>
          <w:szCs w:val="32"/>
          <w:highlight w:val="none"/>
        </w:rPr>
        <w:t>场景培育和开放，促进新技术新产品新场景规模化商业化应用，</w:t>
      </w:r>
      <w:r>
        <w:rPr>
          <w:rFonts w:hint="eastAsia" w:eastAsia="仿宋_GB2312" w:cs="方正仿宋_GBK"/>
          <w:b w:val="0"/>
          <w:bCs w:val="0"/>
          <w:color w:val="auto"/>
          <w:sz w:val="32"/>
          <w:szCs w:val="32"/>
          <w:highlight w:val="none"/>
          <w:lang w:val="en-US" w:eastAsia="zh-CN"/>
        </w:rPr>
        <w:t>培育壮大</w:t>
      </w:r>
      <w:r>
        <w:rPr>
          <w:rFonts w:hint="eastAsia" w:ascii="Times New Roman" w:hAnsi="Times New Roman" w:eastAsia="仿宋_GB2312" w:cs="方正仿宋_GBK"/>
          <w:b w:val="0"/>
          <w:bCs w:val="0"/>
          <w:color w:val="auto"/>
          <w:sz w:val="32"/>
          <w:szCs w:val="32"/>
          <w:highlight w:val="none"/>
        </w:rPr>
        <w:t>具有区域影响力和竞争力的新兴产业。</w:t>
      </w:r>
      <w:r>
        <w:rPr>
          <w:rFonts w:hint="eastAsia" w:ascii="Times New Roman" w:hAnsi="Times New Roman" w:eastAsia="仿宋_GB2312" w:cs="方正仿宋_GBK"/>
          <w:b w:val="0"/>
          <w:bCs w:val="0"/>
          <w:color w:val="auto"/>
          <w:sz w:val="32"/>
          <w:szCs w:val="32"/>
          <w:highlight w:val="none"/>
          <w:lang w:val="en-US" w:eastAsia="zh-CN"/>
        </w:rPr>
        <w:t>实施</w:t>
      </w:r>
      <w:r>
        <w:rPr>
          <w:rFonts w:hint="eastAsia" w:ascii="Times New Roman" w:hAnsi="Times New Roman" w:eastAsia="仿宋_GB2312" w:cs="方正仿宋_GBK"/>
          <w:b w:val="0"/>
          <w:bCs w:val="0"/>
          <w:color w:val="auto"/>
          <w:sz w:val="32"/>
          <w:szCs w:val="32"/>
          <w:highlight w:val="none"/>
        </w:rPr>
        <w:t>“人工智能+”行动，推动人工智能与传统产业深度融合，促进技术成果在制造业、服务业等领域的规模化应用，</w:t>
      </w:r>
      <w:r>
        <w:rPr>
          <w:rFonts w:hint="eastAsia" w:ascii="Times New Roman" w:hAnsi="Times New Roman" w:eastAsia="仿宋_GB2312" w:cs="方正仿宋_GBK"/>
          <w:b w:val="0"/>
          <w:bCs w:val="0"/>
          <w:color w:val="auto"/>
          <w:sz w:val="32"/>
          <w:szCs w:val="32"/>
          <w:highlight w:val="none"/>
          <w:lang w:val="en-US" w:eastAsia="zh-CN"/>
        </w:rPr>
        <w:t>开展智能制造、预测性维护、人机协同、智能客服、智能投顾等应用</w:t>
      </w:r>
      <w:r>
        <w:rPr>
          <w:rFonts w:hint="eastAsia" w:ascii="Times New Roman" w:hAnsi="Times New Roman" w:eastAsia="仿宋_GB2312" w:cs="方正仿宋_GBK"/>
          <w:b w:val="0"/>
          <w:bCs w:val="0"/>
          <w:color w:val="auto"/>
          <w:sz w:val="32"/>
          <w:szCs w:val="32"/>
          <w:highlight w:val="none"/>
        </w:rPr>
        <w:t>。</w:t>
      </w:r>
      <w:r>
        <w:rPr>
          <w:rFonts w:hint="eastAsia" w:eastAsia="仿宋_GB2312" w:cs="方正仿宋_GBK"/>
          <w:b w:val="0"/>
          <w:bCs w:val="0"/>
          <w:color w:val="auto"/>
          <w:sz w:val="32"/>
          <w:szCs w:val="32"/>
          <w:highlight w:val="none"/>
          <w:lang w:val="en-US" w:eastAsia="zh-CN"/>
        </w:rPr>
        <w:t>有序</w:t>
      </w:r>
      <w:r>
        <w:rPr>
          <w:rFonts w:hint="eastAsia" w:ascii="Times New Roman" w:hAnsi="Times New Roman" w:eastAsia="仿宋_GB2312" w:cs="方正仿宋_GBK"/>
          <w:b w:val="0"/>
          <w:bCs w:val="0"/>
          <w:color w:val="auto"/>
          <w:sz w:val="32"/>
          <w:szCs w:val="32"/>
          <w:highlight w:val="none"/>
          <w:lang w:val="en-US" w:eastAsia="zh-CN"/>
        </w:rPr>
        <w:t>发展低空经济</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充分发挥赤峰市场景多元优势及文旅资源优势，加快低空飞行与多领域、多行业的融合，发展无人机</w:t>
      </w:r>
      <w:r>
        <w:rPr>
          <w:rFonts w:hint="eastAsia" w:ascii="Times New Roman" w:hAnsi="Times New Roman" w:eastAsia="仿宋_GB2312" w:cs="方正仿宋_GBK"/>
          <w:b w:val="0"/>
          <w:bCs w:val="0"/>
          <w:color w:val="auto"/>
          <w:sz w:val="32"/>
          <w:szCs w:val="32"/>
          <w:highlight w:val="none"/>
          <w:lang w:eastAsia="zh-CN"/>
        </w:rPr>
        <w:t>验证试飞</w:t>
      </w:r>
      <w:r>
        <w:rPr>
          <w:rFonts w:hint="eastAsia" w:ascii="Times New Roman" w:hAnsi="Times New Roman" w:eastAsia="仿宋_GB2312" w:cs="方正仿宋_GBK"/>
          <w:b w:val="0"/>
          <w:bCs w:val="0"/>
          <w:color w:val="auto"/>
          <w:sz w:val="32"/>
          <w:szCs w:val="32"/>
          <w:highlight w:val="none"/>
        </w:rPr>
        <w:t>、低空飞行服务、航空教育培训、航空物流、航空旅游等</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拓展无人机在农业植保、矿山监测、水利巡查、气象探测、电力巡检、应急救援等领域的应用场景，建设</w:t>
      </w:r>
      <w:r>
        <w:rPr>
          <w:rFonts w:hint="eastAsia" w:ascii="Times New Roman" w:hAnsi="Times New Roman" w:eastAsia="仿宋_GB2312" w:cs="方正仿宋_GBK"/>
          <w:b w:val="0"/>
          <w:bCs w:val="0"/>
          <w:color w:val="auto"/>
          <w:sz w:val="32"/>
          <w:szCs w:val="32"/>
          <w:highlight w:val="none"/>
          <w:lang w:eastAsia="zh-CN"/>
        </w:rPr>
        <w:t>赤锡通低空应用集聚区</w:t>
      </w:r>
      <w:r>
        <w:rPr>
          <w:rFonts w:hint="eastAsia" w:ascii="Times New Roman" w:hAnsi="Times New Roman" w:eastAsia="仿宋_GB2312" w:cs="方正仿宋_GBK"/>
          <w:b w:val="0"/>
          <w:bCs w:val="0"/>
          <w:color w:val="auto"/>
          <w:sz w:val="32"/>
          <w:szCs w:val="32"/>
          <w:highlight w:val="none"/>
          <w:lang w:val="en-US" w:eastAsia="zh-CN"/>
        </w:rPr>
        <w:t>。探索通用机场运营管理模式，</w:t>
      </w:r>
      <w:r>
        <w:rPr>
          <w:rFonts w:hint="eastAsia" w:eastAsia="仿宋_GB2312" w:cs="方正仿宋_GBK"/>
          <w:b w:val="0"/>
          <w:bCs w:val="0"/>
          <w:color w:val="auto"/>
          <w:sz w:val="32"/>
          <w:szCs w:val="32"/>
          <w:highlight w:val="none"/>
          <w:lang w:val="en-US" w:eastAsia="zh-CN"/>
        </w:rPr>
        <w:t>实施</w:t>
      </w:r>
      <w:r>
        <w:rPr>
          <w:rFonts w:hint="eastAsia" w:ascii="Times New Roman" w:hAnsi="Times New Roman" w:eastAsia="仿宋_GB2312" w:cs="方正仿宋_GBK"/>
          <w:b w:val="0"/>
          <w:bCs w:val="0"/>
          <w:color w:val="auto"/>
          <w:sz w:val="32"/>
          <w:szCs w:val="32"/>
          <w:highlight w:val="none"/>
          <w:lang w:val="en-US" w:eastAsia="zh-CN"/>
        </w:rPr>
        <w:t>低空经济领域重点项目建设，推动低空经济与智慧城市一网统管</w:t>
      </w:r>
      <w:r>
        <w:rPr>
          <w:rFonts w:hint="eastAsia" w:ascii="Times New Roman" w:hAnsi="Times New Roman" w:eastAsia="仿宋_GB2312" w:cs="方正仿宋_GBK"/>
          <w:b w:val="0"/>
          <w:bCs w:val="0"/>
          <w:color w:val="auto"/>
          <w:sz w:val="32"/>
          <w:szCs w:val="32"/>
          <w:highlight w:val="none"/>
        </w:rPr>
        <w:t>。</w:t>
      </w:r>
      <w:r>
        <w:rPr>
          <w:rFonts w:hint="eastAsia" w:ascii="Times New Roman" w:hAnsi="Times New Roman" w:eastAsia="仿宋_GB2312" w:cs="方正仿宋_GBK"/>
          <w:b w:val="0"/>
          <w:bCs w:val="0"/>
          <w:color w:val="auto"/>
          <w:highlight w:val="none"/>
        </w:rPr>
        <w:t>推动装备制造集群发展</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以整机装备、新型装备、精密配件、关键零部件为主攻方向，布局建设一批现代</w:t>
      </w:r>
      <w:r>
        <w:rPr>
          <w:rFonts w:hint="eastAsia" w:eastAsia="仿宋_GB2312" w:cs="方正仿宋_GBK"/>
          <w:b w:val="0"/>
          <w:bCs w:val="0"/>
          <w:color w:val="auto"/>
          <w:highlight w:val="none"/>
          <w:lang w:val="en-US" w:eastAsia="zh-CN"/>
        </w:rPr>
        <w:t>装备</w:t>
      </w:r>
      <w:r>
        <w:rPr>
          <w:rFonts w:hint="eastAsia" w:ascii="Times New Roman" w:hAnsi="Times New Roman" w:eastAsia="仿宋_GB2312" w:cs="方正仿宋_GBK"/>
          <w:b w:val="0"/>
          <w:bCs w:val="0"/>
          <w:color w:val="auto"/>
          <w:highlight w:val="none"/>
        </w:rPr>
        <w:t>制造项目。持续推进电子装备制造业提档升级，完善</w:t>
      </w:r>
      <w:r>
        <w:rPr>
          <w:rFonts w:hint="eastAsia" w:eastAsia="仿宋_GB2312" w:cs="方正仿宋_GBK"/>
          <w:b w:val="0"/>
          <w:bCs w:val="0"/>
          <w:color w:val="auto"/>
          <w:highlight w:val="none"/>
          <w:lang w:val="en-US" w:eastAsia="zh-CN"/>
        </w:rPr>
        <w:t>电子制造</w:t>
      </w:r>
      <w:r>
        <w:rPr>
          <w:rFonts w:hint="eastAsia" w:ascii="Times New Roman" w:hAnsi="Times New Roman" w:eastAsia="仿宋_GB2312" w:cs="方正仿宋_GBK"/>
          <w:b w:val="0"/>
          <w:bCs w:val="0"/>
          <w:color w:val="auto"/>
          <w:highlight w:val="none"/>
        </w:rPr>
        <w:t>“园中园”产业基础和服务功能，集中布局电子装备制造产业项目。打造智能制造装备产业集群，加快推进组链工程，完善电声器件产业链，补强智能终端产业链。</w:t>
      </w:r>
    </w:p>
    <w:p w14:paraId="739D7B51">
      <w:pPr>
        <w:pStyle w:val="43"/>
        <w:keepNext w:val="0"/>
        <w:keepLines w:val="0"/>
        <w:pageBreakBefore w:val="0"/>
        <w:shd w:val="clear" w:color="auto" w:fill="auto"/>
        <w:kinsoku/>
        <w:wordWrap/>
        <w:topLinePunct w:val="0"/>
        <w:autoSpaceDE/>
        <w:autoSpaceDN/>
        <w:bidi w:val="0"/>
        <w:adjustRightInd/>
        <w:spacing w:line="540" w:lineRule="exact"/>
        <w:ind w:firstLine="643"/>
        <w:textAlignment w:val="auto"/>
        <w:outlineLvl w:val="9"/>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lang w:val="en-US" w:eastAsia="zh-CN"/>
        </w:rPr>
        <w:t>前瞻布局未来产业</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围绕制造业主战场，坚持创新驱动、应用牵引、梯次培育、安全有序原则，积极谋划布局未来产业，抢占未来发展制高点。</w:t>
      </w:r>
      <w:r>
        <w:rPr>
          <w:rFonts w:hint="eastAsia" w:ascii="Times New Roman" w:hAnsi="Times New Roman" w:eastAsia="仿宋_GB2312" w:cs="方正仿宋_GBK"/>
          <w:b w:val="0"/>
          <w:bCs w:val="0"/>
          <w:color w:val="auto"/>
          <w:sz w:val="32"/>
          <w:szCs w:val="32"/>
          <w:highlight w:val="none"/>
          <w:lang w:val="en-US" w:eastAsia="zh-CN"/>
        </w:rPr>
        <w:t>培育发展氢能产业，拓展氢能与化工、冶金、交通等行业应用场景，重点发展绿氢、绿氨、绿醇等产业，延伸绿氢产业链、绿色价值链。聚焦新型储能产业，突破电芯制造、电池系统集成等关键材料研发和零部件制造技术，发展高能量比、高可靠性锂离子电池、钠离子电池、液流电池等电化学储能和压缩空气储能、飞轮储能、电磁储能等。探索布局合成生物，围绕细胞与基因治疗、医学诊断试剂及酶等生物药以及功能食品添加剂、新型绿色饲料、乳制品、保健食品等赛道，布局建设小品种氨基酸、蛋白质、淀粉、新型高效酶制剂、生物基可降解材料等项目。</w:t>
      </w:r>
      <w:r>
        <w:rPr>
          <w:rFonts w:hint="eastAsia" w:ascii="Times New Roman" w:hAnsi="Times New Roman" w:eastAsia="仿宋_GB2312" w:cs="方正仿宋_GBK"/>
          <w:b w:val="0"/>
          <w:bCs w:val="0"/>
          <w:color w:val="auto"/>
          <w:sz w:val="32"/>
          <w:szCs w:val="32"/>
          <w:highlight w:val="none"/>
        </w:rPr>
        <w:t>密切关注高效光伏技术、碳捕集利用与封存（CCUS）等技术的发展，适时开展技术验证和应用</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推进数字赤峰建设，积极融入国家“东数西算”工程，规划建设智算中心、超算中心，夯实算力基础设施，打造数字经济发展新高地</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探索布局6G技术试验场景</w:t>
      </w:r>
      <w:r>
        <w:rPr>
          <w:rFonts w:hint="eastAsia" w:ascii="Times New Roman" w:hAnsi="Times New Roman" w:eastAsia="仿宋_GB2312" w:cs="方正仿宋_GBK"/>
          <w:b w:val="0"/>
          <w:bCs w:val="0"/>
          <w:color w:val="auto"/>
          <w:sz w:val="32"/>
          <w:szCs w:val="32"/>
          <w:highlight w:val="none"/>
          <w:lang w:val="en-US" w:eastAsia="zh-CN"/>
        </w:rPr>
        <w:t>等前沿领域</w:t>
      </w:r>
      <w:r>
        <w:rPr>
          <w:rFonts w:hint="eastAsia" w:ascii="Times New Roman" w:hAnsi="Times New Roman" w:eastAsia="仿宋_GB2312" w:cs="方正仿宋_GBK"/>
          <w:b w:val="0"/>
          <w:bCs w:val="0"/>
          <w:color w:val="auto"/>
          <w:sz w:val="32"/>
          <w:szCs w:val="32"/>
          <w:highlight w:val="none"/>
        </w:rPr>
        <w:t>应用。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5B91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DC1636E">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6 未来产业</w:t>
            </w:r>
            <w:r>
              <w:rPr>
                <w:rFonts w:hint="eastAsia" w:ascii="Times New Roman" w:hAnsi="Times New Roman" w:eastAsia="仿宋_GB2312" w:cs="Times New Roman"/>
                <w:b w:val="0"/>
                <w:bCs w:val="0"/>
                <w:sz w:val="24"/>
                <w:highlight w:val="none"/>
              </w:rPr>
              <w:t>重大工程</w:t>
            </w:r>
          </w:p>
        </w:tc>
      </w:tr>
      <w:tr w14:paraId="50D4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35CAEC5">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合成生物重大工程：培育发展小品种氨基酸、新型蛋白、新型高效酶制剂、生物基材料等产业，推进生物合成技术在药物研发生产、新型食品研制、新材料开发等领域的应用转化。</w:t>
            </w:r>
          </w:p>
          <w:p w14:paraId="5904E282">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highlight w:val="none"/>
                <w:lang w:val="en-US" w:eastAsia="zh-CN"/>
              </w:rPr>
              <w:t>数字经济重大工程：加强绿电与算力的协同联动，推动建设大型清洁能源智算中心，构建形成“绿电一算力一产业一生态”正循环的发展格局，重点推进算力基础设施项目。</w:t>
            </w:r>
          </w:p>
        </w:tc>
      </w:tr>
    </w:tbl>
    <w:p w14:paraId="5CD9B545">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rPr>
      </w:pPr>
    </w:p>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14:paraId="7D6F5B19">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ascii="Times New Roman" w:hAnsi="Times New Roman" w:eastAsia="仿宋_GB2312" w:cs="方正仿宋_GBK"/>
          <w:b w:val="0"/>
          <w:bCs w:val="0"/>
          <w:color w:val="auto"/>
          <w:highlight w:val="none"/>
        </w:rPr>
      </w:pPr>
      <w:bookmarkStart w:id="332" w:name="_Toc11047"/>
      <w:bookmarkStart w:id="333" w:name="_Toc22747"/>
      <w:bookmarkStart w:id="334" w:name="_Toc21729"/>
      <w:bookmarkStart w:id="335" w:name="_Toc27795"/>
      <w:bookmarkStart w:id="336" w:name="_Toc4564"/>
      <w:bookmarkStart w:id="337" w:name="_Toc21874"/>
      <w:bookmarkStart w:id="338" w:name="_Toc31499"/>
      <w:bookmarkStart w:id="339" w:name="_Toc20603"/>
      <w:bookmarkStart w:id="340" w:name="_Toc22049"/>
      <w:bookmarkStart w:id="341" w:name="_Toc31211"/>
      <w:bookmarkStart w:id="342" w:name="_Toc26995"/>
      <w:bookmarkStart w:id="343" w:name="_Toc6983"/>
      <w:bookmarkStart w:id="344" w:name="_Toc22535"/>
      <w:bookmarkStart w:id="345" w:name="_Toc12494"/>
      <w:bookmarkStart w:id="346" w:name="_Toc2752"/>
      <w:bookmarkStart w:id="347" w:name="_Toc12686"/>
      <w:bookmarkStart w:id="348" w:name="_Toc29208"/>
      <w:bookmarkStart w:id="349" w:name="_Toc24787"/>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强化产业发展平台支撑</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pacing w:val="0"/>
          <w:highlight w:val="none"/>
        </w:rPr>
        <w:t>把园区提质增效作为再造一个“工业赤峰”的关键支撑，推动各类要素向园区集中、各项政策向园区倾斜、各种服务向园区覆盖，全面提升园区的承载能力、集聚水平和产</w:t>
      </w:r>
      <w:r>
        <w:rPr>
          <w:rFonts w:hint="eastAsia" w:ascii="Times New Roman" w:hAnsi="Times New Roman" w:eastAsia="仿宋_GB2312" w:cs="方正仿宋_GBK"/>
          <w:b w:val="0"/>
          <w:bCs w:val="0"/>
          <w:color w:val="auto"/>
          <w:highlight w:val="none"/>
        </w:rPr>
        <w:t>出效益。</w:t>
      </w:r>
      <w:r>
        <w:rPr>
          <w:rFonts w:hint="eastAsia" w:ascii="Times New Roman" w:hAnsi="Times New Roman" w:eastAsia="仿宋_GB2312" w:cs="方正仿宋_GBK"/>
          <w:b w:val="0"/>
          <w:bCs w:val="0"/>
          <w:color w:val="auto"/>
          <w:highlight w:val="none"/>
          <w:lang w:val="en-US" w:eastAsia="zh-CN"/>
        </w:rPr>
        <w:t>到2030年，力争工业园区产值达到3500亿元。</w:t>
      </w:r>
    </w:p>
    <w:p w14:paraId="1A8A441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0" w:name="_Toc26848"/>
      <w:r>
        <w:rPr>
          <w:rFonts w:hint="eastAsia" w:ascii="Times New Roman" w:hAnsi="Times New Roman" w:eastAsia="仿宋_GB2312" w:cs="方正仿宋_GBK"/>
          <w:b w:val="0"/>
          <w:bCs w:val="0"/>
          <w:color w:val="auto"/>
          <w:highlight w:val="none"/>
        </w:rPr>
        <w:t>优化园区</w:t>
      </w:r>
      <w:r>
        <w:rPr>
          <w:rFonts w:hint="eastAsia" w:ascii="Times New Roman" w:hAnsi="Times New Roman"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布局</w:t>
      </w:r>
      <w:bookmarkEnd w:id="350"/>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按照“布局集中、产业集聚、用地集约”的原则，结合各地区资源禀赋和产业基础，进一步明确各开发区、产业园区的主导产业和发展方向，推动错位发展、协同联动。重点打造</w:t>
      </w:r>
      <w:r>
        <w:rPr>
          <w:rFonts w:hint="eastAsia" w:ascii="Times New Roman" w:hAnsi="Times New Roman" w:eastAsia="仿宋_GB2312" w:cs="方正仿宋_GBK"/>
          <w:b w:val="0"/>
          <w:bCs w:val="0"/>
          <w:color w:val="auto"/>
          <w:highlight w:val="none"/>
          <w:lang w:val="en-US" w:eastAsia="zh-CN"/>
        </w:rPr>
        <w:t>赤峰高新技术产业开发区、赤峰红山高新技术产业开发区、赤峰松山工业园区、赤峰元宝山工业园区</w:t>
      </w:r>
      <w:r>
        <w:rPr>
          <w:rFonts w:hint="eastAsia" w:ascii="Times New Roman" w:hAnsi="Times New Roman" w:eastAsia="仿宋_GB2312" w:cs="方正仿宋_GBK"/>
          <w:b w:val="0"/>
          <w:bCs w:val="0"/>
          <w:color w:val="auto"/>
          <w:highlight w:val="none"/>
        </w:rPr>
        <w:t>作为全市工业经济的核心引擎，突出发展新能源、新材料、高端装备制造等产业。其他旗县区工业园区立足特色，做精做强</w:t>
      </w:r>
      <w:r>
        <w:rPr>
          <w:rFonts w:hint="eastAsia" w:ascii="Times New Roman" w:hAnsi="Times New Roman" w:eastAsia="仿宋_GB2312" w:cs="方正仿宋_GBK"/>
          <w:b w:val="0"/>
          <w:bCs w:val="0"/>
          <w:color w:val="auto"/>
          <w:highlight w:val="none"/>
          <w:lang w:val="en-US" w:eastAsia="zh-CN"/>
        </w:rPr>
        <w:t>3</w:t>
      </w:r>
      <w:r>
        <w:rPr>
          <w:rFonts w:hint="eastAsia" w:ascii="Times New Roman" w:hAnsi="Times New Roman" w:eastAsia="仿宋_GB2312" w:cs="方正仿宋_GBK"/>
          <w:b w:val="0"/>
          <w:bCs w:val="0"/>
          <w:color w:val="auto"/>
          <w:highlight w:val="none"/>
        </w:rPr>
        <w:t>个主导产业，避免同质化竞争。科学划定园区边界和扩展方向，保障工业发展空间，优先利用存量建设用地和低效用地，严格节约集约用地标准。</w:t>
      </w:r>
    </w:p>
    <w:p w14:paraId="595CA374">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1" w:name="_Toc1481"/>
      <w:r>
        <w:rPr>
          <w:rFonts w:hint="eastAsia" w:ascii="Times New Roman" w:hAnsi="Times New Roman" w:eastAsia="仿宋_GB2312" w:cs="方正仿宋_GBK"/>
          <w:b w:val="0"/>
          <w:bCs w:val="0"/>
          <w:color w:val="auto"/>
          <w:highlight w:val="none"/>
          <w:lang w:val="en-US" w:eastAsia="zh-CN"/>
        </w:rPr>
        <w:t>完善</w:t>
      </w:r>
      <w:r>
        <w:rPr>
          <w:rFonts w:hint="eastAsia" w:ascii="Times New Roman" w:hAnsi="Times New Roman" w:eastAsia="仿宋_GB2312" w:cs="方正仿宋_GBK"/>
          <w:b w:val="0"/>
          <w:bCs w:val="0"/>
          <w:color w:val="auto"/>
          <w:highlight w:val="none"/>
        </w:rPr>
        <w:t>园区基础设施</w:t>
      </w:r>
      <w:bookmarkEnd w:id="351"/>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系统谋划并加快推进水、电、路、气、暖、讯等基础设施新建和改造项目。重点破解“用电”瓶颈，推动园区绿电直供，建设智能微电网</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通过多种方式降低企业用电成本，形成“电价洼地”优势。同步完善污水处理、固废处置、供热供气等环保基础设施，建设集中供热中心、工业污水处理厂、危险废物处置中心等，提升园区环境治理能力。</w:t>
      </w:r>
    </w:p>
    <w:p w14:paraId="29DED65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2" w:name="_Toc23010"/>
      <w:r>
        <w:rPr>
          <w:rFonts w:hint="eastAsia" w:ascii="Times New Roman" w:hAnsi="Times New Roman" w:eastAsia="仿宋_GB2312" w:cs="方正仿宋_GBK"/>
          <w:b w:val="0"/>
          <w:bCs w:val="0"/>
          <w:color w:val="auto"/>
          <w:highlight w:val="none"/>
        </w:rPr>
        <w:t>提升园区管理水平</w:t>
      </w:r>
      <w:bookmarkEnd w:id="352"/>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园区事园区办”，深化“放管服”改革，在园区层面设立一站式服务中心，承接市、旗县区下放的行政审批事项，为企业提供从签约落户、项目建设到生产经营的全生命周期“保姆式”服务。强化生产性服务业配套，引进研发设计、检验检测、仓储物流、融资租赁、法律会计等专业服务机构，构建良好的产业生态。</w:t>
      </w:r>
    </w:p>
    <w:p w14:paraId="7D9495C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3" w:name="_Toc20880"/>
      <w:r>
        <w:rPr>
          <w:rFonts w:hint="eastAsia" w:ascii="Times New Roman" w:hAnsi="Times New Roman" w:eastAsia="仿宋_GB2312" w:cs="方正仿宋_GBK"/>
          <w:b w:val="0"/>
          <w:bCs w:val="0"/>
          <w:color w:val="auto"/>
          <w:highlight w:val="none"/>
        </w:rPr>
        <w:t>创新园区运营模式</w:t>
      </w:r>
      <w:bookmarkEnd w:id="353"/>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探索</w:t>
      </w:r>
      <w:r>
        <w:rPr>
          <w:rFonts w:hint="eastAsia" w:ascii="Times New Roman" w:hAnsi="Times New Roman" w:eastAsia="仿宋_GB2312" w:cs="方正仿宋_GBK"/>
          <w:b w:val="0"/>
          <w:bCs w:val="0"/>
          <w:color w:val="auto"/>
          <w:highlight w:val="none"/>
        </w:rPr>
        <w:t>推广“</w:t>
      </w:r>
      <w:r>
        <w:rPr>
          <w:rFonts w:hint="eastAsia" w:ascii="Times New Roman" w:hAnsi="Times New Roman" w:eastAsia="仿宋_GB2312" w:cs="方正仿宋_GBK"/>
          <w:b w:val="0"/>
          <w:bCs w:val="0"/>
          <w:color w:val="auto"/>
          <w:highlight w:val="none"/>
          <w:lang w:val="en-US" w:eastAsia="zh-CN"/>
        </w:rPr>
        <w:t>管委会</w:t>
      </w:r>
      <w:r>
        <w:rPr>
          <w:rFonts w:hint="eastAsia" w:ascii="Times New Roman" w:hAnsi="Times New Roman" w:eastAsia="仿宋_GB2312" w:cs="方正仿宋_GBK"/>
          <w:b w:val="0"/>
          <w:bCs w:val="0"/>
          <w:color w:val="auto"/>
          <w:highlight w:val="none"/>
        </w:rPr>
        <w:t>+公司”的市场化运营模式，支持园区平台公司通过发行债券、引入社会资本、争取政策性金融工具支持等方式，拓宽融资渠道，参与基础设施建设和运营</w:t>
      </w:r>
      <w:r>
        <w:rPr>
          <w:rFonts w:hint="eastAsia" w:ascii="Times New Roman" w:hAnsi="Times New Roman" w:eastAsia="仿宋_GB2312" w:cs="方正仿宋_GBK"/>
          <w:b w:val="0"/>
          <w:bCs w:val="0"/>
          <w:color w:val="auto"/>
          <w:highlight w:val="none"/>
          <w:lang w:val="en-US" w:eastAsia="zh-CN"/>
        </w:rPr>
        <w:t>管理</w:t>
      </w:r>
      <w:r>
        <w:rPr>
          <w:rFonts w:hint="eastAsia" w:ascii="Times New Roman" w:hAnsi="Times New Roman" w:eastAsia="仿宋_GB2312" w:cs="方正仿宋_GBK"/>
          <w:b w:val="0"/>
          <w:bCs w:val="0"/>
          <w:color w:val="auto"/>
          <w:highlight w:val="none"/>
        </w:rPr>
        <w:t>。探索“飞地经济”模式，鼓励发展水平不同的园区之间建立利益分享机制，推动优质项目在全市范围</w:t>
      </w:r>
      <w:r>
        <w:rPr>
          <w:rFonts w:hint="eastAsia" w:eastAsia="仿宋_GB2312" w:cs="方正仿宋_GBK"/>
          <w:b w:val="0"/>
          <w:bCs w:val="0"/>
          <w:color w:val="auto"/>
          <w:highlight w:val="none"/>
          <w:lang w:eastAsia="zh-CN"/>
        </w:rPr>
        <w:t>内</w:t>
      </w:r>
      <w:r>
        <w:rPr>
          <w:rFonts w:hint="eastAsia" w:ascii="Times New Roman" w:hAnsi="Times New Roman" w:eastAsia="仿宋_GB2312" w:cs="方正仿宋_GBK"/>
          <w:b w:val="0"/>
          <w:bCs w:val="0"/>
          <w:color w:val="auto"/>
          <w:highlight w:val="none"/>
        </w:rPr>
        <w:t>合理配置。</w:t>
      </w:r>
    </w:p>
    <w:p w14:paraId="74B41CF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62C2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F0035AC">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7 园区建设</w:t>
            </w:r>
            <w:r>
              <w:rPr>
                <w:rFonts w:hint="eastAsia" w:ascii="Times New Roman" w:hAnsi="Times New Roman" w:eastAsia="仿宋_GB2312" w:cs="Times New Roman"/>
                <w:b w:val="0"/>
                <w:bCs w:val="0"/>
                <w:sz w:val="24"/>
                <w:highlight w:val="none"/>
              </w:rPr>
              <w:t>重大工程</w:t>
            </w:r>
          </w:p>
        </w:tc>
      </w:tr>
      <w:tr w14:paraId="3ADB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E373B8D">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阿鲁科尔沁旗产业园、巴林左工业园区凤凰山工业集聚区、林西工业园区、克什克腾工业园区、赤峰玉龙工业园区、喀喇沁工业园区、赤峰承接产业转移开发区、元宝山工业园、松山工业园、东山园区、红山产业园等园区基础设施提升工程。</w:t>
            </w:r>
          </w:p>
        </w:tc>
      </w:tr>
    </w:tbl>
    <w:p w14:paraId="7589C0E5">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rPr>
      </w:pPr>
    </w:p>
    <w:bookmarkEnd w:id="302"/>
    <w:p w14:paraId="2137FF85">
      <w:pPr>
        <w:keepNext w:val="0"/>
        <w:keepLines w:val="0"/>
        <w:pageBreakBefore w:val="0"/>
        <w:widowControl/>
        <w:numPr>
          <w:ilvl w:val="0"/>
          <w:numId w:val="5"/>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354" w:name="_Toc18606"/>
      <w:bookmarkStart w:id="355" w:name="_Toc3196"/>
      <w:bookmarkStart w:id="356" w:name="_Toc29825"/>
      <w:bookmarkStart w:id="357" w:name="_Toc26872"/>
      <w:bookmarkStart w:id="358" w:name="_Toc17813"/>
      <w:bookmarkStart w:id="359" w:name="_Toc28632"/>
      <w:bookmarkStart w:id="360" w:name="_Toc27376"/>
      <w:bookmarkStart w:id="361" w:name="_Toc30320"/>
      <w:bookmarkStart w:id="362" w:name="_Toc29003"/>
      <w:bookmarkStart w:id="363" w:name="_Toc14635"/>
      <w:bookmarkStart w:id="364" w:name="_Toc27456"/>
      <w:bookmarkStart w:id="365" w:name="_Toc3127"/>
      <w:bookmarkStart w:id="366" w:name="_Toc13848"/>
      <w:bookmarkStart w:id="367" w:name="_Toc18924"/>
      <w:bookmarkStart w:id="368" w:name="_Toc21400"/>
      <w:bookmarkStart w:id="369" w:name="_Toc2123"/>
      <w:bookmarkStart w:id="370" w:name="_Toc26518"/>
      <w:bookmarkStart w:id="371" w:name="_Toc9806"/>
      <w:bookmarkStart w:id="372" w:name="_Toc8868"/>
      <w:bookmarkStart w:id="373" w:name="_Toc5474"/>
      <w:bookmarkStart w:id="374" w:name="_Toc23601"/>
      <w:bookmarkStart w:id="375" w:name="_Toc31976"/>
      <w:bookmarkStart w:id="376" w:name="_Toc3263"/>
      <w:bookmarkStart w:id="377" w:name="_Toc25397"/>
      <w:bookmarkStart w:id="378" w:name="_Toc19648"/>
      <w:bookmarkStart w:id="379" w:name="_Toc538"/>
      <w:bookmarkStart w:id="380" w:name="_Toc17597"/>
      <w:bookmarkStart w:id="381" w:name="_Toc1758"/>
      <w:r>
        <w:rPr>
          <w:rFonts w:hint="eastAsia" w:ascii="楷体_GB2312" w:hAnsi="楷体_GB2312" w:eastAsia="楷体_GB2312" w:cs="楷体_GB2312"/>
          <w:b w:val="0"/>
          <w:bCs w:val="0"/>
          <w:color w:val="auto"/>
          <w:sz w:val="32"/>
          <w:szCs w:val="40"/>
          <w:highlight w:val="none"/>
          <w:lang w:val="en-US" w:eastAsia="zh-CN"/>
        </w:rPr>
        <w:t>加快建设现代农牧业强市</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227AE99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spacing w:val="0"/>
          <w:kern w:val="2"/>
          <w:highlight w:val="none"/>
          <w:lang w:val="en-US" w:eastAsia="zh-CN"/>
        </w:rPr>
        <w:t>用工业化思维谋划和发展农牧业，</w:t>
      </w:r>
      <w:r>
        <w:rPr>
          <w:rFonts w:hint="eastAsia" w:ascii="Times New Roman" w:hAnsi="Times New Roman" w:eastAsia="仿宋_GB2312" w:cs="方正仿宋_GBK"/>
          <w:b w:val="0"/>
          <w:bCs w:val="0"/>
          <w:spacing w:val="0"/>
          <w:kern w:val="2"/>
          <w:highlight w:val="none"/>
        </w:rPr>
        <w:t>坚持产量产能、生产生态、增产增收一起抓，发展科技农牧业、绿色农牧业、质量农牧业、品牌农牧业，构建“稳粮、优供、强基、塑牌”的</w:t>
      </w:r>
      <w:r>
        <w:rPr>
          <w:rFonts w:hint="eastAsia" w:eastAsia="仿宋_GB2312" w:cs="方正仿宋_GBK"/>
          <w:b w:val="0"/>
          <w:bCs w:val="0"/>
          <w:spacing w:val="0"/>
          <w:kern w:val="2"/>
          <w:highlight w:val="none"/>
          <w:lang w:val="en-US" w:eastAsia="zh-CN"/>
        </w:rPr>
        <w:t>发展</w:t>
      </w:r>
      <w:r>
        <w:rPr>
          <w:rFonts w:hint="eastAsia" w:ascii="Times New Roman" w:hAnsi="Times New Roman" w:eastAsia="仿宋_GB2312" w:cs="方正仿宋_GBK"/>
          <w:b w:val="0"/>
          <w:bCs w:val="0"/>
          <w:spacing w:val="0"/>
          <w:kern w:val="2"/>
          <w:highlight w:val="none"/>
        </w:rPr>
        <w:t>格局</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努力在自治区建设国家</w:t>
      </w:r>
      <w:r>
        <w:rPr>
          <w:rFonts w:hint="eastAsia" w:ascii="Times New Roman" w:hAnsi="Times New Roman" w:eastAsia="仿宋_GB2312" w:cs="方正仿宋_GBK"/>
          <w:b w:val="0"/>
          <w:bCs w:val="0"/>
          <w:color w:val="auto"/>
          <w:highlight w:val="none"/>
          <w:lang w:val="en-US" w:eastAsia="zh-CN"/>
        </w:rPr>
        <w:t>重要农畜产品生产基地中展现更大担当。</w:t>
      </w:r>
    </w:p>
    <w:p w14:paraId="2A98F4E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0"/>
          <w:kern w:val="2"/>
          <w:highlight w:val="none"/>
        </w:rPr>
      </w:pPr>
      <w:bookmarkStart w:id="382" w:name="_Toc20145"/>
      <w:bookmarkStart w:id="383" w:name="_Toc4223"/>
      <w:bookmarkStart w:id="384" w:name="_Toc23000"/>
      <w:bookmarkStart w:id="385" w:name="_Toc16406"/>
      <w:bookmarkStart w:id="386" w:name="_Toc23135"/>
      <w:bookmarkStart w:id="387" w:name="_Toc5562"/>
      <w:bookmarkStart w:id="388" w:name="_Toc7378"/>
      <w:bookmarkStart w:id="389" w:name="_Toc6009"/>
      <w:bookmarkStart w:id="390" w:name="_Toc25636"/>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highlight w:val="none"/>
          <w:lang w:val="en-US" w:eastAsia="zh-CN"/>
        </w:rPr>
        <w:t>提升农牧业综合生产能力和质量效益</w:t>
      </w:r>
      <w:bookmarkEnd w:id="382"/>
      <w:bookmarkEnd w:id="383"/>
      <w:bookmarkEnd w:id="384"/>
      <w:bookmarkEnd w:id="385"/>
      <w:bookmarkEnd w:id="386"/>
      <w:bookmarkEnd w:id="387"/>
      <w:bookmarkEnd w:id="388"/>
      <w:bookmarkEnd w:id="389"/>
      <w:bookmarkEnd w:id="390"/>
      <w:r>
        <w:rPr>
          <w:rFonts w:hint="eastAsia" w:ascii="Times New Roman" w:hAnsi="Times New Roman"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深入实施国家粮食安全战略，扎实推进藏粮于地</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藏粮于技，夯实粮食安全根基。树立大农业观、大食物观，构建多元化食物供给体系，持续增强重</w:t>
      </w:r>
      <w:r>
        <w:rPr>
          <w:rFonts w:hint="eastAsia" w:ascii="Times New Roman" w:hAnsi="Times New Roman" w:eastAsia="仿宋_GB2312" w:cs="方正仿宋_GBK"/>
          <w:b w:val="0"/>
          <w:bCs w:val="0"/>
          <w:spacing w:val="0"/>
          <w:kern w:val="2"/>
          <w:highlight w:val="none"/>
        </w:rPr>
        <w:t>要农畜产品供给保障能力。</w:t>
      </w:r>
    </w:p>
    <w:p w14:paraId="3243AFBB">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default" w:ascii="Times New Roman" w:hAnsi="Times New Roman" w:eastAsia="仿宋_GB2312" w:cs="方正仿宋_GBK"/>
          <w:b w:val="0"/>
          <w:bCs w:val="0"/>
          <w:spacing w:val="0"/>
          <w:kern w:val="2"/>
          <w:highlight w:val="none"/>
          <w:lang w:val="en-US" w:eastAsia="zh-CN"/>
        </w:rPr>
      </w:pPr>
      <w:bookmarkStart w:id="391" w:name="_Toc5563"/>
      <w:r>
        <w:rPr>
          <w:rFonts w:hint="eastAsia" w:ascii="Times New Roman" w:hAnsi="Times New Roman" w:eastAsia="仿宋_GB2312" w:cs="方正仿宋_GBK"/>
          <w:b w:val="0"/>
          <w:bCs w:val="0"/>
          <w:color w:val="auto"/>
          <w:spacing w:val="0"/>
          <w:kern w:val="2"/>
          <w:highlight w:val="none"/>
        </w:rPr>
        <w:t>全方位夯实粮食安全根基</w:t>
      </w:r>
      <w:bookmarkEnd w:id="391"/>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坚决扛起粮食安全政治责任，坚持“稳面积、提单产”双轮驱动，全面落实国家新一轮千亿斤粮食产能提升行动，</w:t>
      </w:r>
      <w:r>
        <w:rPr>
          <w:rFonts w:hint="eastAsia" w:ascii="Times New Roman" w:hAnsi="Times New Roman" w:eastAsia="仿宋_GB2312" w:cs="方正仿宋_GBK"/>
          <w:b w:val="0"/>
          <w:bCs w:val="0"/>
          <w:spacing w:val="0"/>
          <w:kern w:val="2"/>
          <w:highlight w:val="none"/>
          <w:lang w:val="en-US" w:eastAsia="zh-CN"/>
        </w:rPr>
        <w:t>打造一批吨粮田高产片区。到2030年，</w:t>
      </w:r>
      <w:r>
        <w:rPr>
          <w:rFonts w:hint="eastAsia" w:ascii="Times New Roman" w:hAnsi="Times New Roman" w:eastAsia="仿宋_GB2312" w:cs="方正仿宋_GBK"/>
          <w:b w:val="0"/>
          <w:bCs w:val="0"/>
          <w:spacing w:val="0"/>
          <w:kern w:val="2"/>
          <w:highlight w:val="none"/>
        </w:rPr>
        <w:t>力争粮食播种面积稳定在1700万亩以上，粮食</w:t>
      </w:r>
      <w:r>
        <w:rPr>
          <w:rFonts w:hint="eastAsia" w:ascii="Times New Roman" w:hAnsi="Times New Roman" w:eastAsia="仿宋_GB2312" w:cs="方正仿宋_GBK"/>
          <w:b w:val="0"/>
          <w:bCs w:val="0"/>
          <w:spacing w:val="0"/>
          <w:kern w:val="2"/>
          <w:highlight w:val="none"/>
          <w:lang w:val="en-US" w:eastAsia="zh-CN"/>
        </w:rPr>
        <w:t>生产能力</w:t>
      </w:r>
      <w:r>
        <w:rPr>
          <w:rFonts w:hint="eastAsia" w:ascii="Times New Roman" w:hAnsi="Times New Roman" w:eastAsia="仿宋_GB2312" w:cs="方正仿宋_GBK"/>
          <w:b w:val="0"/>
          <w:bCs w:val="0"/>
          <w:spacing w:val="0"/>
          <w:kern w:val="2"/>
          <w:highlight w:val="none"/>
        </w:rPr>
        <w:t>突破1</w:t>
      </w:r>
      <w:r>
        <w:rPr>
          <w:rFonts w:hint="eastAsia" w:eastAsia="仿宋_GB2312" w:cs="方正仿宋_GBK"/>
          <w:b w:val="0"/>
          <w:bCs w:val="0"/>
          <w:spacing w:val="0"/>
          <w:kern w:val="2"/>
          <w:highlight w:val="none"/>
          <w:lang w:val="en-US" w:eastAsia="zh-CN"/>
        </w:rPr>
        <w:t>5</w:t>
      </w:r>
      <w:r>
        <w:rPr>
          <w:rFonts w:hint="eastAsia" w:ascii="Times New Roman" w:hAnsi="Times New Roman" w:eastAsia="仿宋_GB2312" w:cs="方正仿宋_GBK"/>
          <w:b w:val="0"/>
          <w:bCs w:val="0"/>
          <w:spacing w:val="0"/>
          <w:kern w:val="2"/>
          <w:highlight w:val="none"/>
        </w:rPr>
        <w:t>0亿斤。</w:t>
      </w:r>
      <w:r>
        <w:rPr>
          <w:rFonts w:hint="eastAsia" w:ascii="Times New Roman" w:hAnsi="Times New Roman" w:eastAsia="仿宋_GB2312" w:cs="方正仿宋_GBK"/>
          <w:b w:val="0"/>
          <w:bCs w:val="0"/>
          <w:spacing w:val="0"/>
          <w:kern w:val="2"/>
          <w:highlight w:val="none"/>
          <w:lang w:val="en-US" w:eastAsia="zh-CN"/>
        </w:rPr>
        <w:t>强化耕地保护，全面落实耕地保护党政同责，压实地方党委和政府耕地保护主体责任，严格开展耕地保护和粮食安全责任制考核。加强耕地用途管制，落实耕地占补平衡改革政策</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坚决遏制耕地“非农化”，防止永久基本农田“非粮化”。</w:t>
      </w:r>
      <w:r>
        <w:rPr>
          <w:rFonts w:hint="eastAsia" w:ascii="Times New Roman" w:hAnsi="Times New Roman" w:eastAsia="仿宋_GB2312" w:cs="方正仿宋_GBK"/>
          <w:b w:val="0"/>
          <w:bCs w:val="0"/>
          <w:szCs w:val="36"/>
          <w:highlight w:val="none"/>
          <w:lang w:val="en" w:eastAsia="zh-CN"/>
        </w:rPr>
        <w:t>持续开展盐碱耕地治理改良，综合农艺、化学、生物</w:t>
      </w:r>
      <w:r>
        <w:rPr>
          <w:rFonts w:hint="eastAsia" w:eastAsia="仿宋_GB2312" w:cs="方正仿宋_GBK"/>
          <w:b w:val="0"/>
          <w:bCs w:val="0"/>
          <w:szCs w:val="36"/>
          <w:highlight w:val="none"/>
          <w:lang w:val="en-US" w:eastAsia="zh-CN"/>
        </w:rPr>
        <w:t>等</w:t>
      </w:r>
      <w:r>
        <w:rPr>
          <w:rFonts w:hint="eastAsia" w:ascii="Times New Roman" w:hAnsi="Times New Roman" w:eastAsia="仿宋_GB2312" w:cs="方正仿宋_GBK"/>
          <w:b w:val="0"/>
          <w:bCs w:val="0"/>
          <w:szCs w:val="36"/>
          <w:highlight w:val="none"/>
          <w:lang w:val="en" w:eastAsia="zh-CN"/>
        </w:rPr>
        <w:t>措施分区分类改造提升盐碱耕地。</w:t>
      </w:r>
      <w:r>
        <w:rPr>
          <w:rFonts w:hint="eastAsia" w:ascii="Times New Roman" w:hAnsi="Times New Roman" w:eastAsia="仿宋_GB2312" w:cs="方正仿宋_GBK"/>
          <w:b w:val="0"/>
          <w:bCs w:val="0"/>
          <w:szCs w:val="36"/>
          <w:highlight w:val="none"/>
          <w:lang w:val="en-US" w:eastAsia="zh-CN"/>
        </w:rPr>
        <w:t>继续实施东北黑土地保护性耕作推进行动，开展基地和监测点建设。</w:t>
      </w:r>
      <w:r>
        <w:rPr>
          <w:rFonts w:hint="eastAsia" w:ascii="Times New Roman" w:hAnsi="Times New Roman" w:eastAsia="仿宋_GB2312" w:cs="方正仿宋_GBK"/>
          <w:b w:val="0"/>
          <w:bCs w:val="0"/>
          <w:spacing w:val="0"/>
          <w:kern w:val="2"/>
          <w:highlight w:val="none"/>
        </w:rPr>
        <w:t>加快推进高标准农田建设，确保将</w:t>
      </w:r>
      <w:r>
        <w:rPr>
          <w:rFonts w:hint="eastAsia" w:ascii="Times New Roman" w:hAnsi="Times New Roman" w:eastAsia="仿宋_GB2312" w:cs="方正仿宋_GBK"/>
          <w:b w:val="0"/>
          <w:bCs w:val="0"/>
          <w:spacing w:val="0"/>
          <w:kern w:val="2"/>
          <w:highlight w:val="none"/>
          <w:lang w:eastAsia="zh-CN"/>
        </w:rPr>
        <w:t>具备条件的</w:t>
      </w:r>
      <w:r>
        <w:rPr>
          <w:rFonts w:hint="eastAsia" w:ascii="Times New Roman" w:hAnsi="Times New Roman" w:eastAsia="仿宋_GB2312" w:cs="方正仿宋_GBK"/>
          <w:b w:val="0"/>
          <w:bCs w:val="0"/>
          <w:spacing w:val="0"/>
          <w:kern w:val="2"/>
          <w:highlight w:val="none"/>
        </w:rPr>
        <w:t>永久基本农田全部建成高标准农田，</w:t>
      </w:r>
      <w:r>
        <w:rPr>
          <w:rFonts w:hint="eastAsia" w:eastAsia="仿宋_GB2312" w:cs="方正仿宋_GBK"/>
          <w:b w:val="0"/>
          <w:bCs w:val="0"/>
          <w:spacing w:val="0"/>
          <w:kern w:val="2"/>
          <w:highlight w:val="none"/>
          <w:lang w:val="en-US" w:eastAsia="zh-CN"/>
        </w:rPr>
        <w:t>到2030年，累计</w:t>
      </w:r>
      <w:r>
        <w:rPr>
          <w:rFonts w:hint="eastAsia" w:ascii="Times New Roman" w:hAnsi="Times New Roman" w:eastAsia="仿宋_GB2312" w:cs="方正仿宋_GBK"/>
          <w:b w:val="0"/>
          <w:bCs w:val="0"/>
          <w:spacing w:val="0"/>
          <w:kern w:val="2"/>
          <w:highlight w:val="none"/>
        </w:rPr>
        <w:t>新建和改造提升高标准农田1</w:t>
      </w:r>
      <w:r>
        <w:rPr>
          <w:rFonts w:hint="eastAsia" w:ascii="Times New Roman" w:hAnsi="Times New Roman" w:eastAsia="仿宋_GB2312" w:cs="方正仿宋_GBK"/>
          <w:b w:val="0"/>
          <w:bCs w:val="0"/>
          <w:spacing w:val="0"/>
          <w:kern w:val="2"/>
          <w:highlight w:val="none"/>
          <w:lang w:val="en-US" w:eastAsia="zh-CN"/>
        </w:rPr>
        <w:t>2</w:t>
      </w:r>
      <w:r>
        <w:rPr>
          <w:rFonts w:hint="eastAsia" w:ascii="Times New Roman" w:hAnsi="Times New Roman" w:eastAsia="仿宋_GB2312" w:cs="方正仿宋_GBK"/>
          <w:b w:val="0"/>
          <w:bCs w:val="0"/>
          <w:spacing w:val="0"/>
          <w:kern w:val="2"/>
          <w:highlight w:val="none"/>
        </w:rPr>
        <w:t>00万亩以上。</w:t>
      </w:r>
      <w:r>
        <w:rPr>
          <w:rFonts w:hint="eastAsia" w:eastAsia="仿宋_GB2312" w:cs="方正仿宋_GBK"/>
          <w:b w:val="0"/>
          <w:bCs w:val="0"/>
          <w:spacing w:val="0"/>
          <w:kern w:val="2"/>
          <w:highlight w:val="none"/>
          <w:lang w:val="en-US" w:eastAsia="zh-CN"/>
        </w:rPr>
        <w:t>加强农业防灾减灾能力建设。推进粮食全链条节约减损。</w:t>
      </w:r>
    </w:p>
    <w:p w14:paraId="451FE4C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0"/>
          <w:kern w:val="2"/>
          <w:highlight w:val="none"/>
          <w:lang w:val="en-US" w:eastAsia="zh-CN"/>
        </w:rPr>
      </w:pPr>
      <w:bookmarkStart w:id="392" w:name="_Toc9531"/>
      <w:r>
        <w:rPr>
          <w:rFonts w:hint="eastAsia" w:ascii="Times New Roman" w:hAnsi="Times New Roman" w:eastAsia="仿宋_GB2312" w:cs="方正仿宋_GBK"/>
          <w:b w:val="0"/>
          <w:bCs w:val="0"/>
          <w:color w:val="auto"/>
          <w:spacing w:val="0"/>
          <w:kern w:val="2"/>
          <w:highlight w:val="none"/>
          <w:lang w:eastAsia="zh-CN"/>
        </w:rPr>
        <w:t>加快设施农业提档升级</w:t>
      </w:r>
      <w:bookmarkEnd w:id="392"/>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以建设</w:t>
      </w:r>
      <w:r>
        <w:rPr>
          <w:rFonts w:hint="eastAsia" w:ascii="Times New Roman" w:hAnsi="Times New Roman" w:eastAsia="仿宋_GB2312" w:cs="方正仿宋_GBK"/>
          <w:b w:val="0"/>
          <w:bCs w:val="0"/>
          <w:sz w:val="32"/>
          <w:szCs w:val="32"/>
          <w:highlight w:val="none"/>
          <w:lang w:eastAsia="zh-CN"/>
        </w:rPr>
        <w:t>国家现代设施农业强市</w:t>
      </w:r>
      <w:r>
        <w:rPr>
          <w:rFonts w:hint="eastAsia" w:ascii="Times New Roman" w:hAnsi="Times New Roman" w:eastAsia="仿宋_GB2312" w:cs="方正仿宋_GBK"/>
          <w:b w:val="0"/>
          <w:bCs w:val="0"/>
          <w:sz w:val="32"/>
          <w:szCs w:val="32"/>
          <w:highlight w:val="none"/>
          <w:lang w:val="en-US" w:eastAsia="zh-CN"/>
        </w:rPr>
        <w:t>为目标</w:t>
      </w:r>
      <w:r>
        <w:rPr>
          <w:rFonts w:hint="eastAsia" w:ascii="Times New Roman" w:hAnsi="Times New Roman" w:eastAsia="仿宋_GB2312" w:cs="方正仿宋_GBK"/>
          <w:b w:val="0"/>
          <w:bCs w:val="0"/>
          <w:sz w:val="32"/>
          <w:szCs w:val="32"/>
          <w:highlight w:val="none"/>
          <w:lang w:eastAsia="zh-CN"/>
        </w:rPr>
        <w:t>，</w:t>
      </w:r>
      <w:r>
        <w:rPr>
          <w:rFonts w:hint="eastAsia" w:ascii="Times New Roman" w:hAnsi="Times New Roman" w:eastAsia="仿宋_GB2312" w:cs="方正仿宋_GBK"/>
          <w:b w:val="0"/>
          <w:bCs w:val="0"/>
          <w:spacing w:val="0"/>
          <w:kern w:val="2"/>
          <w:highlight w:val="none"/>
          <w:lang w:eastAsia="zh-CN"/>
        </w:rPr>
        <w:t>以宁城县、松山区、喀喇沁旗、元宝山区等为核心区，</w:t>
      </w:r>
      <w:r>
        <w:rPr>
          <w:rFonts w:hint="eastAsia" w:ascii="Times New Roman" w:hAnsi="Times New Roman" w:eastAsia="仿宋_GB2312" w:cs="方正仿宋_GBK"/>
          <w:b w:val="0"/>
          <w:bCs w:val="0"/>
          <w:spacing w:val="0"/>
          <w:kern w:val="2"/>
          <w:highlight w:val="none"/>
        </w:rPr>
        <w:t>扎实推进设施农业现代化提升行动</w:t>
      </w:r>
      <w:r>
        <w:rPr>
          <w:rFonts w:hint="eastAsia" w:ascii="Times New Roman" w:hAnsi="Times New Roman" w:eastAsia="仿宋_GB2312" w:cs="方正仿宋_GBK"/>
          <w:b w:val="0"/>
          <w:bCs w:val="0"/>
          <w:spacing w:val="0"/>
          <w:kern w:val="2"/>
          <w:highlight w:val="none"/>
          <w:lang w:val="en-US" w:eastAsia="zh-CN"/>
        </w:rPr>
        <w:t>，推进设施农业标准化、数字化改造升级</w:t>
      </w:r>
      <w:r>
        <w:rPr>
          <w:rFonts w:hint="eastAsia" w:ascii="Times New Roman" w:hAnsi="Times New Roman" w:eastAsia="仿宋_GB2312" w:cs="方正仿宋_GBK"/>
          <w:b w:val="0"/>
          <w:bCs w:val="0"/>
          <w:spacing w:val="0"/>
          <w:kern w:val="2"/>
          <w:highlight w:val="none"/>
        </w:rPr>
        <w:t>，促进设施农业高质量绿色发展。</w:t>
      </w:r>
      <w:r>
        <w:rPr>
          <w:rFonts w:hint="eastAsia" w:ascii="Times New Roman" w:hAnsi="Times New Roman" w:eastAsia="仿宋_GB2312" w:cs="方正仿宋_GBK"/>
          <w:b w:val="0"/>
          <w:bCs w:val="0"/>
          <w:spacing w:val="0"/>
          <w:kern w:val="2"/>
          <w:highlight w:val="none"/>
          <w:lang w:val="en-US" w:eastAsia="zh-CN"/>
        </w:rPr>
        <w:t>推动老旧棚室更新改造，重点建设一批现代设施农业科技园区、智慧农业产业园区和现代智慧零碳农业园区</w:t>
      </w:r>
      <w:r>
        <w:rPr>
          <w:rFonts w:hint="eastAsia" w:eastAsia="仿宋_GB2312" w:cs="方正仿宋_GBK"/>
          <w:b w:val="0"/>
          <w:bCs w:val="0"/>
          <w:spacing w:val="0"/>
          <w:kern w:val="2"/>
          <w:highlight w:val="none"/>
          <w:lang w:val="en-US" w:eastAsia="zh-CN"/>
        </w:rPr>
        <w:t>，带动全市设施农业提档升级。</w:t>
      </w:r>
      <w:r>
        <w:rPr>
          <w:rFonts w:hint="eastAsia" w:ascii="Times New Roman" w:hAnsi="Times New Roman" w:eastAsia="仿宋_GB2312" w:cs="方正仿宋_GBK"/>
          <w:b w:val="0"/>
          <w:bCs w:val="0"/>
          <w:spacing w:val="0"/>
          <w:kern w:val="2"/>
          <w:highlight w:val="none"/>
          <w:lang w:val="en-US" w:eastAsia="zh-CN"/>
        </w:rPr>
        <w:t>扩大设施农业育苗中心建设规模，推动</w:t>
      </w:r>
      <w:r>
        <w:rPr>
          <w:rFonts w:hint="eastAsia" w:eastAsia="仿宋_GB2312" w:cs="方正仿宋_GBK"/>
          <w:b w:val="0"/>
          <w:bCs w:val="0"/>
          <w:spacing w:val="0"/>
          <w:kern w:val="2"/>
          <w:highlight w:val="none"/>
          <w:lang w:val="en-US" w:eastAsia="zh-CN"/>
        </w:rPr>
        <w:t>建设</w:t>
      </w:r>
      <w:r>
        <w:rPr>
          <w:rFonts w:hint="eastAsia" w:ascii="Times New Roman" w:hAnsi="Times New Roman" w:eastAsia="仿宋_GB2312" w:cs="方正仿宋_GBK"/>
          <w:b w:val="0"/>
          <w:bCs w:val="0"/>
          <w:spacing w:val="0"/>
          <w:kern w:val="2"/>
          <w:highlight w:val="none"/>
          <w:lang w:val="en-US" w:eastAsia="zh-CN"/>
        </w:rPr>
        <w:t>优良品种研、育、繁、推一体化的蔬菜集约化育苗中心，带动中小型育苗企业发展。</w:t>
      </w:r>
      <w:r>
        <w:rPr>
          <w:rFonts w:hint="eastAsia" w:ascii="Times New Roman" w:hAnsi="Times New Roman" w:eastAsia="仿宋_GB2312" w:cs="方正仿宋_GBK"/>
          <w:b w:val="0"/>
          <w:bCs w:val="0"/>
          <w:spacing w:val="0"/>
          <w:kern w:val="2"/>
          <w:highlight w:val="none"/>
        </w:rPr>
        <w:t>到2030年，</w:t>
      </w:r>
      <w:r>
        <w:rPr>
          <w:rFonts w:hint="eastAsia" w:ascii="Times New Roman" w:hAnsi="Times New Roman"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rPr>
        <w:t>设施农业面积</w:t>
      </w:r>
      <w:r>
        <w:rPr>
          <w:rFonts w:hint="eastAsia" w:eastAsia="仿宋_GB2312" w:cs="方正仿宋_GBK"/>
          <w:b w:val="0"/>
          <w:bCs w:val="0"/>
          <w:spacing w:val="0"/>
          <w:kern w:val="2"/>
          <w:highlight w:val="none"/>
          <w:lang w:val="en-US" w:eastAsia="zh-CN"/>
        </w:rPr>
        <w:t>稳定在</w:t>
      </w:r>
      <w:r>
        <w:rPr>
          <w:rFonts w:hint="eastAsia" w:ascii="Times New Roman" w:hAnsi="Times New Roman" w:eastAsia="仿宋_GB2312" w:cs="方正仿宋_GBK"/>
          <w:b w:val="0"/>
          <w:bCs w:val="0"/>
          <w:spacing w:val="0"/>
          <w:kern w:val="2"/>
          <w:highlight w:val="none"/>
        </w:rPr>
        <w:t>2</w:t>
      </w:r>
      <w:r>
        <w:rPr>
          <w:rFonts w:hint="eastAsia" w:eastAsia="仿宋_GB2312" w:cs="方正仿宋_GBK"/>
          <w:b w:val="0"/>
          <w:bCs w:val="0"/>
          <w:spacing w:val="0"/>
          <w:kern w:val="2"/>
          <w:highlight w:val="none"/>
          <w:lang w:val="en-US" w:eastAsia="zh-CN"/>
        </w:rPr>
        <w:t>00</w:t>
      </w:r>
      <w:r>
        <w:rPr>
          <w:rFonts w:hint="eastAsia" w:ascii="Times New Roman" w:hAnsi="Times New Roman" w:eastAsia="仿宋_GB2312" w:cs="方正仿宋_GBK"/>
          <w:b w:val="0"/>
          <w:bCs w:val="0"/>
          <w:spacing w:val="0"/>
          <w:kern w:val="2"/>
          <w:highlight w:val="none"/>
        </w:rPr>
        <w:t>万亩</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，设施</w:t>
      </w:r>
      <w:r>
        <w:rPr>
          <w:rFonts w:hint="eastAsia" w:eastAsia="仿宋_GB2312" w:cs="方正仿宋_GBK"/>
          <w:b w:val="0"/>
          <w:bCs w:val="0"/>
          <w:spacing w:val="0"/>
          <w:kern w:val="2"/>
          <w:highlight w:val="none"/>
          <w:lang w:val="en-US" w:eastAsia="zh-CN"/>
        </w:rPr>
        <w:t>农产品</w:t>
      </w:r>
      <w:r>
        <w:rPr>
          <w:rFonts w:hint="eastAsia" w:ascii="Times New Roman" w:hAnsi="Times New Roman" w:eastAsia="仿宋_GB2312" w:cs="方正仿宋_GBK"/>
          <w:b w:val="0"/>
          <w:bCs w:val="0"/>
          <w:spacing w:val="0"/>
          <w:kern w:val="2"/>
          <w:highlight w:val="none"/>
          <w:lang w:eastAsia="zh-CN"/>
        </w:rPr>
        <w:t>产量</w:t>
      </w:r>
      <w:r>
        <w:rPr>
          <w:rFonts w:hint="eastAsia" w:eastAsia="仿宋_GB2312" w:cs="方正仿宋_GBK"/>
          <w:b w:val="0"/>
          <w:bCs w:val="0"/>
          <w:spacing w:val="0"/>
          <w:kern w:val="2"/>
          <w:highlight w:val="none"/>
          <w:lang w:val="en-US" w:eastAsia="zh-CN"/>
        </w:rPr>
        <w:t>达到560</w:t>
      </w:r>
      <w:r>
        <w:rPr>
          <w:rFonts w:hint="eastAsia" w:ascii="Times New Roman" w:hAnsi="Times New Roman" w:eastAsia="仿宋_GB2312" w:cs="方正仿宋_GBK"/>
          <w:b w:val="0"/>
          <w:bCs w:val="0"/>
          <w:spacing w:val="0"/>
          <w:kern w:val="2"/>
          <w:highlight w:val="none"/>
          <w:lang w:val="en-US" w:eastAsia="zh-CN"/>
        </w:rPr>
        <w:t>万</w:t>
      </w:r>
      <w:r>
        <w:rPr>
          <w:rFonts w:hint="eastAsia" w:ascii="Times New Roman" w:hAnsi="Times New Roman" w:eastAsia="仿宋_GB2312" w:cs="方正仿宋_GBK"/>
          <w:b w:val="0"/>
          <w:bCs w:val="0"/>
          <w:spacing w:val="0"/>
          <w:kern w:val="2"/>
          <w:highlight w:val="none"/>
          <w:lang w:eastAsia="zh-CN"/>
        </w:rPr>
        <w:t>吨</w:t>
      </w:r>
      <w:r>
        <w:rPr>
          <w:rFonts w:hint="eastAsia" w:ascii="Times New Roman" w:hAnsi="Times New Roman" w:eastAsia="仿宋_GB2312" w:cs="方正仿宋_GBK"/>
          <w:b w:val="0"/>
          <w:bCs w:val="0"/>
          <w:spacing w:val="0"/>
          <w:kern w:val="2"/>
          <w:highlight w:val="none"/>
          <w:lang w:val="en-US" w:eastAsia="zh-CN"/>
        </w:rPr>
        <w:t>。</w:t>
      </w:r>
    </w:p>
    <w:p w14:paraId="3C469C2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b w:val="0"/>
          <w:bCs w:val="0"/>
          <w:highlight w:val="none"/>
          <w:lang w:eastAsia="zh-CN"/>
        </w:rPr>
      </w:pPr>
      <w:bookmarkStart w:id="393" w:name="_Toc482"/>
      <w:r>
        <w:rPr>
          <w:rFonts w:hint="eastAsia" w:ascii="Times New Roman" w:hAnsi="Times New Roman" w:eastAsia="仿宋_GB2312" w:cs="方正仿宋_GBK"/>
          <w:b w:val="0"/>
          <w:bCs w:val="0"/>
          <w:color w:val="auto"/>
          <w:spacing w:val="0"/>
          <w:kern w:val="2"/>
          <w:highlight w:val="none"/>
          <w:lang w:eastAsia="zh-CN"/>
        </w:rPr>
        <w:t>推动畜牧业提质增效</w:t>
      </w:r>
      <w:bookmarkEnd w:id="393"/>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以建设</w:t>
      </w:r>
      <w:r>
        <w:rPr>
          <w:rFonts w:hint="eastAsia" w:ascii="Times New Roman" w:hAnsi="Times New Roman" w:eastAsia="仿宋_GB2312" w:cs="方正仿宋_GBK"/>
          <w:b w:val="0"/>
          <w:bCs w:val="0"/>
          <w:spacing w:val="0"/>
          <w:kern w:val="2"/>
          <w:highlight w:val="none"/>
          <w:lang w:eastAsia="zh-CN"/>
        </w:rPr>
        <w:t>全国优质农畜产品供应基地</w:t>
      </w:r>
      <w:r>
        <w:rPr>
          <w:rFonts w:hint="eastAsia" w:ascii="Times New Roman" w:hAnsi="Times New Roman" w:eastAsia="仿宋_GB2312" w:cs="方正仿宋_GBK"/>
          <w:b w:val="0"/>
          <w:bCs w:val="0"/>
          <w:spacing w:val="0"/>
          <w:kern w:val="2"/>
          <w:highlight w:val="none"/>
          <w:lang w:val="en-US" w:eastAsia="zh-CN"/>
        </w:rPr>
        <w:t>为目标，</w:t>
      </w:r>
      <w:r>
        <w:rPr>
          <w:rFonts w:hint="eastAsia" w:ascii="Times New Roman" w:hAnsi="Times New Roman" w:eastAsia="仿宋_GB2312" w:cs="方正仿宋_GBK"/>
          <w:b w:val="0"/>
          <w:bCs w:val="0"/>
          <w:spacing w:val="0"/>
          <w:kern w:val="2"/>
          <w:highlight w:val="none"/>
        </w:rPr>
        <w:t>着力提升畜产品供给保障能力</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推动肉牛肉羊扩群提质，扩大肉牛冷配范围，提升肉牛品种质量</w:t>
      </w:r>
      <w:r>
        <w:rPr>
          <w:rFonts w:hint="eastAsia" w:eastAsia="仿宋_GB2312" w:cs="方正仿宋_GBK"/>
          <w:b w:val="0"/>
          <w:bCs w:val="0"/>
          <w:spacing w:val="0"/>
          <w:kern w:val="2"/>
          <w:highlight w:val="none"/>
          <w:lang w:val="en-US" w:eastAsia="zh-CN"/>
        </w:rPr>
        <w:t>，推广</w:t>
      </w:r>
      <w:r>
        <w:rPr>
          <w:rFonts w:hint="eastAsia" w:ascii="Times New Roman" w:hAnsi="Times New Roman" w:eastAsia="仿宋_GB2312" w:cs="方正仿宋_GBK"/>
          <w:b w:val="0"/>
          <w:bCs w:val="0"/>
          <w:spacing w:val="0"/>
          <w:kern w:val="2"/>
          <w:highlight w:val="none"/>
          <w:lang w:val="en-US" w:eastAsia="zh-CN"/>
        </w:rPr>
        <w:t>昭乌达肉羊、罕山白绒山羊</w:t>
      </w:r>
      <w:r>
        <w:rPr>
          <w:rFonts w:hint="eastAsia" w:eastAsia="仿宋_GB2312" w:cs="方正仿宋_GBK"/>
          <w:b w:val="0"/>
          <w:bCs w:val="0"/>
          <w:spacing w:val="0"/>
          <w:kern w:val="2"/>
          <w:highlight w:val="none"/>
          <w:lang w:val="en-US" w:eastAsia="zh-CN"/>
        </w:rPr>
        <w:t>等优势</w:t>
      </w:r>
      <w:r>
        <w:rPr>
          <w:rFonts w:hint="eastAsia" w:ascii="Times New Roman" w:hAnsi="Times New Roman" w:eastAsia="仿宋_GB2312" w:cs="方正仿宋_GBK"/>
          <w:b w:val="0"/>
          <w:bCs w:val="0"/>
          <w:spacing w:val="0"/>
          <w:kern w:val="2"/>
          <w:highlight w:val="none"/>
          <w:lang w:val="en-US" w:eastAsia="zh-CN"/>
        </w:rPr>
        <w:t>品种，建立高质量种羊繁育基地</w:t>
      </w:r>
      <w:r>
        <w:rPr>
          <w:rFonts w:hint="eastAsia" w:ascii="Times New Roman" w:hAnsi="Times New Roman" w:eastAsia="仿宋_GB2312" w:cs="方正仿宋_GBK"/>
          <w:b w:val="0"/>
          <w:bCs w:val="0"/>
          <w:spacing w:val="0"/>
          <w:kern w:val="2"/>
          <w:highlight w:val="none"/>
          <w:lang w:eastAsia="zh-CN"/>
        </w:rPr>
        <w:t>，发挥杂交改良优势，提高产品质效。实施</w:t>
      </w:r>
      <w:r>
        <w:rPr>
          <w:rFonts w:hint="eastAsia" w:eastAsia="仿宋_GB2312" w:cs="方正仿宋_GBK"/>
          <w:b w:val="0"/>
          <w:bCs w:val="0"/>
          <w:spacing w:val="0"/>
          <w:kern w:val="2"/>
          <w:highlight w:val="none"/>
          <w:lang w:val="en-US" w:eastAsia="zh-CN"/>
        </w:rPr>
        <w:t>肉牛肉羊</w:t>
      </w:r>
      <w:r>
        <w:rPr>
          <w:rFonts w:hint="eastAsia" w:ascii="Times New Roman" w:hAnsi="Times New Roman" w:eastAsia="仿宋_GB2312" w:cs="方正仿宋_GBK"/>
          <w:b w:val="0"/>
          <w:bCs w:val="0"/>
          <w:spacing w:val="0"/>
          <w:kern w:val="2"/>
          <w:highlight w:val="none"/>
          <w:lang w:eastAsia="zh-CN"/>
        </w:rPr>
        <w:t>育肥行动，</w:t>
      </w:r>
      <w:r>
        <w:rPr>
          <w:rFonts w:hint="eastAsia" w:ascii="Times New Roman" w:hAnsi="Times New Roman" w:eastAsia="仿宋_GB2312" w:cs="方正仿宋_GBK"/>
          <w:b w:val="0"/>
          <w:bCs w:val="0"/>
          <w:spacing w:val="0"/>
          <w:kern w:val="2"/>
          <w:highlight w:val="none"/>
          <w:lang w:val="en-US" w:eastAsia="zh-CN"/>
        </w:rPr>
        <w:t>建设</w:t>
      </w:r>
      <w:r>
        <w:rPr>
          <w:rFonts w:hint="eastAsia" w:eastAsia="仿宋_GB2312" w:cs="方正仿宋_GBK"/>
          <w:b w:val="0"/>
          <w:bCs w:val="0"/>
          <w:spacing w:val="0"/>
          <w:kern w:val="2"/>
          <w:highlight w:val="none"/>
          <w:lang w:val="en-US" w:eastAsia="zh-CN"/>
        </w:rPr>
        <w:t>一批</w:t>
      </w:r>
      <w:r>
        <w:rPr>
          <w:rFonts w:hint="eastAsia" w:ascii="Times New Roman" w:hAnsi="Times New Roman" w:eastAsia="仿宋_GB2312" w:cs="方正仿宋_GBK"/>
          <w:b w:val="0"/>
          <w:bCs w:val="0"/>
          <w:spacing w:val="0"/>
          <w:kern w:val="2"/>
          <w:highlight w:val="none"/>
          <w:lang w:val="en-US" w:eastAsia="zh-CN"/>
        </w:rPr>
        <w:t>肉牛</w:t>
      </w:r>
      <w:r>
        <w:rPr>
          <w:rFonts w:hint="eastAsia" w:eastAsia="仿宋_GB2312" w:cs="方正仿宋_GBK"/>
          <w:b w:val="0"/>
          <w:bCs w:val="0"/>
          <w:spacing w:val="0"/>
          <w:kern w:val="2"/>
          <w:highlight w:val="none"/>
          <w:lang w:val="en-US" w:eastAsia="zh-CN"/>
        </w:rPr>
        <w:t>肉羊</w:t>
      </w:r>
      <w:r>
        <w:rPr>
          <w:rFonts w:hint="eastAsia" w:ascii="Times New Roman" w:hAnsi="Times New Roman" w:eastAsia="仿宋_GB2312" w:cs="方正仿宋_GBK"/>
          <w:b w:val="0"/>
          <w:bCs w:val="0"/>
          <w:spacing w:val="0"/>
          <w:kern w:val="2"/>
          <w:highlight w:val="none"/>
          <w:lang w:val="en-US" w:eastAsia="zh-CN"/>
        </w:rPr>
        <w:t>标准化育肥园区，</w:t>
      </w:r>
      <w:r>
        <w:rPr>
          <w:rFonts w:hint="eastAsia" w:ascii="Times New Roman" w:hAnsi="Times New Roman" w:eastAsia="仿宋_GB2312" w:cs="方正仿宋_GBK"/>
          <w:b w:val="0"/>
          <w:bCs w:val="0"/>
          <w:spacing w:val="0"/>
          <w:kern w:val="2"/>
          <w:highlight w:val="none"/>
          <w:lang w:eastAsia="zh-CN"/>
        </w:rPr>
        <w:t>打造“</w:t>
      </w:r>
      <w:r>
        <w:rPr>
          <w:rFonts w:hint="eastAsia" w:eastAsia="仿宋_GB2312" w:cs="方正仿宋_GBK"/>
          <w:b w:val="0"/>
          <w:bCs w:val="0"/>
          <w:spacing w:val="0"/>
          <w:kern w:val="2"/>
          <w:highlight w:val="none"/>
          <w:lang w:val="en-US" w:eastAsia="zh-CN"/>
        </w:rPr>
        <w:t>优质肉牛肉羊生产强市</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；鼓励优势产区肉牛屠宰加工企业不断延伸产业链条。稳定猪禽基础产能</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建设</w:t>
      </w:r>
      <w:r>
        <w:rPr>
          <w:rFonts w:hint="eastAsia" w:eastAsia="仿宋_GB2312" w:cs="方正仿宋_GBK"/>
          <w:b w:val="0"/>
          <w:bCs w:val="0"/>
          <w:spacing w:val="0"/>
          <w:kern w:val="2"/>
          <w:highlight w:val="none"/>
          <w:lang w:val="en-US" w:eastAsia="zh-CN"/>
        </w:rPr>
        <w:t>高效</w:t>
      </w:r>
      <w:r>
        <w:rPr>
          <w:rFonts w:hint="eastAsia" w:ascii="Times New Roman" w:hAnsi="Times New Roman" w:eastAsia="仿宋_GB2312" w:cs="方正仿宋_GBK"/>
          <w:b w:val="0"/>
          <w:bCs w:val="0"/>
          <w:spacing w:val="0"/>
          <w:kern w:val="2"/>
          <w:highlight w:val="none"/>
          <w:lang w:val="en-US" w:eastAsia="zh-CN"/>
        </w:rPr>
        <w:t>猪禽养殖场，鼓励有条件的</w:t>
      </w:r>
      <w:r>
        <w:rPr>
          <w:rFonts w:hint="eastAsia" w:eastAsia="仿宋_GB2312" w:cs="方正仿宋_GBK"/>
          <w:b w:val="0"/>
          <w:bCs w:val="0"/>
          <w:spacing w:val="0"/>
          <w:kern w:val="2"/>
          <w:highlight w:val="none"/>
          <w:lang w:val="en-US" w:eastAsia="zh-CN"/>
        </w:rPr>
        <w:t>生产主体</w:t>
      </w:r>
      <w:r>
        <w:rPr>
          <w:rFonts w:hint="eastAsia" w:ascii="Times New Roman" w:hAnsi="Times New Roman" w:eastAsia="仿宋_GB2312" w:cs="方正仿宋_GBK"/>
          <w:b w:val="0"/>
          <w:bCs w:val="0"/>
          <w:spacing w:val="0"/>
          <w:kern w:val="2"/>
          <w:highlight w:val="none"/>
          <w:lang w:val="en-US" w:eastAsia="zh-CN"/>
        </w:rPr>
        <w:t>建设集母畜繁育、育成、出栏等各环节连续一体的生产</w:t>
      </w:r>
      <w:r>
        <w:rPr>
          <w:rFonts w:hint="eastAsia" w:eastAsia="仿宋_GB2312" w:cs="方正仿宋_GBK"/>
          <w:b w:val="0"/>
          <w:bCs w:val="0"/>
          <w:spacing w:val="0"/>
          <w:kern w:val="2"/>
          <w:highlight w:val="none"/>
          <w:lang w:val="en-US" w:eastAsia="zh-CN"/>
        </w:rPr>
        <w:t>体系</w:t>
      </w:r>
      <w:r>
        <w:rPr>
          <w:rFonts w:hint="eastAsia" w:ascii="Times New Roman" w:hAnsi="Times New Roman" w:eastAsia="仿宋_GB2312" w:cs="方正仿宋_GBK"/>
          <w:b w:val="0"/>
          <w:bCs w:val="0"/>
          <w:spacing w:val="0"/>
          <w:kern w:val="2"/>
          <w:highlight w:val="none"/>
          <w:lang w:val="en-US" w:eastAsia="zh-CN"/>
        </w:rPr>
        <w:t>，提高标准化、规模化、智能化水平</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推进猪禽提档升级。</w:t>
      </w:r>
      <w:r>
        <w:rPr>
          <w:rFonts w:hint="eastAsia" w:ascii="Times New Roman" w:hAnsi="Times New Roman" w:eastAsia="仿宋_GB2312" w:cs="方正仿宋_GBK"/>
          <w:b w:val="0"/>
          <w:bCs w:val="0"/>
          <w:spacing w:val="0"/>
          <w:kern w:val="2"/>
          <w:highlight w:val="none"/>
          <w:lang w:eastAsia="zh-CN"/>
        </w:rPr>
        <w:t>推进舍饲圈养，</w:t>
      </w:r>
      <w:r>
        <w:rPr>
          <w:rFonts w:hint="eastAsia" w:eastAsia="仿宋_GB2312" w:cs="方正仿宋_GBK"/>
          <w:b w:val="0"/>
          <w:bCs w:val="0"/>
          <w:spacing w:val="0"/>
          <w:kern w:val="2"/>
          <w:highlight w:val="none"/>
          <w:lang w:val="en-US" w:eastAsia="zh-CN"/>
        </w:rPr>
        <w:t>发展</w:t>
      </w:r>
      <w:r>
        <w:rPr>
          <w:rFonts w:hint="eastAsia" w:ascii="Times New Roman" w:hAnsi="Times New Roman" w:eastAsia="仿宋_GB2312" w:cs="方正仿宋_GBK"/>
          <w:b w:val="0"/>
          <w:bCs w:val="0"/>
          <w:spacing w:val="0"/>
          <w:kern w:val="2"/>
          <w:highlight w:val="none"/>
          <w:lang w:eastAsia="zh-CN"/>
        </w:rPr>
        <w:t>节粮型畜牧业。</w:t>
      </w:r>
      <w:r>
        <w:rPr>
          <w:rFonts w:hint="eastAsia" w:eastAsia="仿宋_GB2312" w:cs="方正仿宋_GBK"/>
          <w:b w:val="0"/>
          <w:bCs w:val="0"/>
          <w:spacing w:val="0"/>
          <w:kern w:val="2"/>
          <w:highlight w:val="none"/>
          <w:lang w:val="en-US" w:eastAsia="zh-CN"/>
        </w:rPr>
        <w:t>深化奶业振兴行动。</w:t>
      </w:r>
      <w:r>
        <w:rPr>
          <w:rFonts w:hint="eastAsia" w:ascii="Times New Roman" w:hAnsi="Times New Roman" w:eastAsia="仿宋_GB2312" w:cs="方正仿宋_GBK"/>
          <w:b w:val="0"/>
          <w:bCs w:val="0"/>
          <w:spacing w:val="0"/>
          <w:kern w:val="2"/>
          <w:highlight w:val="none"/>
          <w:lang w:eastAsia="zh-CN"/>
        </w:rPr>
        <w:t>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lang w:eastAsia="zh-CN"/>
        </w:rPr>
        <w:t>年，</w:t>
      </w:r>
      <w:r>
        <w:rPr>
          <w:rFonts w:hint="eastAsia" w:ascii="Times New Roman" w:hAnsi="Times New Roman"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lang w:eastAsia="zh-CN"/>
        </w:rPr>
        <w:t>牛存栏稳定在</w:t>
      </w:r>
      <w:r>
        <w:rPr>
          <w:rFonts w:hint="eastAsia" w:eastAsia="仿宋_GB2312" w:cs="方正仿宋_GBK"/>
          <w:b w:val="0"/>
          <w:bCs w:val="0"/>
          <w:spacing w:val="0"/>
          <w:kern w:val="2"/>
          <w:highlight w:val="none"/>
          <w:lang w:val="en-US" w:eastAsia="zh-CN"/>
        </w:rPr>
        <w:t>400</w:t>
      </w:r>
      <w:r>
        <w:rPr>
          <w:rFonts w:hint="eastAsia" w:ascii="Times New Roman" w:hAnsi="Times New Roman" w:eastAsia="仿宋_GB2312" w:cs="方正仿宋_GBK"/>
          <w:b w:val="0"/>
          <w:bCs w:val="0"/>
          <w:spacing w:val="0"/>
          <w:kern w:val="2"/>
          <w:highlight w:val="none"/>
          <w:lang w:eastAsia="zh-CN"/>
        </w:rPr>
        <w:t>万头，羊存栏稳定在</w:t>
      </w:r>
      <w:r>
        <w:rPr>
          <w:rFonts w:hint="eastAsia" w:eastAsia="仿宋_GB2312" w:cs="方正仿宋_GBK"/>
          <w:b w:val="0"/>
          <w:bCs w:val="0"/>
          <w:spacing w:val="0"/>
          <w:kern w:val="2"/>
          <w:highlight w:val="none"/>
          <w:lang w:val="en-US" w:eastAsia="zh-CN"/>
        </w:rPr>
        <w:t>1500</w:t>
      </w:r>
      <w:r>
        <w:rPr>
          <w:rFonts w:hint="eastAsia" w:ascii="Times New Roman" w:hAnsi="Times New Roman" w:eastAsia="仿宋_GB2312" w:cs="方正仿宋_GBK"/>
          <w:b w:val="0"/>
          <w:bCs w:val="0"/>
          <w:spacing w:val="0"/>
          <w:kern w:val="2"/>
          <w:highlight w:val="none"/>
          <w:lang w:eastAsia="zh-CN"/>
        </w:rPr>
        <w:t>万只，生猪存栏稳定在</w:t>
      </w:r>
      <w:r>
        <w:rPr>
          <w:rFonts w:hint="eastAsia" w:eastAsia="仿宋_GB2312" w:cs="方正仿宋_GBK"/>
          <w:b w:val="0"/>
          <w:bCs w:val="0"/>
          <w:spacing w:val="0"/>
          <w:kern w:val="2"/>
          <w:highlight w:val="none"/>
          <w:lang w:val="en-US" w:eastAsia="zh-CN"/>
        </w:rPr>
        <w:t>420</w:t>
      </w:r>
      <w:r>
        <w:rPr>
          <w:rFonts w:hint="eastAsia" w:ascii="Times New Roman" w:hAnsi="Times New Roman" w:eastAsia="仿宋_GB2312" w:cs="方正仿宋_GBK"/>
          <w:b w:val="0"/>
          <w:bCs w:val="0"/>
          <w:spacing w:val="0"/>
          <w:kern w:val="2"/>
          <w:highlight w:val="none"/>
          <w:lang w:eastAsia="zh-CN"/>
        </w:rPr>
        <w:t>万头，禽饲养量达到</w:t>
      </w:r>
      <w:r>
        <w:rPr>
          <w:rFonts w:hint="eastAsia" w:eastAsia="仿宋_GB2312" w:cs="方正仿宋_GBK"/>
          <w:b w:val="0"/>
          <w:bCs w:val="0"/>
          <w:spacing w:val="0"/>
          <w:kern w:val="2"/>
          <w:highlight w:val="none"/>
          <w:lang w:val="en-US" w:eastAsia="zh-CN"/>
        </w:rPr>
        <w:t>1.5</w:t>
      </w:r>
      <w:r>
        <w:rPr>
          <w:rFonts w:hint="eastAsia" w:ascii="Times New Roman" w:hAnsi="Times New Roman" w:eastAsia="仿宋_GB2312" w:cs="方正仿宋_GBK"/>
          <w:b w:val="0"/>
          <w:bCs w:val="0"/>
          <w:spacing w:val="0"/>
          <w:kern w:val="2"/>
          <w:highlight w:val="none"/>
          <w:lang w:eastAsia="zh-CN"/>
        </w:rPr>
        <w:t>亿只。</w:t>
      </w:r>
    </w:p>
    <w:p w14:paraId="2D12722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0"/>
          <w:kern w:val="2"/>
          <w:highlight w:val="none"/>
          <w:lang w:eastAsia="zh-CN"/>
        </w:rPr>
      </w:pPr>
      <w:bookmarkStart w:id="394" w:name="_Toc23909"/>
      <w:r>
        <w:rPr>
          <w:rFonts w:hint="eastAsia" w:ascii="Times New Roman" w:hAnsi="Times New Roman" w:eastAsia="仿宋_GB2312" w:cs="方正仿宋_GBK"/>
          <w:b w:val="0"/>
          <w:bCs w:val="0"/>
          <w:color w:val="auto"/>
          <w:spacing w:val="0"/>
          <w:kern w:val="2"/>
          <w:highlight w:val="none"/>
          <w:lang w:eastAsia="zh-CN"/>
        </w:rPr>
        <w:t>培优育强杂粮杂豆产业</w:t>
      </w:r>
      <w:bookmarkEnd w:id="394"/>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以建设</w:t>
      </w:r>
      <w:r>
        <w:rPr>
          <w:rFonts w:hint="eastAsia" w:ascii="Times New Roman" w:hAnsi="Times New Roman" w:eastAsia="仿宋_GB2312" w:cs="方正仿宋_GBK"/>
          <w:b w:val="0"/>
          <w:bCs w:val="0"/>
          <w:spacing w:val="0"/>
          <w:kern w:val="2"/>
          <w:highlight w:val="none"/>
          <w:lang w:eastAsia="zh-CN"/>
        </w:rPr>
        <w:t>国家优质杂粮杂豆生产输出基地</w:t>
      </w:r>
      <w:r>
        <w:rPr>
          <w:rFonts w:hint="eastAsia" w:ascii="Times New Roman" w:hAnsi="Times New Roman" w:eastAsia="仿宋_GB2312" w:cs="方正仿宋_GBK"/>
          <w:b w:val="0"/>
          <w:bCs w:val="0"/>
          <w:spacing w:val="0"/>
          <w:kern w:val="2"/>
          <w:highlight w:val="none"/>
          <w:lang w:val="en-US" w:eastAsia="zh-CN"/>
        </w:rPr>
        <w:t>为目标，</w:t>
      </w:r>
      <w:r>
        <w:rPr>
          <w:rFonts w:hint="eastAsia" w:ascii="Times New Roman" w:hAnsi="Times New Roman" w:eastAsia="仿宋_GB2312" w:cs="方正仿宋_GBK"/>
          <w:b w:val="0"/>
          <w:bCs w:val="0"/>
          <w:spacing w:val="0"/>
          <w:kern w:val="2"/>
          <w:highlight w:val="none"/>
          <w:lang w:eastAsia="zh-CN"/>
        </w:rPr>
        <w:t>以阿鲁科尔沁旗、敖汉旗、翁牛特旗、林西县、松山区等为核心区，进一步调优种植结构，加快新品种培育，持续做强杂粮杂豆产业。实施杂粮杂豆单产提升行动，推动谷子、高粱、荞麦等实现大面积单产提升。促进杂粮杂豆从生产、加工、储运到销售、消费等各环节有效衔接，推动全链条发展。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lang w:eastAsia="zh-CN"/>
        </w:rPr>
        <w:t>年，</w:t>
      </w:r>
      <w:r>
        <w:rPr>
          <w:rFonts w:hint="eastAsia" w:ascii="Times New Roman" w:hAnsi="Times New Roman" w:eastAsia="仿宋_GB2312" w:cs="方正仿宋_GBK"/>
          <w:b w:val="0"/>
          <w:bCs w:val="0"/>
          <w:spacing w:val="0"/>
          <w:kern w:val="2"/>
          <w:highlight w:val="none"/>
          <w:lang w:val="en-US" w:eastAsia="zh-CN"/>
        </w:rPr>
        <w:t>力争杂粮杂豆</w:t>
      </w:r>
      <w:r>
        <w:rPr>
          <w:rFonts w:hint="eastAsia" w:ascii="Times New Roman" w:hAnsi="Times New Roman" w:eastAsia="仿宋_GB2312" w:cs="方正仿宋_GBK"/>
          <w:b w:val="0"/>
          <w:bCs w:val="0"/>
          <w:spacing w:val="0"/>
          <w:kern w:val="2"/>
          <w:highlight w:val="none"/>
          <w:lang w:eastAsia="zh-CN"/>
        </w:rPr>
        <w:t>种植面积稳定在</w:t>
      </w:r>
      <w:r>
        <w:rPr>
          <w:rFonts w:hint="eastAsia" w:eastAsia="仿宋_GB2312" w:cs="方正仿宋_GBK"/>
          <w:b w:val="0"/>
          <w:bCs w:val="0"/>
          <w:spacing w:val="0"/>
          <w:kern w:val="2"/>
          <w:highlight w:val="none"/>
          <w:lang w:val="en-US" w:eastAsia="zh-CN"/>
        </w:rPr>
        <w:t>500</w:t>
      </w:r>
      <w:r>
        <w:rPr>
          <w:rFonts w:hint="eastAsia" w:ascii="Times New Roman" w:hAnsi="Times New Roman" w:eastAsia="仿宋_GB2312" w:cs="方正仿宋_GBK"/>
          <w:b w:val="0"/>
          <w:bCs w:val="0"/>
          <w:spacing w:val="0"/>
          <w:kern w:val="2"/>
          <w:highlight w:val="none"/>
          <w:lang w:eastAsia="zh-CN"/>
        </w:rPr>
        <w:t>万亩</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，产量</w:t>
      </w:r>
      <w:r>
        <w:rPr>
          <w:rFonts w:hint="eastAsia" w:eastAsia="仿宋_GB2312" w:cs="方正仿宋_GBK"/>
          <w:b w:val="0"/>
          <w:bCs w:val="0"/>
          <w:spacing w:val="0"/>
          <w:kern w:val="2"/>
          <w:highlight w:val="none"/>
          <w:lang w:val="en-US" w:eastAsia="zh-CN"/>
        </w:rPr>
        <w:t>稳定在25</w:t>
      </w:r>
      <w:r>
        <w:rPr>
          <w:rFonts w:hint="eastAsia" w:ascii="Times New Roman" w:hAnsi="Times New Roman" w:eastAsia="仿宋_GB2312" w:cs="方正仿宋_GBK"/>
          <w:b w:val="0"/>
          <w:bCs w:val="0"/>
          <w:spacing w:val="0"/>
          <w:kern w:val="2"/>
          <w:highlight w:val="none"/>
          <w:lang w:eastAsia="zh-CN"/>
        </w:rPr>
        <w:t>亿斤</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w:t>
      </w:r>
    </w:p>
    <w:p w14:paraId="7A6339B4">
      <w:pPr>
        <w:pStyle w:val="43"/>
        <w:keepNext w:val="0"/>
        <w:keepLines w:val="0"/>
        <w:pageBreakBefore w:val="0"/>
        <w:shd w:val="clear" w:color="auto" w:fill="auto"/>
        <w:kinsoku/>
        <w:wordWrap/>
        <w:topLinePunct w:val="0"/>
        <w:autoSpaceDE/>
        <w:autoSpaceDN/>
        <w:bidi w:val="0"/>
        <w:adjustRightInd/>
        <w:spacing w:line="540" w:lineRule="exact"/>
        <w:ind w:firstLine="624" w:firstLineChars="200"/>
        <w:textAlignment w:val="auto"/>
        <w:outlineLvl w:val="9"/>
        <w:rPr>
          <w:rFonts w:hint="eastAsia" w:ascii="Times New Roman" w:hAnsi="Times New Roman" w:eastAsia="仿宋_GB2312" w:cs="方正仿宋_GBK"/>
          <w:b w:val="0"/>
          <w:bCs w:val="0"/>
          <w:spacing w:val="0"/>
          <w:kern w:val="2"/>
          <w:highlight w:val="none"/>
          <w:lang w:eastAsia="zh-CN"/>
        </w:rPr>
      </w:pPr>
      <w:bookmarkStart w:id="395" w:name="_Toc32164"/>
      <w:r>
        <w:rPr>
          <w:rFonts w:hint="eastAsia" w:ascii="Times New Roman" w:hAnsi="Times New Roman" w:eastAsia="仿宋_GB2312" w:cs="方正仿宋_GBK"/>
          <w:b w:val="0"/>
          <w:bCs w:val="0"/>
          <w:color w:val="auto"/>
          <w:spacing w:val="0"/>
          <w:kern w:val="2"/>
          <w:highlight w:val="none"/>
          <w:lang w:val="en-US" w:eastAsia="zh-CN"/>
        </w:rPr>
        <w:t>深入推进种业振兴</w:t>
      </w:r>
      <w:bookmarkEnd w:id="395"/>
      <w:r>
        <w:rPr>
          <w:rFonts w:hint="eastAsia" w:eastAsia="仿宋_GB2312" w:cs="方正仿宋_GBK"/>
          <w:b w:val="0"/>
          <w:bCs w:val="0"/>
          <w:spacing w:val="0"/>
          <w:kern w:val="2"/>
          <w:highlight w:val="none"/>
          <w:lang w:val="en-US" w:eastAsia="zh-CN"/>
        </w:rPr>
        <w:t>。以“种芯”工程为引领，</w:t>
      </w:r>
      <w:r>
        <w:rPr>
          <w:rFonts w:hint="eastAsia" w:ascii="Times New Roman" w:hAnsi="Times New Roman" w:eastAsia="仿宋_GB2312" w:cs="方正仿宋_GBK"/>
          <w:b w:val="0"/>
          <w:bCs w:val="0"/>
          <w:spacing w:val="0"/>
          <w:kern w:val="2"/>
          <w:highlight w:val="none"/>
          <w:lang w:eastAsia="zh-CN"/>
        </w:rPr>
        <w:t>围绕保障粮食安全和重要农畜产品稳产保供需要，以种质资源保护为基础，以自主创新为关键，以供种安全为底线，</w:t>
      </w:r>
      <w:r>
        <w:rPr>
          <w:rFonts w:hint="eastAsia" w:ascii="Times New Roman" w:hAnsi="Times New Roman" w:eastAsia="仿宋_GB2312" w:cs="方正仿宋_GBK"/>
          <w:b w:val="0"/>
          <w:bCs w:val="0"/>
          <w:spacing w:val="0"/>
          <w:kern w:val="2"/>
          <w:highlight w:val="none"/>
          <w:lang w:val="en-US" w:eastAsia="zh-CN"/>
        </w:rPr>
        <w:t>推动种源优质化，打造中国北方种业大市。实施种质资源保护利用工程</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加快推进内蒙古东部作物种质资源库建设，</w:t>
      </w:r>
      <w:r>
        <w:rPr>
          <w:rFonts w:hint="eastAsia" w:eastAsia="仿宋_GB2312" w:cs="方正仿宋_GBK"/>
          <w:b w:val="0"/>
          <w:bCs w:val="0"/>
          <w:spacing w:val="0"/>
          <w:kern w:val="2"/>
          <w:highlight w:val="none"/>
          <w:lang w:val="en-US" w:eastAsia="zh-CN"/>
        </w:rPr>
        <w:t>继续</w:t>
      </w:r>
      <w:r>
        <w:rPr>
          <w:rFonts w:hint="eastAsia" w:ascii="Times New Roman" w:hAnsi="Times New Roman" w:eastAsia="仿宋_GB2312" w:cs="方正仿宋_GBK"/>
          <w:b w:val="0"/>
          <w:bCs w:val="0"/>
          <w:spacing w:val="0"/>
          <w:kern w:val="2"/>
          <w:highlight w:val="none"/>
          <w:lang w:val="en-US" w:eastAsia="zh-CN"/>
        </w:rPr>
        <w:t>开展农牧业种质资源</w:t>
      </w:r>
      <w:r>
        <w:rPr>
          <w:rFonts w:hint="eastAsia" w:eastAsia="仿宋_GB2312" w:cs="方正仿宋_GBK"/>
          <w:b w:val="0"/>
          <w:bCs w:val="0"/>
          <w:spacing w:val="0"/>
          <w:kern w:val="2"/>
          <w:highlight w:val="none"/>
          <w:lang w:val="en-US" w:eastAsia="zh-CN"/>
        </w:rPr>
        <w:t>收集鉴定</w:t>
      </w:r>
      <w:r>
        <w:rPr>
          <w:rFonts w:hint="eastAsia" w:ascii="Times New Roman" w:hAnsi="Times New Roman" w:eastAsia="仿宋_GB2312" w:cs="方正仿宋_GBK"/>
          <w:b w:val="0"/>
          <w:bCs w:val="0"/>
          <w:spacing w:val="0"/>
          <w:kern w:val="2"/>
          <w:highlight w:val="none"/>
          <w:lang w:val="en-US" w:eastAsia="zh-CN"/>
        </w:rPr>
        <w:t>工作</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畜禽遗传资源生产性能测定工作。以松山区、敖汉旗、翁牛特旗等为核心区域，建设高标准种业基地</w:t>
      </w:r>
      <w:r>
        <w:rPr>
          <w:rFonts w:hint="eastAsia" w:eastAsia="仿宋_GB2312" w:cs="方正仿宋_GBK"/>
          <w:b w:val="0"/>
          <w:bCs w:val="0"/>
          <w:spacing w:val="0"/>
          <w:kern w:val="2"/>
          <w:highlight w:val="none"/>
          <w:lang w:val="en-US" w:eastAsia="zh-CN"/>
        </w:rPr>
        <w:t>。</w:t>
      </w:r>
      <w:r>
        <w:rPr>
          <w:rFonts w:hint="default" w:ascii="仿宋_GB2312" w:hAnsi="仿宋_GB2312" w:eastAsia="仿宋_GB2312" w:cs="仿宋_GB2312"/>
          <w:b w:val="0"/>
          <w:bCs w:val="0"/>
          <w:sz w:val="32"/>
          <w:szCs w:val="32"/>
          <w:highlight w:val="none"/>
          <w:shd w:val="clear" w:color="auto" w:fill="FFFFFF"/>
          <w:lang w:eastAsia="zh-CN"/>
        </w:rPr>
        <w:t>以国家、自治区核心育种场为依托，打造肉牛、肉羊、生猪、肉鸭等畜禽良种繁育基地。</w:t>
      </w:r>
      <w:r>
        <w:rPr>
          <w:rFonts w:hint="eastAsia" w:ascii="Times New Roman" w:hAnsi="Times New Roman" w:eastAsia="仿宋_GB2312" w:cs="方正仿宋_GBK"/>
          <w:b w:val="0"/>
          <w:bCs w:val="0"/>
          <w:spacing w:val="0"/>
          <w:kern w:val="2"/>
          <w:highlight w:val="none"/>
          <w:lang w:val="en-US" w:eastAsia="zh-CN"/>
        </w:rPr>
        <w:t>强化种业科技创新，提高玉米、蔬菜、杂粮杂豆、饲草等优质品种自给率，加快推进松山区安庆现代种业园区</w:t>
      </w:r>
      <w:r>
        <w:rPr>
          <w:rFonts w:hint="eastAsia" w:eastAsia="仿宋_GB2312" w:cs="方正仿宋_GBK"/>
          <w:b w:val="0"/>
          <w:bCs w:val="0"/>
          <w:spacing w:val="0"/>
          <w:kern w:val="2"/>
          <w:highlight w:val="none"/>
          <w:lang w:val="en-US" w:eastAsia="zh-CN"/>
        </w:rPr>
        <w:t>建设</w:t>
      </w:r>
      <w:r>
        <w:rPr>
          <w:rFonts w:hint="eastAsia" w:ascii="Times New Roman" w:hAnsi="Times New Roman" w:eastAsia="仿宋_GB2312" w:cs="方正仿宋_GBK"/>
          <w:b w:val="0"/>
          <w:bCs w:val="0"/>
          <w:spacing w:val="0"/>
          <w:kern w:val="2"/>
          <w:highlight w:val="none"/>
          <w:lang w:val="en-US" w:eastAsia="zh-CN"/>
        </w:rPr>
        <w:t>，引进</w:t>
      </w:r>
      <w:r>
        <w:rPr>
          <w:rFonts w:hint="eastAsia" w:eastAsia="仿宋_GB2312" w:cs="方正仿宋_GBK"/>
          <w:b w:val="0"/>
          <w:bCs w:val="0"/>
          <w:spacing w:val="0"/>
          <w:kern w:val="2"/>
          <w:highlight w:val="none"/>
          <w:lang w:val="en-US" w:eastAsia="zh-CN"/>
        </w:rPr>
        <w:t>一批</w:t>
      </w:r>
      <w:r>
        <w:rPr>
          <w:rFonts w:hint="eastAsia" w:ascii="Times New Roman" w:hAnsi="Times New Roman" w:eastAsia="仿宋_GB2312" w:cs="方正仿宋_GBK"/>
          <w:b w:val="0"/>
          <w:bCs w:val="0"/>
          <w:spacing w:val="0"/>
          <w:kern w:val="2"/>
          <w:highlight w:val="none"/>
          <w:lang w:val="en-US" w:eastAsia="zh-CN"/>
        </w:rPr>
        <w:t>种业企业，打造一批知名种业品牌。</w:t>
      </w:r>
      <w:r>
        <w:rPr>
          <w:rFonts w:hint="eastAsia" w:ascii="Times New Roman" w:hAnsi="Times New Roman" w:eastAsia="仿宋_GB2312" w:cs="方正仿宋_GBK"/>
          <w:b w:val="0"/>
          <w:bCs w:val="0"/>
          <w:spacing w:val="0"/>
          <w:kern w:val="2"/>
          <w:highlight w:val="none"/>
          <w:lang w:eastAsia="zh-CN"/>
        </w:rPr>
        <w:t>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lang w:eastAsia="zh-CN"/>
        </w:rPr>
        <w:t>年，</w:t>
      </w:r>
      <w:r>
        <w:rPr>
          <w:rFonts w:hint="eastAsia" w:ascii="Times New Roman" w:hAnsi="Times New Roman" w:eastAsia="仿宋_GB2312" w:cs="方正仿宋_GBK"/>
          <w:b w:val="0"/>
          <w:bCs w:val="0"/>
          <w:spacing w:val="0"/>
          <w:kern w:val="2"/>
          <w:highlight w:val="none"/>
          <w:lang w:val="en-US" w:eastAsia="zh-CN"/>
        </w:rPr>
        <w:t>力争制种</w:t>
      </w:r>
      <w:r>
        <w:rPr>
          <w:rFonts w:hint="eastAsia" w:ascii="Times New Roman" w:hAnsi="Times New Roman" w:eastAsia="仿宋_GB2312" w:cs="方正仿宋_GBK"/>
          <w:b w:val="0"/>
          <w:bCs w:val="0"/>
          <w:spacing w:val="0"/>
          <w:kern w:val="2"/>
          <w:highlight w:val="none"/>
          <w:lang w:eastAsia="zh-CN"/>
        </w:rPr>
        <w:t>面积突破</w:t>
      </w:r>
      <w:r>
        <w:rPr>
          <w:rFonts w:hint="eastAsia" w:eastAsia="仿宋_GB2312" w:cs="方正仿宋_GBK"/>
          <w:b w:val="0"/>
          <w:bCs w:val="0"/>
          <w:spacing w:val="0"/>
          <w:kern w:val="2"/>
          <w:highlight w:val="none"/>
          <w:lang w:val="en-US" w:eastAsia="zh-CN"/>
        </w:rPr>
        <w:t>20</w:t>
      </w:r>
      <w:r>
        <w:rPr>
          <w:rFonts w:hint="eastAsia" w:ascii="Times New Roman" w:hAnsi="Times New Roman" w:eastAsia="仿宋_GB2312" w:cs="方正仿宋_GBK"/>
          <w:b w:val="0"/>
          <w:bCs w:val="0"/>
          <w:spacing w:val="0"/>
          <w:kern w:val="2"/>
          <w:highlight w:val="none"/>
          <w:lang w:eastAsia="zh-CN"/>
        </w:rPr>
        <w:t>万亩</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lang w:eastAsia="zh-CN"/>
        </w:rPr>
        <w:t>培育具有自主知识产权的农作物新品种</w:t>
      </w:r>
      <w:r>
        <w:rPr>
          <w:rFonts w:hint="eastAsia" w:eastAsia="仿宋_GB2312" w:cs="方正仿宋_GBK"/>
          <w:b w:val="0"/>
          <w:bCs w:val="0"/>
          <w:spacing w:val="0"/>
          <w:kern w:val="2"/>
          <w:highlight w:val="none"/>
          <w:lang w:val="en-US" w:eastAsia="zh-CN"/>
        </w:rPr>
        <w:t>75</w:t>
      </w:r>
      <w:r>
        <w:rPr>
          <w:rFonts w:hint="eastAsia" w:ascii="Times New Roman" w:hAnsi="Times New Roman" w:eastAsia="仿宋_GB2312" w:cs="方正仿宋_GBK"/>
          <w:b w:val="0"/>
          <w:bCs w:val="0"/>
          <w:spacing w:val="0"/>
          <w:kern w:val="2"/>
          <w:highlight w:val="none"/>
          <w:lang w:eastAsia="zh-CN"/>
        </w:rPr>
        <w:t>个。</w:t>
      </w:r>
    </w:p>
    <w:p w14:paraId="7156FE3A">
      <w:pPr>
        <w:pStyle w:val="43"/>
        <w:keepNext w:val="0"/>
        <w:keepLines w:val="0"/>
        <w:pageBreakBefore w:val="0"/>
        <w:shd w:val="clear" w:color="auto" w:fill="auto"/>
        <w:kinsoku/>
        <w:wordWrap/>
        <w:topLinePunct w:val="0"/>
        <w:autoSpaceDE/>
        <w:autoSpaceDN/>
        <w:bidi w:val="0"/>
        <w:adjustRightInd/>
        <w:spacing w:line="540" w:lineRule="exact"/>
        <w:textAlignment w:val="auto"/>
        <w:outlineLvl w:val="9"/>
        <w:rPr>
          <w:rFonts w:hint="eastAsia"/>
          <w:b w:val="0"/>
          <w:bCs w:val="0"/>
          <w:highlight w:val="none"/>
          <w:lang w:val="en-US" w:eastAsia="zh-CN"/>
        </w:rPr>
      </w:pPr>
      <w:bookmarkStart w:id="396" w:name="_Toc12032"/>
      <w:r>
        <w:rPr>
          <w:rFonts w:hint="eastAsia" w:ascii="Times New Roman" w:hAnsi="Times New Roman" w:eastAsia="仿宋_GB2312" w:cs="方正仿宋_GBK"/>
          <w:b w:val="0"/>
          <w:bCs w:val="0"/>
          <w:color w:val="auto"/>
          <w:spacing w:val="0"/>
          <w:kern w:val="2"/>
          <w:highlight w:val="none"/>
        </w:rPr>
        <w:t>夯实林草产业发展基础</w:t>
      </w:r>
      <w:bookmarkEnd w:id="396"/>
      <w:r>
        <w:rPr>
          <w:rFonts w:hint="eastAsia"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按照“生态建设产业化、产业发展生态化”发展思路，紧紧围绕</w:t>
      </w:r>
      <w:r>
        <w:rPr>
          <w:rFonts w:hint="eastAsia" w:ascii="Times New Roman" w:hAnsi="Times New Roman" w:eastAsia="仿宋_GB2312" w:cs="方正仿宋_GBK"/>
          <w:b w:val="0"/>
          <w:bCs w:val="0"/>
          <w:spacing w:val="0"/>
          <w:kern w:val="2"/>
          <w:highlight w:val="none"/>
        </w:rPr>
        <w:t>木本</w:t>
      </w:r>
      <w:r>
        <w:rPr>
          <w:rFonts w:hint="eastAsia" w:eastAsia="仿宋_GB2312" w:cs="方正仿宋_GBK"/>
          <w:b w:val="0"/>
          <w:bCs w:val="0"/>
          <w:spacing w:val="0"/>
          <w:kern w:val="2"/>
          <w:highlight w:val="none"/>
          <w:lang w:val="en-US" w:eastAsia="zh-CN"/>
        </w:rPr>
        <w:t>粮油、特色林果、林下经济、灌木加工利用、森林草原旅游、森林康养等领域，进一步促进林草产业高质量发展。到2030年，力争林药种植达到32.5万亩以上，林菌种植达到1.2万亩以上。</w:t>
      </w:r>
      <w:r>
        <w:rPr>
          <w:rFonts w:hint="eastAsia" w:ascii="Times New Roman" w:hAnsi="Times New Roman" w:eastAsia="仿宋_GB2312" w:cs="方正仿宋_GBK"/>
          <w:b w:val="0"/>
          <w:bCs w:val="0"/>
          <w:spacing w:val="0"/>
          <w:kern w:val="2"/>
          <w:highlight w:val="none"/>
          <w:lang w:eastAsia="zh-CN"/>
        </w:rPr>
        <w:t>加强</w:t>
      </w:r>
      <w:r>
        <w:rPr>
          <w:rFonts w:hint="eastAsia" w:ascii="Times New Roman" w:hAnsi="Times New Roman" w:eastAsia="仿宋_GB2312" w:cs="方正仿宋_GBK"/>
          <w:b w:val="0"/>
          <w:bCs w:val="0"/>
          <w:spacing w:val="0"/>
          <w:kern w:val="2"/>
          <w:highlight w:val="none"/>
          <w:lang w:val="en-US" w:eastAsia="zh-CN"/>
        </w:rPr>
        <w:t>现代化、节水型</w:t>
      </w:r>
      <w:r>
        <w:rPr>
          <w:rFonts w:hint="eastAsia" w:ascii="Times New Roman" w:hAnsi="Times New Roman" w:eastAsia="仿宋_GB2312" w:cs="方正仿宋_GBK"/>
          <w:b w:val="0"/>
          <w:bCs w:val="0"/>
          <w:spacing w:val="0"/>
          <w:kern w:val="2"/>
          <w:highlight w:val="none"/>
          <w:lang w:eastAsia="zh-CN"/>
        </w:rPr>
        <w:t>人工饲草基地建设，做强阿鲁科尔沁旗人工种草核心区，壮大北部牧业旗优质饲草种植带</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聚焦农区养殖优势区和肉牛、肉羊养殖产业带，大力推广全株玉米青贮。到20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rPr>
        <w:t>年，</w:t>
      </w:r>
      <w:r>
        <w:rPr>
          <w:rFonts w:hint="eastAsia" w:ascii="Times New Roman" w:hAnsi="Times New Roman"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lang w:eastAsia="zh-CN"/>
        </w:rPr>
        <w:t>人工饲草种植面积稳定在3</w:t>
      </w:r>
      <w:r>
        <w:rPr>
          <w:rFonts w:hint="eastAsia" w:eastAsia="仿宋_GB2312" w:cs="方正仿宋_GBK"/>
          <w:b w:val="0"/>
          <w:bCs w:val="0"/>
          <w:spacing w:val="0"/>
          <w:kern w:val="2"/>
          <w:highlight w:val="none"/>
          <w:lang w:val="en-US" w:eastAsia="zh-CN"/>
        </w:rPr>
        <w:t>20</w:t>
      </w:r>
      <w:r>
        <w:rPr>
          <w:rFonts w:hint="eastAsia" w:ascii="Times New Roman" w:hAnsi="Times New Roman" w:eastAsia="仿宋_GB2312" w:cs="方正仿宋_GBK"/>
          <w:b w:val="0"/>
          <w:bCs w:val="0"/>
          <w:spacing w:val="0"/>
          <w:kern w:val="2"/>
          <w:highlight w:val="none"/>
          <w:lang w:eastAsia="zh-CN"/>
        </w:rPr>
        <w:t>万亩以上，</w:t>
      </w:r>
      <w:r>
        <w:rPr>
          <w:rFonts w:hint="eastAsia" w:eastAsia="仿宋_GB2312" w:cs="方正仿宋_GBK"/>
          <w:b w:val="0"/>
          <w:bCs w:val="0"/>
          <w:spacing w:val="0"/>
          <w:kern w:val="2"/>
          <w:highlight w:val="none"/>
          <w:lang w:val="en-US" w:eastAsia="zh-CN"/>
        </w:rPr>
        <w:t>人工饲草年</w:t>
      </w:r>
      <w:r>
        <w:rPr>
          <w:rFonts w:hint="eastAsia" w:ascii="Times New Roman" w:hAnsi="Times New Roman" w:eastAsia="仿宋_GB2312" w:cs="方正仿宋_GBK"/>
          <w:b w:val="0"/>
          <w:bCs w:val="0"/>
          <w:spacing w:val="0"/>
          <w:kern w:val="2"/>
          <w:highlight w:val="none"/>
          <w:lang w:eastAsia="zh-CN"/>
        </w:rPr>
        <w:t>产量</w:t>
      </w:r>
      <w:r>
        <w:rPr>
          <w:rFonts w:hint="eastAsia" w:eastAsia="仿宋_GB2312" w:cs="方正仿宋_GBK"/>
          <w:b w:val="0"/>
          <w:bCs w:val="0"/>
          <w:spacing w:val="0"/>
          <w:kern w:val="2"/>
          <w:highlight w:val="none"/>
          <w:lang w:val="en-US" w:eastAsia="zh-CN"/>
        </w:rPr>
        <w:t>稳定在</w:t>
      </w:r>
      <w:r>
        <w:rPr>
          <w:rFonts w:hint="eastAsia" w:ascii="Times New Roman" w:hAnsi="Times New Roman" w:eastAsia="仿宋_GB2312" w:cs="方正仿宋_GBK"/>
          <w:b w:val="0"/>
          <w:bCs w:val="0"/>
          <w:spacing w:val="0"/>
          <w:kern w:val="2"/>
          <w:highlight w:val="none"/>
          <w:lang w:eastAsia="zh-CN"/>
        </w:rPr>
        <w:t>8</w:t>
      </w:r>
      <w:r>
        <w:rPr>
          <w:rFonts w:hint="eastAsia" w:eastAsia="仿宋_GB2312" w:cs="方正仿宋_GBK"/>
          <w:b w:val="0"/>
          <w:bCs w:val="0"/>
          <w:spacing w:val="0"/>
          <w:kern w:val="2"/>
          <w:highlight w:val="none"/>
          <w:lang w:val="en-US" w:eastAsia="zh-CN"/>
        </w:rPr>
        <w:t>3</w:t>
      </w:r>
      <w:r>
        <w:rPr>
          <w:rFonts w:hint="eastAsia" w:ascii="Times New Roman" w:hAnsi="Times New Roman" w:eastAsia="仿宋_GB2312" w:cs="方正仿宋_GBK"/>
          <w:b w:val="0"/>
          <w:bCs w:val="0"/>
          <w:spacing w:val="0"/>
          <w:kern w:val="2"/>
          <w:highlight w:val="none"/>
          <w:lang w:eastAsia="zh-CN"/>
        </w:rPr>
        <w:t>0万吨以上</w:t>
      </w:r>
      <w:r>
        <w:rPr>
          <w:rFonts w:hint="eastAsia" w:ascii="Times New Roman" w:hAnsi="Times New Roman" w:eastAsia="仿宋_GB2312" w:cs="方正仿宋_GBK"/>
          <w:b w:val="0"/>
          <w:bCs w:val="0"/>
          <w:spacing w:val="0"/>
          <w:kern w:val="2"/>
          <w:highlight w:val="none"/>
          <w:lang w:val="en-US" w:eastAsia="zh-CN"/>
        </w:rPr>
        <w:t>。推进菊苣产业化、规模化发展</w:t>
      </w:r>
      <w:r>
        <w:rPr>
          <w:rFonts w:hint="eastAsia" w:eastAsia="仿宋_GB2312" w:cs="方正仿宋_GBK"/>
          <w:b w:val="0"/>
          <w:bCs w:val="0"/>
          <w:spacing w:val="0"/>
          <w:kern w:val="2"/>
          <w:highlight w:val="none"/>
          <w:lang w:val="en-US" w:eastAsia="zh-CN"/>
        </w:rPr>
        <w:t>。</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30D0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59" w:type="dxa"/>
            <w:noWrap w:val="0"/>
            <w:vAlign w:val="top"/>
          </w:tcPr>
          <w:p w14:paraId="5A8347B5">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8 农牧业提质增效</w:t>
            </w:r>
            <w:r>
              <w:rPr>
                <w:rFonts w:hint="eastAsia" w:ascii="Times New Roman" w:hAnsi="Times New Roman" w:eastAsia="仿宋_GB2312" w:cs="Times New Roman"/>
                <w:b w:val="0"/>
                <w:bCs w:val="0"/>
                <w:sz w:val="24"/>
                <w:highlight w:val="none"/>
              </w:rPr>
              <w:t>重大工程</w:t>
            </w:r>
          </w:p>
        </w:tc>
      </w:tr>
      <w:tr w14:paraId="6BA3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59" w:type="dxa"/>
            <w:noWrap w:val="0"/>
            <w:vAlign w:val="top"/>
          </w:tcPr>
          <w:p w14:paraId="636503B6">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粮食安全重大工程：以高标准农田建设夯实粮食安全基础，</w:t>
            </w:r>
            <w:r>
              <w:rPr>
                <w:rFonts w:hint="eastAsia" w:ascii="Times New Roman" w:hAnsi="Times New Roman" w:eastAsia="仿宋_GB2312" w:cs="Times New Roman"/>
                <w:b w:val="0"/>
                <w:bCs w:val="0"/>
                <w:sz w:val="24"/>
                <w:highlight w:val="none"/>
              </w:rPr>
              <w:t>新建和改造提升高标准农田</w:t>
            </w:r>
            <w:r>
              <w:rPr>
                <w:rFonts w:hint="eastAsia" w:ascii="Times New Roman" w:hAnsi="Times New Roman" w:eastAsia="仿宋_GB2312" w:cs="Times New Roman"/>
                <w:b w:val="0"/>
                <w:bCs w:val="0"/>
                <w:sz w:val="24"/>
                <w:highlight w:val="none"/>
                <w:lang w:val="en-US" w:eastAsia="zh-CN"/>
              </w:rPr>
              <w:t>3</w:t>
            </w:r>
            <w:r>
              <w:rPr>
                <w:rFonts w:hint="eastAsia" w:ascii="Times New Roman" w:hAnsi="Times New Roman" w:eastAsia="仿宋_GB2312" w:cs="Times New Roman"/>
                <w:b w:val="0"/>
                <w:bCs w:val="0"/>
                <w:sz w:val="24"/>
                <w:highlight w:val="none"/>
              </w:rPr>
              <w:t>00万亩</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lang w:val="en-US" w:eastAsia="zh-CN"/>
              </w:rPr>
              <w:t>着力提升粮食生产能力，</w:t>
            </w: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w:t>
            </w:r>
            <w:r>
              <w:rPr>
                <w:rFonts w:hint="eastAsia" w:ascii="Times New Roman" w:hAnsi="Times New Roman" w:eastAsia="仿宋_GB2312" w:cs="Times New Roman"/>
                <w:b w:val="0"/>
                <w:bCs w:val="0"/>
                <w:sz w:val="24"/>
                <w:highlight w:val="none"/>
              </w:rPr>
              <w:t>玉米</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lang w:val="en-US" w:eastAsia="zh-CN"/>
              </w:rPr>
              <w:t>大豆、马铃薯等主要粮油作物大面积单产提升；有效提升耕地质量，因地制宜开展盐碱耕地治理改良、推进黑土地保护利用。</w:t>
            </w:r>
          </w:p>
          <w:p w14:paraId="38865785">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设施农业重大工程：坚持资源集约节约、科技创新引领、生产绿色循环、经营主体多元的基本原则，以升级改造老旧设施、推进先进设施带动为重点，促进设施农业集约化、标准化、机械化、绿色化、数字化发展。</w:t>
            </w:r>
          </w:p>
          <w:p w14:paraId="72AD5B44">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畜牧业重大工程：围绕肉羊、肉牛、生猪、家禽等产业，优化发展布局，在阿鲁科尔沁旗、巴林右旗、克什克腾旗、翁牛特旗、林西县等地区打造肉牛繁育优势区，在宁城县、翁牛特旗、松山区、敖汉旗、巴林左旗建设肉牛肉羊标准化育肥基地，在敖汉、克什克腾旗、巴林右旗、元宝山区等建立高质量种羊繁育基地，在翁牛特旗、敖汉旗、松山区、喀喇沁旗打造高效猪禽养殖场。</w:t>
            </w:r>
          </w:p>
          <w:p w14:paraId="2A98747A">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杂粮杂豆重大工程：坚持</w:t>
            </w:r>
            <w:r>
              <w:rPr>
                <w:rFonts w:hint="eastAsia" w:ascii="Times New Roman" w:hAnsi="Times New Roman" w:eastAsia="仿宋_GB2312" w:cs="Times New Roman"/>
                <w:b w:val="0"/>
                <w:bCs w:val="0"/>
                <w:sz w:val="24"/>
                <w:highlight w:val="none"/>
              </w:rPr>
              <w:t>提高单产、精深加工、培育品种</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rPr>
              <w:t>塑造品牌</w:t>
            </w:r>
            <w:r>
              <w:rPr>
                <w:rFonts w:hint="eastAsia" w:ascii="Times New Roman" w:hAnsi="Times New Roman" w:eastAsia="仿宋_GB2312" w:cs="Times New Roman"/>
                <w:b w:val="0"/>
                <w:bCs w:val="0"/>
                <w:sz w:val="24"/>
                <w:highlight w:val="none"/>
                <w:lang w:val="en-US" w:eastAsia="zh-CN"/>
              </w:rPr>
              <w:t>发展思路，重点发展</w:t>
            </w:r>
            <w:r>
              <w:rPr>
                <w:rFonts w:hint="eastAsia" w:ascii="Times New Roman" w:hAnsi="Times New Roman" w:eastAsia="仿宋_GB2312" w:cs="Times New Roman"/>
                <w:b w:val="0"/>
                <w:bCs w:val="0"/>
                <w:sz w:val="24"/>
                <w:highlight w:val="none"/>
              </w:rPr>
              <w:t>谷子、高粱、荞麦等</w:t>
            </w:r>
            <w:r>
              <w:rPr>
                <w:rFonts w:hint="eastAsia" w:ascii="Times New Roman" w:hAnsi="Times New Roman" w:eastAsia="仿宋_GB2312" w:cs="Times New Roman"/>
                <w:b w:val="0"/>
                <w:bCs w:val="0"/>
                <w:sz w:val="24"/>
                <w:highlight w:val="none"/>
                <w:lang w:val="en-US" w:eastAsia="zh-CN"/>
              </w:rPr>
              <w:t>优势品种，推动</w:t>
            </w:r>
            <w:r>
              <w:rPr>
                <w:rFonts w:hint="eastAsia" w:ascii="Times New Roman" w:hAnsi="Times New Roman" w:eastAsia="仿宋_GB2312" w:cs="Times New Roman"/>
                <w:b w:val="0"/>
                <w:bCs w:val="0"/>
                <w:sz w:val="24"/>
                <w:highlight w:val="none"/>
              </w:rPr>
              <w:t>小杂粮成长为</w:t>
            </w:r>
            <w:r>
              <w:rPr>
                <w:rFonts w:hint="eastAsia" w:ascii="Times New Roman" w:hAnsi="Times New Roman" w:eastAsia="仿宋_GB2312" w:cs="Times New Roman"/>
                <w:b w:val="0"/>
                <w:bCs w:val="0"/>
                <w:sz w:val="24"/>
                <w:highlight w:val="none"/>
                <w:lang w:val="en-US" w:eastAsia="zh-CN"/>
              </w:rPr>
              <w:t>大产业，</w:t>
            </w: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w:t>
            </w:r>
            <w:r>
              <w:rPr>
                <w:rFonts w:hint="eastAsia" w:ascii="Times New Roman" w:hAnsi="Times New Roman" w:eastAsia="仿宋_GB2312" w:cs="Times New Roman"/>
                <w:b w:val="0"/>
                <w:bCs w:val="0"/>
                <w:sz w:val="24"/>
                <w:highlight w:val="none"/>
              </w:rPr>
              <w:t>旱作谷子优势特色产业集群</w:t>
            </w:r>
            <w:r>
              <w:rPr>
                <w:rFonts w:hint="eastAsia" w:ascii="Times New Roman" w:hAnsi="Times New Roman" w:eastAsia="仿宋_GB2312" w:cs="Times New Roman"/>
                <w:b w:val="0"/>
                <w:bCs w:val="0"/>
                <w:sz w:val="24"/>
                <w:highlight w:val="none"/>
                <w:lang w:val="en-US" w:eastAsia="zh-CN"/>
              </w:rPr>
              <w:t>等建设。</w:t>
            </w:r>
          </w:p>
          <w:p w14:paraId="48925D5B">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种业振兴重大工程：坚持资源保护、品种培育、品牌推广发展思路，围绕肉羊、生猪、肉鸭、玉米、谷子等优势品种，构建以企业为主体、以科研机构为支撑、以基地为依托的种业发展体系。</w:t>
            </w:r>
          </w:p>
          <w:p w14:paraId="63CDA290">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highlight w:val="none"/>
                <w:lang w:val="en-US" w:eastAsia="zh-CN"/>
              </w:rPr>
              <w:t>林草产业重大工程：坚持集中集约集聚发展思路，围绕木本粮油、林下经济等产业，支持林业产业基地建设、林菌、林药标准化基地建设。</w:t>
            </w:r>
          </w:p>
        </w:tc>
      </w:tr>
    </w:tbl>
    <w:p w14:paraId="7D5596C4">
      <w:pPr>
        <w:keepNext w:val="0"/>
        <w:keepLines w:val="0"/>
        <w:pageBreakBefore w:val="0"/>
        <w:shd w:val="clear" w:color="auto" w:fill="auto"/>
        <w:kinsoku/>
        <w:wordWrap/>
        <w:topLinePunct w:val="0"/>
        <w:autoSpaceDE/>
        <w:autoSpaceDN/>
        <w:bidi w:val="0"/>
        <w:adjustRightInd/>
        <w:spacing w:line="540" w:lineRule="exact"/>
        <w:textAlignment w:val="auto"/>
        <w:rPr>
          <w:rFonts w:hint="eastAsia"/>
          <w:b w:val="0"/>
          <w:bCs w:val="0"/>
          <w:highlight w:val="none"/>
          <w:lang w:val="en-US" w:eastAsia="zh-CN"/>
        </w:rPr>
      </w:pPr>
    </w:p>
    <w:p w14:paraId="2C149700">
      <w:pPr>
        <w:pStyle w:val="43"/>
        <w:keepNext w:val="0"/>
        <w:keepLines w:val="0"/>
        <w:pageBreakBefore w:val="0"/>
        <w:shd w:val="clear" w:color="auto" w:fill="auto"/>
        <w:kinsoku/>
        <w:wordWrap/>
        <w:topLinePunct w:val="0"/>
        <w:autoSpaceDE/>
        <w:autoSpaceDN/>
        <w:bidi w:val="0"/>
        <w:adjustRightInd/>
        <w:spacing w:line="540" w:lineRule="exact"/>
        <w:ind w:firstLine="624" w:firstLineChars="200"/>
        <w:textAlignment w:val="auto"/>
        <w:outlineLvl w:val="9"/>
        <w:rPr>
          <w:rFonts w:hint="eastAsia" w:ascii="Times New Roman" w:hAnsi="Times New Roman" w:eastAsia="仿宋_GB2312" w:cs="方正仿宋_GBK"/>
          <w:b w:val="0"/>
          <w:bCs w:val="0"/>
          <w:spacing w:val="0"/>
          <w:kern w:val="2"/>
          <w:highlight w:val="none"/>
          <w:lang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color w:val="auto"/>
          <w:spacing w:val="0"/>
          <w:kern w:val="2"/>
          <w:sz w:val="32"/>
          <w:szCs w:val="32"/>
          <w:highlight w:val="none"/>
          <w:lang w:val="en-US" w:eastAsia="zh-CN"/>
        </w:rPr>
        <w:t>健全现代化农牧业产业体系。</w:t>
      </w:r>
      <w:r>
        <w:rPr>
          <w:rFonts w:hint="eastAsia" w:ascii="Times New Roman" w:hAnsi="Times New Roman" w:eastAsia="仿宋_GB2312" w:cs="方正仿宋_GBK"/>
          <w:b w:val="0"/>
          <w:bCs w:val="0"/>
          <w:spacing w:val="0"/>
          <w:kern w:val="2"/>
          <w:highlight w:val="none"/>
        </w:rPr>
        <w:t>提升</w:t>
      </w:r>
      <w:r>
        <w:rPr>
          <w:rFonts w:hint="eastAsia" w:eastAsia="仿宋_GB2312" w:cs="方正仿宋_GBK"/>
          <w:b w:val="0"/>
          <w:bCs w:val="0"/>
          <w:spacing w:val="0"/>
          <w:kern w:val="2"/>
          <w:highlight w:val="none"/>
          <w:lang w:val="en-US" w:eastAsia="zh-CN"/>
        </w:rPr>
        <w:t>农畜</w:t>
      </w:r>
      <w:r>
        <w:rPr>
          <w:rFonts w:hint="eastAsia" w:ascii="Times New Roman" w:hAnsi="Times New Roman" w:eastAsia="仿宋_GB2312" w:cs="方正仿宋_GBK"/>
          <w:b w:val="0"/>
          <w:bCs w:val="0"/>
          <w:spacing w:val="0"/>
          <w:kern w:val="2"/>
          <w:highlight w:val="none"/>
        </w:rPr>
        <w:t>产品精深加工水平，加强品牌建设，强化科技装备支撑，</w:t>
      </w:r>
      <w:r>
        <w:rPr>
          <w:rFonts w:hint="eastAsia" w:eastAsia="仿宋_GB2312" w:cs="方正仿宋_GBK"/>
          <w:b w:val="0"/>
          <w:bCs w:val="0"/>
          <w:spacing w:val="0"/>
          <w:kern w:val="2"/>
          <w:highlight w:val="none"/>
          <w:lang w:val="en-US" w:eastAsia="zh-CN"/>
        </w:rPr>
        <w:t>完善产业链条</w:t>
      </w:r>
      <w:r>
        <w:rPr>
          <w:rFonts w:hint="eastAsia" w:ascii="Times New Roman" w:hAnsi="Times New Roman" w:eastAsia="仿宋_GB2312" w:cs="方正仿宋_GBK"/>
          <w:b w:val="0"/>
          <w:bCs w:val="0"/>
          <w:spacing w:val="0"/>
          <w:kern w:val="2"/>
          <w:highlight w:val="none"/>
        </w:rPr>
        <w:t>，提升农牧业综合效益</w:t>
      </w:r>
      <w:r>
        <w:rPr>
          <w:rFonts w:hint="eastAsia" w:ascii="Times New Roman" w:hAnsi="Times New Roman" w:eastAsia="仿宋_GB2312" w:cs="方正仿宋_GBK"/>
          <w:b w:val="0"/>
          <w:bCs w:val="0"/>
          <w:spacing w:val="0"/>
          <w:kern w:val="2"/>
          <w:highlight w:val="none"/>
          <w:lang w:eastAsia="zh-CN"/>
        </w:rPr>
        <w:t>和竞争力。</w:t>
      </w:r>
    </w:p>
    <w:p w14:paraId="112232B3">
      <w:pPr>
        <w:pStyle w:val="43"/>
        <w:keepNext w:val="0"/>
        <w:keepLines w:val="0"/>
        <w:pageBreakBefore w:val="0"/>
        <w:shd w:val="clear" w:color="auto" w:fill="auto"/>
        <w:kinsoku/>
        <w:wordWrap/>
        <w:topLinePunct w:val="0"/>
        <w:autoSpaceDE/>
        <w:autoSpaceDN/>
        <w:bidi w:val="0"/>
        <w:adjustRightInd/>
        <w:spacing w:line="540" w:lineRule="exact"/>
        <w:ind w:firstLine="624" w:firstLineChars="200"/>
        <w:textAlignment w:val="auto"/>
        <w:outlineLvl w:val="9"/>
        <w:rPr>
          <w:rFonts w:hint="eastAsia" w:ascii="Times New Roman" w:hAnsi="Times New Roman" w:eastAsia="仿宋_GB2312" w:cs="方正仿宋_GBK"/>
          <w:b w:val="0"/>
          <w:bCs w:val="0"/>
          <w:spacing w:val="0"/>
          <w:kern w:val="2"/>
          <w:highlight w:val="none"/>
        </w:rPr>
      </w:pPr>
      <w:bookmarkStart w:id="397" w:name="_Toc8467"/>
      <w:r>
        <w:rPr>
          <w:rFonts w:hint="eastAsia" w:ascii="Times New Roman" w:hAnsi="Times New Roman" w:eastAsia="仿宋_GB2312" w:cs="方正仿宋_GBK"/>
          <w:b w:val="0"/>
          <w:bCs w:val="0"/>
          <w:spacing w:val="0"/>
          <w:kern w:val="2"/>
          <w:highlight w:val="none"/>
          <w:lang w:eastAsia="zh-CN"/>
        </w:rPr>
        <w:t>推进</w:t>
      </w:r>
      <w:r>
        <w:rPr>
          <w:rFonts w:hint="eastAsia" w:ascii="Times New Roman" w:hAnsi="Times New Roman" w:eastAsia="仿宋_GB2312" w:cs="方正仿宋_GBK"/>
          <w:b w:val="0"/>
          <w:bCs w:val="0"/>
          <w:spacing w:val="0"/>
          <w:kern w:val="2"/>
          <w:highlight w:val="none"/>
          <w:lang w:val="en-US" w:eastAsia="zh-CN"/>
        </w:rPr>
        <w:t>加工流通提质</w:t>
      </w:r>
      <w:r>
        <w:rPr>
          <w:rFonts w:hint="eastAsia" w:eastAsia="仿宋_GB2312" w:cs="方正仿宋_GBK"/>
          <w:b w:val="0"/>
          <w:bCs w:val="0"/>
          <w:color w:val="auto"/>
          <w:highlight w:val="none"/>
          <w:lang w:val="en-US" w:eastAsia="zh-CN"/>
        </w:rPr>
        <w:t>升级</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highlight w:val="none"/>
          <w:lang w:eastAsia="zh-CN"/>
        </w:rPr>
        <w:t>立足“粮肉菜特奶”</w:t>
      </w:r>
      <w:r>
        <w:rPr>
          <w:rFonts w:hint="eastAsia" w:ascii="Times New Roman" w:hAnsi="Times New Roman" w:eastAsia="仿宋_GB2312" w:cs="方正仿宋_GBK"/>
          <w:b w:val="0"/>
          <w:bCs w:val="0"/>
          <w:color w:val="auto"/>
          <w:highlight w:val="none"/>
          <w:lang w:val="en-US" w:eastAsia="zh-CN"/>
        </w:rPr>
        <w:t>等优势产业基础</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聚焦玉米、肉牛肉羊、杂粮杂豆、果蔬、猪禽、乳制品、中药材、绒毛、糖类等优势产业，</w:t>
      </w:r>
      <w:r>
        <w:rPr>
          <w:rFonts w:hint="eastAsia" w:ascii="Times New Roman" w:hAnsi="Times New Roman" w:eastAsia="仿宋_GB2312" w:cs="方正仿宋_GBK"/>
          <w:b w:val="0"/>
          <w:bCs w:val="0"/>
          <w:color w:val="auto"/>
          <w:highlight w:val="none"/>
        </w:rPr>
        <w:t>推动</w:t>
      </w:r>
      <w:r>
        <w:rPr>
          <w:rFonts w:hint="eastAsia" w:eastAsia="仿宋_GB2312" w:cs="方正仿宋_GBK"/>
          <w:b w:val="0"/>
          <w:bCs w:val="0"/>
          <w:color w:val="auto"/>
          <w:highlight w:val="none"/>
          <w:lang w:val="en-US" w:eastAsia="zh-CN"/>
        </w:rPr>
        <w:t>农畜产品加工业</w:t>
      </w:r>
      <w:r>
        <w:rPr>
          <w:rFonts w:hint="eastAsia" w:ascii="Times New Roman" w:hAnsi="Times New Roman" w:eastAsia="仿宋_GB2312" w:cs="方正仿宋_GBK"/>
          <w:b w:val="0"/>
          <w:bCs w:val="0"/>
          <w:color w:val="auto"/>
          <w:highlight w:val="none"/>
        </w:rPr>
        <w:t>全产业链增值。做优做强乳制品加工，支持乳制品加工企业扩大加工量。</w:t>
      </w:r>
      <w:r>
        <w:rPr>
          <w:rFonts w:hint="eastAsia" w:ascii="Times New Roman" w:hAnsi="Times New Roman" w:eastAsia="仿宋_GB2312" w:cs="方正仿宋_GBK"/>
          <w:b w:val="0"/>
          <w:bCs w:val="0"/>
          <w:color w:val="auto"/>
          <w:highlight w:val="none"/>
          <w:lang w:val="en-US" w:eastAsia="zh-CN"/>
        </w:rPr>
        <w:t>集中资源发展肉产业，以争做全区肉产业龙头为目标，</w:t>
      </w:r>
      <w:r>
        <w:rPr>
          <w:rFonts w:hint="eastAsia" w:ascii="Times New Roman" w:hAnsi="Times New Roman" w:eastAsia="仿宋_GB2312" w:cs="方正仿宋_GBK"/>
          <w:b w:val="0"/>
          <w:bCs w:val="0"/>
          <w:color w:val="auto"/>
          <w:highlight w:val="none"/>
        </w:rPr>
        <w:t>推动企业充分释放产能，</w:t>
      </w:r>
      <w:r>
        <w:rPr>
          <w:rFonts w:hint="eastAsia" w:ascii="Times New Roman" w:hAnsi="Times New Roman" w:eastAsia="仿宋_GB2312" w:cs="方正仿宋_GBK"/>
          <w:b w:val="0"/>
          <w:bCs w:val="0"/>
          <w:color w:val="auto"/>
          <w:highlight w:val="none"/>
          <w:lang w:val="en-US" w:eastAsia="zh-CN"/>
        </w:rPr>
        <w:t>大力发展精深加工，持续壮大产业规模，</w:t>
      </w:r>
      <w:r>
        <w:rPr>
          <w:rFonts w:hint="eastAsia" w:ascii="Times New Roman" w:hAnsi="Times New Roman" w:eastAsia="仿宋_GB2312" w:cs="方正仿宋_GBK"/>
          <w:b w:val="0"/>
          <w:bCs w:val="0"/>
          <w:color w:val="auto"/>
          <w:highlight w:val="none"/>
        </w:rPr>
        <w:t>打造肉类加工集群。</w:t>
      </w:r>
      <w:r>
        <w:rPr>
          <w:rFonts w:hint="eastAsia" w:ascii="Times New Roman" w:hAnsi="Times New Roman" w:eastAsia="仿宋_GB2312" w:cs="方正仿宋_GBK"/>
          <w:b w:val="0"/>
          <w:bCs w:val="0"/>
          <w:spacing w:val="0"/>
          <w:kern w:val="2"/>
          <w:highlight w:val="none"/>
        </w:rPr>
        <w:t>推进皮毛骨血等副产物综合利用</w:t>
      </w:r>
      <w:r>
        <w:rPr>
          <w:rFonts w:hint="eastAsia"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大力</w:t>
      </w:r>
      <w:r>
        <w:rPr>
          <w:rFonts w:hint="eastAsia" w:eastAsia="仿宋_GB2312" w:cs="方正仿宋_GBK"/>
          <w:b w:val="0"/>
          <w:bCs w:val="0"/>
          <w:spacing w:val="0"/>
          <w:kern w:val="2"/>
          <w:highlight w:val="none"/>
          <w:lang w:eastAsia="zh-CN"/>
        </w:rPr>
        <w:t>开发菊粉等高附加值产品。</w:t>
      </w:r>
      <w:r>
        <w:rPr>
          <w:rFonts w:hint="eastAsia" w:eastAsia="仿宋_GB2312" w:cs="方正仿宋_GBK"/>
          <w:b w:val="0"/>
          <w:bCs w:val="0"/>
          <w:spacing w:val="0"/>
          <w:kern w:val="2"/>
          <w:highlight w:val="none"/>
          <w:lang w:val="en-US" w:eastAsia="zh-CN"/>
        </w:rPr>
        <w:t>坚持统筹布局、集中发展，做大做强现代农牧业产业园区和食品加工园区。</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w:t>
      </w:r>
      <w:r>
        <w:rPr>
          <w:rFonts w:hint="eastAsia" w:eastAsia="仿宋_GB2312" w:cs="方正仿宋_GBK"/>
          <w:b w:val="0"/>
          <w:bCs w:val="0"/>
          <w:color w:val="auto"/>
          <w:highlight w:val="none"/>
          <w:lang w:val="en-US" w:eastAsia="zh-CN"/>
        </w:rPr>
        <w:t>食品加工</w:t>
      </w:r>
      <w:r>
        <w:rPr>
          <w:rFonts w:hint="eastAsia" w:ascii="Times New Roman" w:hAnsi="Times New Roman" w:eastAsia="仿宋_GB2312" w:cs="方正仿宋_GBK"/>
          <w:b w:val="0"/>
          <w:bCs w:val="0"/>
          <w:color w:val="auto"/>
          <w:highlight w:val="none"/>
          <w:lang w:val="en-US" w:eastAsia="zh-CN"/>
        </w:rPr>
        <w:t>产业产值达到350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，主要农</w:t>
      </w:r>
      <w:r>
        <w:rPr>
          <w:rFonts w:hint="eastAsia" w:eastAsia="仿宋_GB2312" w:cs="方正仿宋_GBK"/>
          <w:b w:val="0"/>
          <w:bCs w:val="0"/>
          <w:color w:val="auto"/>
          <w:highlight w:val="none"/>
          <w:lang w:val="en-US" w:eastAsia="zh-CN"/>
        </w:rPr>
        <w:t>畜</w:t>
      </w:r>
      <w:r>
        <w:rPr>
          <w:rFonts w:hint="eastAsia" w:ascii="Times New Roman" w:hAnsi="Times New Roman" w:eastAsia="仿宋_GB2312" w:cs="方正仿宋_GBK"/>
          <w:b w:val="0"/>
          <w:bCs w:val="0"/>
          <w:color w:val="auto"/>
          <w:highlight w:val="none"/>
          <w:lang w:eastAsia="zh-CN"/>
        </w:rPr>
        <w:t>产品加工转化率达到8</w:t>
      </w:r>
      <w:r>
        <w:rPr>
          <w:rFonts w:hint="eastAsia" w:ascii="Times New Roman" w:hAnsi="Times New Roman" w:eastAsia="仿宋_GB2312" w:cs="方正仿宋_GBK"/>
          <w:b w:val="0"/>
          <w:bCs w:val="0"/>
          <w:color w:val="auto"/>
          <w:highlight w:val="none"/>
          <w:lang w:val="en-US" w:eastAsia="zh-CN"/>
        </w:rPr>
        <w:t>2</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以上</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spacing w:val="0"/>
          <w:kern w:val="2"/>
          <w:highlight w:val="none"/>
        </w:rPr>
        <w:t>加快建设农畜产品产地初加工设施、快递物流发货集中仓、前置仓，实施“互联网+”农畜产品出村进城工程。持续完善农村寄递物流体系，推动“快递进村”通达率稳定</w:t>
      </w:r>
      <w:r>
        <w:rPr>
          <w:rFonts w:hint="eastAsia" w:eastAsia="仿宋_GB2312" w:cs="方正仿宋_GBK"/>
          <w:b w:val="0"/>
          <w:bCs w:val="0"/>
          <w:spacing w:val="0"/>
          <w:kern w:val="2"/>
          <w:highlight w:val="none"/>
          <w:lang w:val="en-US" w:eastAsia="zh-CN"/>
        </w:rPr>
        <w:t>提升</w:t>
      </w:r>
      <w:r>
        <w:rPr>
          <w:rFonts w:hint="eastAsia" w:ascii="Times New Roman" w:hAnsi="Times New Roman" w:eastAsia="仿宋_GB2312" w:cs="方正仿宋_GBK"/>
          <w:b w:val="0"/>
          <w:bCs w:val="0"/>
          <w:spacing w:val="0"/>
          <w:kern w:val="2"/>
          <w:highlight w:val="none"/>
        </w:rPr>
        <w:t>。</w:t>
      </w:r>
    </w:p>
    <w:bookmarkEnd w:id="397"/>
    <w:p w14:paraId="48CE3E3F">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6"/>
          <w:kern w:val="2"/>
          <w:highlight w:val="none"/>
        </w:rPr>
      </w:pPr>
      <w:r>
        <w:rPr>
          <w:rFonts w:hint="eastAsia" w:eastAsia="仿宋_GB2312" w:cs="方正仿宋_GBK"/>
          <w:b w:val="0"/>
          <w:bCs w:val="0"/>
          <w:color w:val="auto"/>
          <w:spacing w:val="0"/>
          <w:kern w:val="2"/>
          <w:highlight w:val="none"/>
          <w:lang w:val="en-US" w:eastAsia="zh-CN"/>
        </w:rPr>
        <w:t>实施品牌提质工程</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聚焦农业全产业链价值提升，</w:t>
      </w:r>
      <w:r>
        <w:rPr>
          <w:rFonts w:hint="eastAsia" w:eastAsia="仿宋_GB2312" w:cs="方正仿宋_GBK"/>
          <w:b w:val="0"/>
          <w:bCs w:val="0"/>
          <w:spacing w:val="0"/>
          <w:kern w:val="2"/>
          <w:highlight w:val="none"/>
          <w:lang w:val="en-US" w:eastAsia="zh-CN"/>
        </w:rPr>
        <w:t>持续深化</w:t>
      </w:r>
      <w:r>
        <w:rPr>
          <w:rFonts w:hint="eastAsia" w:ascii="Times New Roman" w:hAnsi="Times New Roman" w:eastAsia="仿宋_GB2312" w:cs="方正仿宋_GBK"/>
          <w:b w:val="0"/>
          <w:bCs w:val="0"/>
          <w:spacing w:val="0"/>
          <w:kern w:val="2"/>
          <w:highlight w:val="none"/>
        </w:rPr>
        <w:t>“</w:t>
      </w:r>
      <w:r>
        <w:rPr>
          <w:rFonts w:hint="eastAsia" w:ascii="Times New Roman" w:hAnsi="Times New Roman" w:eastAsia="仿宋_GB2312" w:cs="方正仿宋_GBK"/>
          <w:b w:val="0"/>
          <w:bCs w:val="0"/>
          <w:spacing w:val="0"/>
          <w:kern w:val="2"/>
          <w:highlight w:val="none"/>
          <w:lang w:eastAsia="zh-CN"/>
        </w:rPr>
        <w:t>区域公用品牌+企业</w:t>
      </w:r>
      <w:r>
        <w:rPr>
          <w:rFonts w:hint="eastAsia" w:eastAsia="仿宋_GB2312" w:cs="方正仿宋_GBK"/>
          <w:b w:val="0"/>
          <w:bCs w:val="0"/>
          <w:spacing w:val="0"/>
          <w:kern w:val="2"/>
          <w:highlight w:val="none"/>
          <w:lang w:val="en-US" w:eastAsia="zh-CN"/>
        </w:rPr>
        <w:t>和</w:t>
      </w:r>
      <w:r>
        <w:rPr>
          <w:rFonts w:hint="eastAsia" w:ascii="Times New Roman" w:hAnsi="Times New Roman" w:eastAsia="仿宋_GB2312" w:cs="方正仿宋_GBK"/>
          <w:b w:val="0"/>
          <w:bCs w:val="0"/>
          <w:spacing w:val="0"/>
          <w:kern w:val="2"/>
          <w:highlight w:val="none"/>
          <w:lang w:eastAsia="zh-CN"/>
        </w:rPr>
        <w:t>产品品牌</w:t>
      </w:r>
      <w:r>
        <w:rPr>
          <w:rFonts w:hint="eastAsia" w:ascii="Times New Roman" w:hAnsi="Times New Roman" w:eastAsia="仿宋_GB2312" w:cs="方正仿宋_GBK"/>
          <w:b w:val="0"/>
          <w:bCs w:val="0"/>
          <w:spacing w:val="0"/>
          <w:kern w:val="2"/>
          <w:highlight w:val="none"/>
        </w:rPr>
        <w:t>”协同发展路径</w:t>
      </w:r>
      <w:r>
        <w:rPr>
          <w:rFonts w:hint="eastAsia" w:ascii="Times New Roman" w:hAnsi="Times New Roman"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稳步</w:t>
      </w:r>
      <w:r>
        <w:rPr>
          <w:rFonts w:hint="eastAsia" w:ascii="Times New Roman" w:hAnsi="Times New Roman" w:eastAsia="仿宋_GB2312" w:cs="方正仿宋_GBK"/>
          <w:b w:val="0"/>
          <w:bCs w:val="0"/>
          <w:spacing w:val="0"/>
          <w:kern w:val="2"/>
          <w:highlight w:val="none"/>
        </w:rPr>
        <w:t>提升</w:t>
      </w:r>
      <w:r>
        <w:rPr>
          <w:rFonts w:hint="eastAsia" w:eastAsia="仿宋_GB2312" w:cs="方正仿宋_GBK"/>
          <w:b w:val="0"/>
          <w:bCs w:val="0"/>
          <w:spacing w:val="0"/>
          <w:kern w:val="2"/>
          <w:highlight w:val="none"/>
          <w:lang w:val="en-US" w:eastAsia="zh-CN"/>
        </w:rPr>
        <w:t>全市农牧业</w:t>
      </w:r>
      <w:r>
        <w:rPr>
          <w:rFonts w:hint="eastAsia" w:ascii="Times New Roman" w:hAnsi="Times New Roman" w:eastAsia="仿宋_GB2312" w:cs="方正仿宋_GBK"/>
          <w:b w:val="0"/>
          <w:bCs w:val="0"/>
          <w:spacing w:val="0"/>
          <w:kern w:val="2"/>
          <w:highlight w:val="none"/>
        </w:rPr>
        <w:t>品牌价值</w:t>
      </w:r>
      <w:r>
        <w:rPr>
          <w:rFonts w:hint="eastAsia" w:eastAsia="仿宋_GB2312" w:cs="方正仿宋_GBK"/>
          <w:b w:val="0"/>
          <w:bCs w:val="0"/>
          <w:spacing w:val="0"/>
          <w:kern w:val="2"/>
          <w:highlight w:val="none"/>
          <w:lang w:val="en-US" w:eastAsia="zh-CN"/>
        </w:rPr>
        <w:t>与市场公信力</w:t>
      </w:r>
      <w:r>
        <w:rPr>
          <w:rFonts w:hint="eastAsia" w:ascii="Times New Roman" w:hAnsi="Times New Roman" w:eastAsia="仿宋_GB2312" w:cs="方正仿宋_GBK"/>
          <w:b w:val="0"/>
          <w:bCs w:val="0"/>
          <w:spacing w:val="0"/>
          <w:kern w:val="2"/>
          <w:highlight w:val="none"/>
        </w:rPr>
        <w:t>。</w:t>
      </w:r>
      <w:r>
        <w:rPr>
          <w:rFonts w:hint="eastAsia" w:eastAsia="仿宋_GB2312" w:cs="方正仿宋_GBK"/>
          <w:b w:val="0"/>
          <w:bCs w:val="0"/>
          <w:spacing w:val="0"/>
          <w:kern w:val="2"/>
          <w:highlight w:val="none"/>
          <w:lang w:val="en-US" w:eastAsia="zh-CN"/>
        </w:rPr>
        <w:t>聚焦</w:t>
      </w:r>
      <w:r>
        <w:rPr>
          <w:rFonts w:hint="eastAsia" w:ascii="Times New Roman" w:hAnsi="Times New Roman" w:eastAsia="仿宋_GB2312" w:cs="方正仿宋_GBK"/>
          <w:b w:val="0"/>
          <w:bCs w:val="0"/>
          <w:spacing w:val="0"/>
          <w:kern w:val="2"/>
          <w:highlight w:val="none"/>
        </w:rPr>
        <w:t>“敖汉小米”</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“赤峰番茄”</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昭乌达羊</w:t>
      </w:r>
      <w:r>
        <w:rPr>
          <w:rFonts w:hint="eastAsia" w:ascii="Times New Roman" w:hAnsi="Times New Roman" w:eastAsia="仿宋_GB2312" w:cs="方正仿宋_GBK"/>
          <w:b w:val="0"/>
          <w:bCs w:val="0"/>
          <w:spacing w:val="0"/>
          <w:kern w:val="2"/>
          <w:highlight w:val="none"/>
        </w:rPr>
        <w:t>肉”等</w:t>
      </w:r>
      <w:r>
        <w:rPr>
          <w:rFonts w:hint="eastAsia" w:eastAsia="仿宋_GB2312" w:cs="方正仿宋_GBK"/>
          <w:b w:val="0"/>
          <w:bCs w:val="0"/>
          <w:spacing w:val="0"/>
          <w:kern w:val="2"/>
          <w:highlight w:val="none"/>
          <w:lang w:val="en-US" w:eastAsia="zh-CN"/>
        </w:rPr>
        <w:t>特色</w:t>
      </w:r>
      <w:r>
        <w:rPr>
          <w:rFonts w:hint="eastAsia" w:ascii="Times New Roman" w:hAnsi="Times New Roman" w:eastAsia="仿宋_GB2312" w:cs="方正仿宋_GBK"/>
          <w:b w:val="0"/>
          <w:bCs w:val="0"/>
          <w:spacing w:val="0"/>
          <w:kern w:val="2"/>
          <w:highlight w:val="none"/>
        </w:rPr>
        <w:t>品牌</w:t>
      </w:r>
      <w:r>
        <w:rPr>
          <w:rFonts w:hint="eastAsia"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持续扩大核心竞争优势。</w:t>
      </w:r>
      <w:r>
        <w:rPr>
          <w:rFonts w:hint="eastAsia" w:ascii="Times New Roman" w:hAnsi="Times New Roman" w:eastAsia="仿宋_GB2312" w:cs="方正仿宋_GBK"/>
          <w:b w:val="0"/>
          <w:bCs w:val="0"/>
          <w:spacing w:val="0"/>
          <w:kern w:val="2"/>
          <w:highlight w:val="none"/>
          <w:lang w:val="en-US" w:eastAsia="zh-CN"/>
        </w:rPr>
        <w:t>到2030年，</w:t>
      </w:r>
      <w:r>
        <w:rPr>
          <w:rFonts w:hint="eastAsia" w:ascii="Times New Roman" w:hAnsi="Times New Roman" w:eastAsia="仿宋_GB2312" w:cs="方正仿宋_GBK"/>
          <w:b w:val="0"/>
          <w:bCs w:val="0"/>
          <w:spacing w:val="0"/>
          <w:kern w:val="2"/>
          <w:highlight w:val="none"/>
        </w:rPr>
        <w:t>力争“赤诚峰味”品牌</w:t>
      </w:r>
      <w:r>
        <w:rPr>
          <w:rFonts w:hint="eastAsia" w:eastAsia="仿宋_GB2312" w:cs="方正仿宋_GBK"/>
          <w:b w:val="0"/>
          <w:bCs w:val="0"/>
          <w:spacing w:val="0"/>
          <w:kern w:val="2"/>
          <w:highlight w:val="none"/>
          <w:lang w:val="en-US" w:eastAsia="zh-CN"/>
        </w:rPr>
        <w:t>联盟</w:t>
      </w:r>
      <w:r>
        <w:rPr>
          <w:rFonts w:hint="eastAsia" w:ascii="Times New Roman" w:hAnsi="Times New Roman" w:eastAsia="仿宋_GB2312" w:cs="方正仿宋_GBK"/>
          <w:b w:val="0"/>
          <w:bCs w:val="0"/>
          <w:spacing w:val="0"/>
          <w:kern w:val="2"/>
          <w:highlight w:val="none"/>
        </w:rPr>
        <w:t>总价值突破1</w:t>
      </w:r>
      <w:r>
        <w:rPr>
          <w:rFonts w:hint="eastAsia" w:ascii="Times New Roman" w:hAnsi="Times New Roman" w:eastAsia="仿宋_GB2312" w:cs="方正仿宋_GBK"/>
          <w:b w:val="0"/>
          <w:bCs w:val="0"/>
          <w:spacing w:val="0"/>
          <w:kern w:val="2"/>
          <w:highlight w:val="none"/>
          <w:lang w:val="en-US" w:eastAsia="zh-CN"/>
        </w:rPr>
        <w:t>3</w:t>
      </w:r>
      <w:r>
        <w:rPr>
          <w:rFonts w:hint="eastAsia" w:ascii="Times New Roman" w:hAnsi="Times New Roman" w:eastAsia="仿宋_GB2312" w:cs="方正仿宋_GBK"/>
          <w:b w:val="0"/>
          <w:bCs w:val="0"/>
          <w:spacing w:val="0"/>
          <w:kern w:val="2"/>
          <w:highlight w:val="none"/>
        </w:rPr>
        <w:t>00</w:t>
      </w:r>
      <w:r>
        <w:rPr>
          <w:rFonts w:hint="eastAsia" w:ascii="Times New Roman" w:hAnsi="Times New Roman" w:eastAsia="仿宋_GB2312" w:cs="方正仿宋_GBK"/>
          <w:b w:val="0"/>
          <w:bCs w:val="0"/>
          <w:spacing w:val="0"/>
          <w:kern w:val="2"/>
          <w:highlight w:val="none"/>
          <w:lang w:eastAsia="zh-CN"/>
        </w:rPr>
        <w:t>亿元</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
        </w:rPr>
        <w:t>积极争取</w:t>
      </w:r>
      <w:r>
        <w:rPr>
          <w:rFonts w:hint="eastAsia" w:ascii="Times New Roman" w:hAnsi="Times New Roman" w:eastAsia="仿宋_GB2312" w:cs="方正仿宋_GBK"/>
          <w:b w:val="0"/>
          <w:bCs w:val="0"/>
          <w:spacing w:val="0"/>
          <w:kern w:val="2"/>
          <w:highlight w:val="none"/>
        </w:rPr>
        <w:t>“昭乌达肉羊”</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“赤峰荞麦”等品牌入选</w:t>
      </w:r>
      <w:r>
        <w:rPr>
          <w:rFonts w:hint="eastAsia" w:ascii="Times New Roman" w:hAnsi="Times New Roman" w:eastAsia="仿宋_GB2312" w:cs="方正仿宋_GBK"/>
          <w:b w:val="0"/>
          <w:bCs w:val="0"/>
          <w:spacing w:val="0"/>
          <w:kern w:val="2"/>
          <w:highlight w:val="none"/>
          <w:lang w:eastAsia="zh-CN"/>
        </w:rPr>
        <w:t>自治区级品牌</w:t>
      </w:r>
      <w:r>
        <w:rPr>
          <w:rFonts w:hint="eastAsia" w:eastAsia="仿宋_GB2312" w:cs="方正仿宋_GBK"/>
          <w:b w:val="0"/>
          <w:bCs w:val="0"/>
          <w:spacing w:val="0"/>
          <w:kern w:val="2"/>
          <w:highlight w:val="none"/>
          <w:lang w:val="en-US" w:eastAsia="zh-CN"/>
        </w:rPr>
        <w:t>目录</w:t>
      </w:r>
      <w:r>
        <w:rPr>
          <w:rFonts w:hint="eastAsia" w:ascii="Times New Roman" w:hAnsi="Times New Roman" w:eastAsia="仿宋_GB2312" w:cs="方正仿宋_GBK"/>
          <w:b w:val="0"/>
          <w:bCs w:val="0"/>
          <w:spacing w:val="0"/>
          <w:kern w:val="2"/>
          <w:highlight w:val="none"/>
        </w:rPr>
        <w:t>，</w:t>
      </w:r>
      <w:r>
        <w:rPr>
          <w:rFonts w:hint="eastAsia" w:eastAsia="仿宋_GB2312" w:cs="方正仿宋_GBK"/>
          <w:b w:val="0"/>
          <w:bCs w:val="0"/>
          <w:spacing w:val="0"/>
          <w:kern w:val="2"/>
          <w:highlight w:val="none"/>
          <w:lang w:val="en-US" w:eastAsia="zh-CN"/>
        </w:rPr>
        <w:t>加快</w:t>
      </w:r>
      <w:r>
        <w:rPr>
          <w:rFonts w:hint="eastAsia" w:ascii="Times New Roman" w:hAnsi="Times New Roman" w:eastAsia="仿宋_GB2312" w:cs="方正仿宋_GBK"/>
          <w:b w:val="0"/>
          <w:bCs w:val="0"/>
          <w:spacing w:val="0"/>
          <w:kern w:val="2"/>
          <w:highlight w:val="none"/>
        </w:rPr>
        <w:t>培育一批</w:t>
      </w:r>
      <w:r>
        <w:rPr>
          <w:rFonts w:hint="eastAsia" w:eastAsia="仿宋_GB2312" w:cs="方正仿宋_GBK"/>
          <w:b w:val="0"/>
          <w:bCs w:val="0"/>
          <w:spacing w:val="0"/>
          <w:kern w:val="2"/>
          <w:highlight w:val="none"/>
          <w:lang w:val="en-US" w:eastAsia="zh-CN"/>
        </w:rPr>
        <w:t>具有较强影响力的企业品牌与产品品牌，持续激发农牧业品牌建设的内生动力，推动农牧业高质量发展。</w:t>
      </w:r>
    </w:p>
    <w:p w14:paraId="5BAD298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11"/>
          <w:kern w:val="2"/>
          <w:highlight w:val="none"/>
        </w:rPr>
      </w:pPr>
      <w:bookmarkStart w:id="398" w:name="_Toc8979"/>
      <w:r>
        <w:rPr>
          <w:rFonts w:hint="eastAsia" w:ascii="Times New Roman" w:hAnsi="Times New Roman" w:eastAsia="仿宋_GB2312" w:cs="方正仿宋_GBK"/>
          <w:b w:val="0"/>
          <w:bCs w:val="0"/>
          <w:color w:val="auto"/>
          <w:spacing w:val="0"/>
          <w:kern w:val="2"/>
          <w:highlight w:val="none"/>
        </w:rPr>
        <w:t>加快农牧业科技创新</w:t>
      </w:r>
      <w:bookmarkEnd w:id="398"/>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提升农牧业科技装备水平</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rPr>
        <w:t>加强高端智能、丘陵山区适用农机装备研发</w:t>
      </w:r>
      <w:r>
        <w:rPr>
          <w:rFonts w:hint="eastAsia" w:eastAsia="仿宋_GB2312" w:cs="方正仿宋_GBK"/>
          <w:b w:val="0"/>
          <w:bCs w:val="0"/>
          <w:spacing w:val="0"/>
          <w:kern w:val="2"/>
          <w:highlight w:val="none"/>
          <w:lang w:val="en-US" w:eastAsia="zh-CN"/>
        </w:rPr>
        <w:t>与规模化</w:t>
      </w:r>
      <w:r>
        <w:rPr>
          <w:rFonts w:hint="eastAsia" w:ascii="Times New Roman" w:hAnsi="Times New Roman" w:eastAsia="仿宋_GB2312" w:cs="方正仿宋_GBK"/>
          <w:b w:val="0"/>
          <w:bCs w:val="0"/>
          <w:spacing w:val="0"/>
          <w:kern w:val="2"/>
          <w:highlight w:val="none"/>
        </w:rPr>
        <w:t>应用，促进良田良种良机良法集成增效。</w:t>
      </w:r>
      <w:r>
        <w:rPr>
          <w:rFonts w:hint="eastAsia" w:ascii="Times New Roman" w:hAnsi="Times New Roman" w:eastAsia="仿宋_GB2312" w:cs="方正仿宋_GBK"/>
          <w:b w:val="0"/>
          <w:bCs w:val="0"/>
          <w:spacing w:val="0"/>
          <w:kern w:val="2"/>
          <w:highlight w:val="none"/>
          <w:lang w:val="en-US" w:eastAsia="zh-CN"/>
        </w:rPr>
        <w:t>积极发展智慧农牧业</w:t>
      </w:r>
      <w:r>
        <w:rPr>
          <w:rFonts w:hint="eastAsia" w:eastAsia="仿宋_GB2312" w:cs="方正仿宋_GBK"/>
          <w:b w:val="0"/>
          <w:bCs w:val="0"/>
          <w:spacing w:val="0"/>
          <w:kern w:val="2"/>
          <w:highlight w:val="none"/>
          <w:lang w:val="en-US" w:eastAsia="zh-CN"/>
        </w:rPr>
        <w:t>，加快推进物联网、大数据、区块链、人工智能、机器人等信息技术在农牧业领域普及应用，推进面向节水增效的气象预报支撑技术应用，提升农业用水管理的精准调控能力。集成应用适宜信息技术装备，建设多样化的智慧农（牧）场。加强农牧业技术推广体系建设，强化基层</w:t>
      </w:r>
      <w:r>
        <w:rPr>
          <w:rFonts w:hint="eastAsia" w:eastAsia="仿宋_GB2312" w:cs="方正仿宋_GBK"/>
          <w:b w:val="0"/>
          <w:bCs w:val="0"/>
          <w:spacing w:val="-11"/>
          <w:kern w:val="2"/>
          <w:highlight w:val="none"/>
          <w:lang w:val="en-US" w:eastAsia="zh-CN"/>
        </w:rPr>
        <w:t>农技推广体系公益性服务功能，推动构建以农技推广机构为主体，科研院校、新型农业经营主体、涉农企业等共同参与的多元农技推广服务体系。加强基层农技推广队伍建设。</w:t>
      </w:r>
      <w:r>
        <w:rPr>
          <w:rFonts w:hint="eastAsia" w:ascii="Times New Roman" w:hAnsi="Times New Roman" w:eastAsia="仿宋_GB2312" w:cs="方正仿宋_GBK"/>
          <w:b w:val="0"/>
          <w:bCs w:val="0"/>
          <w:spacing w:val="-11"/>
          <w:kern w:val="2"/>
          <w:highlight w:val="none"/>
        </w:rPr>
        <w:t>到“十五五”末，农作物耕种收综合机械化率力争达到</w:t>
      </w:r>
      <w:r>
        <w:rPr>
          <w:rFonts w:hint="eastAsia" w:eastAsia="仿宋_GB2312" w:cs="方正仿宋_GBK"/>
          <w:b w:val="0"/>
          <w:bCs w:val="0"/>
          <w:spacing w:val="-11"/>
          <w:kern w:val="2"/>
          <w:highlight w:val="none"/>
          <w:lang w:val="en-US" w:eastAsia="zh-CN"/>
        </w:rPr>
        <w:t>88.4</w:t>
      </w:r>
      <w:r>
        <w:rPr>
          <w:rFonts w:hint="eastAsia" w:ascii="Times New Roman" w:hAnsi="Times New Roman" w:eastAsia="仿宋_GB2312" w:cs="方正仿宋_GBK"/>
          <w:b w:val="0"/>
          <w:bCs w:val="0"/>
          <w:spacing w:val="-11"/>
          <w:kern w:val="2"/>
          <w:highlight w:val="none"/>
        </w:rPr>
        <w:t>%</w:t>
      </w:r>
      <w:r>
        <w:rPr>
          <w:rFonts w:hint="eastAsia" w:eastAsia="仿宋_GB2312" w:cs="方正仿宋_GBK"/>
          <w:b w:val="0"/>
          <w:bCs w:val="0"/>
          <w:spacing w:val="-11"/>
          <w:kern w:val="2"/>
          <w:highlight w:val="none"/>
          <w:lang w:eastAsia="zh-CN"/>
        </w:rPr>
        <w:t>，</w:t>
      </w:r>
      <w:r>
        <w:rPr>
          <w:rFonts w:hint="eastAsia" w:ascii="Times New Roman" w:hAnsi="Times New Roman" w:eastAsia="仿宋_GB2312" w:cs="方正仿宋_GBK"/>
          <w:b w:val="0"/>
          <w:bCs w:val="0"/>
          <w:spacing w:val="-11"/>
          <w:kern w:val="2"/>
          <w:highlight w:val="none"/>
        </w:rPr>
        <w:t>畜牧养殖机械化率力争达到</w:t>
      </w:r>
      <w:r>
        <w:rPr>
          <w:rFonts w:hint="eastAsia" w:eastAsia="仿宋_GB2312" w:cs="方正仿宋_GBK"/>
          <w:b w:val="0"/>
          <w:bCs w:val="0"/>
          <w:spacing w:val="-11"/>
          <w:kern w:val="2"/>
          <w:highlight w:val="none"/>
          <w:lang w:val="en-US" w:eastAsia="zh-CN"/>
        </w:rPr>
        <w:t>54</w:t>
      </w:r>
      <w:r>
        <w:rPr>
          <w:rFonts w:hint="eastAsia" w:ascii="Times New Roman" w:hAnsi="Times New Roman" w:eastAsia="仿宋_GB2312" w:cs="方正仿宋_GBK"/>
          <w:b w:val="0"/>
          <w:bCs w:val="0"/>
          <w:spacing w:val="-11"/>
          <w:kern w:val="2"/>
          <w:highlight w:val="none"/>
        </w:rPr>
        <w:t>%。</w:t>
      </w:r>
    </w:p>
    <w:p w14:paraId="1B0BE3E9">
      <w:pPr>
        <w:keepNext w:val="0"/>
        <w:keepLines w:val="0"/>
        <w:pageBreakBefore w:val="0"/>
        <w:widowControl/>
        <w:numPr>
          <w:ilvl w:val="0"/>
          <w:numId w:val="5"/>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399" w:name="_Toc763"/>
      <w:bookmarkStart w:id="400" w:name="_Toc19826"/>
      <w:bookmarkStart w:id="401" w:name="_Toc20717"/>
      <w:bookmarkStart w:id="402" w:name="_Toc26764"/>
      <w:bookmarkStart w:id="403" w:name="_Toc9256"/>
      <w:bookmarkStart w:id="404" w:name="_Toc29786"/>
      <w:bookmarkStart w:id="405" w:name="_Toc5924"/>
      <w:bookmarkStart w:id="406" w:name="_Toc16229"/>
      <w:bookmarkStart w:id="407" w:name="_Toc20893"/>
      <w:bookmarkStart w:id="408" w:name="_Toc27278"/>
      <w:bookmarkStart w:id="409" w:name="_Toc1141"/>
      <w:bookmarkStart w:id="410" w:name="_Toc23758"/>
      <w:bookmarkStart w:id="411" w:name="_Toc20707"/>
      <w:bookmarkStart w:id="412" w:name="_Toc28492"/>
      <w:r>
        <w:rPr>
          <w:rFonts w:hint="eastAsia" w:ascii="楷体_GB2312" w:hAnsi="楷体_GB2312" w:eastAsia="楷体_GB2312" w:cs="楷体_GB2312"/>
          <w:b w:val="0"/>
          <w:bCs w:val="0"/>
          <w:color w:val="auto"/>
          <w:sz w:val="32"/>
          <w:szCs w:val="40"/>
          <w:highlight w:val="none"/>
          <w:lang w:val="en-US" w:eastAsia="zh-CN"/>
        </w:rPr>
        <w:t>促进服务业优质高效发展</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7C42099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eastAsia="仿宋_GB2312" w:cs="方正仿宋_GBK"/>
          <w:b w:val="0"/>
          <w:bCs w:val="0"/>
          <w:spacing w:val="0"/>
          <w:kern w:val="2"/>
          <w:highlight w:val="none"/>
          <w:lang w:val="en-US" w:eastAsia="zh-CN"/>
        </w:rPr>
      </w:pPr>
      <w:r>
        <w:rPr>
          <w:rFonts w:hint="eastAsia" w:ascii="Times New Roman" w:hAnsi="Times New Roman" w:eastAsia="仿宋_GB2312" w:cs="方正仿宋_GBK"/>
          <w:b w:val="0"/>
          <w:bCs w:val="0"/>
          <w:sz w:val="32"/>
          <w:szCs w:val="32"/>
          <w:highlight w:val="none"/>
        </w:rPr>
        <w:t>以满足人民美好生活需要、开辟新领域新赛道为导向，推动生产性服务业向高</w:t>
      </w:r>
      <w:r>
        <w:rPr>
          <w:rFonts w:hint="eastAsia" w:eastAsia="仿宋_GB2312" w:cs="方正仿宋_GBK"/>
          <w:b w:val="0"/>
          <w:bCs w:val="0"/>
          <w:spacing w:val="0"/>
          <w:kern w:val="2"/>
          <w:highlight w:val="none"/>
          <w:lang w:val="en-US" w:eastAsia="zh-CN"/>
        </w:rPr>
        <w:t>端化和专业化拓展、生活性服务业向品质化和多样化提升，全面提升服务业质量效率和竞争力。</w:t>
      </w:r>
    </w:p>
    <w:p w14:paraId="2B92391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eastAsia="仿宋_GB2312" w:cs="方正仿宋_GBK"/>
          <w:b w:val="0"/>
          <w:bCs w:val="0"/>
          <w:spacing w:val="0"/>
          <w:kern w:val="2"/>
          <w:highlight w:val="none"/>
          <w:lang w:val="en-US" w:eastAsia="zh-CN"/>
        </w:rPr>
      </w:pPr>
      <w:bookmarkStart w:id="413" w:name="_Toc11999"/>
      <w:bookmarkStart w:id="414" w:name="_Toc9954"/>
      <w:bookmarkStart w:id="415" w:name="_Toc10690"/>
      <w:bookmarkStart w:id="416" w:name="_Toc3496"/>
      <w:bookmarkStart w:id="417" w:name="_Toc20759"/>
      <w:bookmarkStart w:id="418" w:name="_Toc28181"/>
      <w:bookmarkStart w:id="419" w:name="_Toc11251"/>
      <w:bookmarkStart w:id="420" w:name="_Toc7952"/>
      <w:bookmarkStart w:id="421" w:name="_Toc29000"/>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spacing w:val="0"/>
          <w:kern w:val="2"/>
          <w:highlight w:val="none"/>
          <w:lang w:val="en-US" w:eastAsia="zh-CN"/>
        </w:rPr>
        <w:t>推动生产性服务业专业化高端化发展</w:t>
      </w:r>
      <w:bookmarkEnd w:id="413"/>
      <w:bookmarkEnd w:id="414"/>
      <w:bookmarkEnd w:id="415"/>
      <w:bookmarkEnd w:id="416"/>
      <w:bookmarkEnd w:id="417"/>
      <w:bookmarkEnd w:id="418"/>
      <w:bookmarkEnd w:id="419"/>
      <w:bookmarkEnd w:id="420"/>
      <w:bookmarkEnd w:id="421"/>
      <w:r>
        <w:rPr>
          <w:rFonts w:hint="eastAsia" w:eastAsia="仿宋_GB2312" w:cs="方正仿宋_GBK"/>
          <w:b w:val="0"/>
          <w:bCs w:val="0"/>
          <w:spacing w:val="0"/>
          <w:kern w:val="2"/>
          <w:highlight w:val="none"/>
          <w:lang w:val="en-US" w:eastAsia="zh-CN"/>
        </w:rPr>
        <w:t>。着</w:t>
      </w:r>
      <w:r>
        <w:rPr>
          <w:rFonts w:hint="eastAsia" w:ascii="Times New Roman" w:hAnsi="Times New Roman" w:eastAsia="仿宋_GB2312" w:cs="方正仿宋_GBK"/>
          <w:b w:val="0"/>
          <w:bCs w:val="0"/>
          <w:sz w:val="32"/>
          <w:szCs w:val="32"/>
          <w:highlight w:val="none"/>
          <w:lang w:eastAsia="zh-CN"/>
        </w:rPr>
        <w:t>力做大生产性服务业规模、优化结构，</w:t>
      </w:r>
      <w:r>
        <w:rPr>
          <w:rFonts w:hint="eastAsia" w:ascii="Times New Roman" w:hAnsi="Times New Roman" w:eastAsia="仿宋_GB2312" w:cs="方正仿宋_GBK"/>
          <w:b w:val="0"/>
          <w:bCs w:val="0"/>
          <w:sz w:val="32"/>
          <w:szCs w:val="32"/>
          <w:highlight w:val="none"/>
          <w:lang w:val="en-US" w:eastAsia="zh-CN"/>
        </w:rPr>
        <w:t>围绕现代物流、现代金融等重点领域，</w:t>
      </w:r>
      <w:r>
        <w:rPr>
          <w:rFonts w:hint="eastAsia" w:ascii="Times New Roman" w:hAnsi="Times New Roman" w:eastAsia="仿宋_GB2312" w:cs="方正仿宋_GBK"/>
          <w:b w:val="0"/>
          <w:bCs w:val="0"/>
          <w:sz w:val="32"/>
          <w:szCs w:val="32"/>
          <w:highlight w:val="none"/>
          <w:lang w:eastAsia="zh-CN"/>
        </w:rPr>
        <w:t>提升专业化服务水平，提</w:t>
      </w:r>
      <w:r>
        <w:rPr>
          <w:rFonts w:hint="eastAsia" w:eastAsia="仿宋_GB2312" w:cs="方正仿宋_GBK"/>
          <w:b w:val="0"/>
          <w:bCs w:val="0"/>
          <w:spacing w:val="0"/>
          <w:kern w:val="2"/>
          <w:highlight w:val="none"/>
          <w:lang w:val="en-US" w:eastAsia="zh-CN"/>
        </w:rPr>
        <w:t>高现代服务业与先进制造业、现代农牧业融合发展水平。</w:t>
      </w:r>
    </w:p>
    <w:p w14:paraId="37ACFCB4">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z w:val="32"/>
          <w:szCs w:val="32"/>
          <w:highlight w:val="none"/>
          <w:lang w:val="en-US" w:eastAsia="zh-CN"/>
        </w:rPr>
      </w:pPr>
      <w:bookmarkStart w:id="422" w:name="_Toc31433"/>
      <w:r>
        <w:rPr>
          <w:rFonts w:hint="eastAsia" w:eastAsia="仿宋_GB2312" w:cs="方正仿宋_GBK"/>
          <w:b w:val="0"/>
          <w:bCs w:val="0"/>
          <w:spacing w:val="0"/>
          <w:kern w:val="2"/>
          <w:highlight w:val="none"/>
          <w:lang w:val="en-US" w:eastAsia="zh-CN"/>
        </w:rPr>
        <w:t>推动现代物流业创新发展</w:t>
      </w:r>
      <w:bookmarkEnd w:id="422"/>
      <w:r>
        <w:rPr>
          <w:rFonts w:hint="eastAsia" w:eastAsia="仿宋_GB2312" w:cs="方正仿宋_GBK"/>
          <w:b w:val="0"/>
          <w:bCs w:val="0"/>
          <w:spacing w:val="0"/>
          <w:kern w:val="2"/>
          <w:highlight w:val="none"/>
          <w:lang w:val="en-US" w:eastAsia="zh-CN"/>
        </w:rPr>
        <w:t>。以建设商贸服务型</w:t>
      </w:r>
      <w:r>
        <w:rPr>
          <w:rFonts w:hint="eastAsia" w:ascii="Times New Roman" w:hAnsi="Times New Roman" w:eastAsia="仿宋_GB2312" w:cs="方正仿宋_GBK"/>
          <w:b w:val="0"/>
          <w:bCs w:val="0"/>
          <w:highlight w:val="none"/>
        </w:rPr>
        <w:t>国家物流枢纽承载城市、国家现代流通战略支点城市</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全国</w:t>
      </w:r>
      <w:r>
        <w:rPr>
          <w:rFonts w:hint="eastAsia" w:ascii="Times New Roman" w:hAnsi="Times New Roman" w:eastAsia="仿宋_GB2312" w:cs="方正仿宋_GBK"/>
          <w:b w:val="0"/>
          <w:bCs w:val="0"/>
          <w:highlight w:val="none"/>
          <w:lang w:val="en-US" w:eastAsia="zh-CN"/>
        </w:rPr>
        <w:t>性</w:t>
      </w:r>
      <w:r>
        <w:rPr>
          <w:rFonts w:hint="eastAsia" w:ascii="Times New Roman" w:hAnsi="Times New Roman" w:eastAsia="仿宋_GB2312" w:cs="方正仿宋_GBK"/>
          <w:b w:val="0"/>
          <w:bCs w:val="0"/>
          <w:highlight w:val="none"/>
        </w:rPr>
        <w:t>邮政快递枢纽承载城市为契机，坚持</w:t>
      </w:r>
      <w:r>
        <w:rPr>
          <w:rFonts w:hint="eastAsia" w:ascii="Times New Roman" w:hAnsi="Times New Roman" w:eastAsia="仿宋_GB2312" w:cs="方正仿宋_GBK"/>
          <w:b w:val="0"/>
          <w:bCs w:val="0"/>
          <w:highlight w:val="none"/>
          <w:lang w:val="en-US" w:eastAsia="zh-CN"/>
        </w:rPr>
        <w:t>优化供给、创新业态、提质增效</w:t>
      </w:r>
      <w:r>
        <w:rPr>
          <w:rFonts w:hint="eastAsia" w:eastAsia="仿宋_GB2312" w:cs="方正仿宋_GBK"/>
          <w:b w:val="0"/>
          <w:bCs w:val="0"/>
          <w:highlight w:val="none"/>
          <w:lang w:val="en-US" w:eastAsia="zh-CN"/>
        </w:rPr>
        <w:t>发展思路，</w:t>
      </w:r>
      <w:r>
        <w:rPr>
          <w:rFonts w:hint="eastAsia" w:ascii="Times New Roman" w:hAnsi="Times New Roman" w:eastAsia="仿宋_GB2312" w:cs="方正仿宋_GBK"/>
          <w:b w:val="0"/>
          <w:bCs w:val="0"/>
          <w:highlight w:val="none"/>
        </w:rPr>
        <w:t>依托现有物流基础设施和产业发展基础，强化资源整合和优化配置，推动产业深度融合，将现代物流业打造成为经济高质量发展的重要支撑点和区域竞争力提升的核心动力</w:t>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"https://nm.spb.gov.cn/nmgzzqyzglj/c100057/c100061/202510/e2ba922efb0f40bb97b32fbe75a9a276.shtml"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"https://inews.nmgnews.com.cn/system/2019/06/19/012729367.shtml"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t>。</w:t>
      </w:r>
      <w:r>
        <w:rPr>
          <w:rFonts w:hint="eastAsia" w:eastAsia="仿宋_GB2312" w:cs="方正仿宋_GBK"/>
          <w:b w:val="0"/>
          <w:bCs w:val="0"/>
          <w:highlight w:val="none"/>
          <w:lang w:val="en-US" w:eastAsia="zh-CN"/>
        </w:rPr>
        <w:t>着力</w:t>
      </w:r>
      <w:r>
        <w:rPr>
          <w:rFonts w:hint="eastAsia" w:ascii="Times New Roman" w:hAnsi="Times New Roman" w:eastAsia="仿宋_GB2312" w:cs="方正仿宋_GBK"/>
          <w:b w:val="0"/>
          <w:bCs w:val="0"/>
          <w:highlight w:val="none"/>
        </w:rPr>
        <w:t>构建“通道+枢纽+网络”的现代物流运行体系</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优化市内集疏运体系，</w:t>
      </w:r>
      <w:r>
        <w:rPr>
          <w:rFonts w:hint="eastAsia" w:eastAsia="仿宋_GB2312" w:cs="方正仿宋_GBK"/>
          <w:b w:val="0"/>
          <w:bCs w:val="0"/>
          <w:highlight w:val="none"/>
          <w:lang w:val="en-US" w:eastAsia="zh-CN"/>
        </w:rPr>
        <w:t>加快</w:t>
      </w:r>
      <w:r>
        <w:rPr>
          <w:rFonts w:hint="eastAsia" w:ascii="Times New Roman" w:hAnsi="Times New Roman" w:eastAsia="仿宋_GB2312" w:cs="方正仿宋_GBK"/>
          <w:b w:val="0"/>
          <w:bCs w:val="0"/>
          <w:highlight w:val="none"/>
        </w:rPr>
        <w:t>建设连接主要园区、机场</w:t>
      </w:r>
      <w:r>
        <w:rPr>
          <w:rFonts w:hint="eastAsia" w:ascii="Times New Roman" w:hAnsi="Times New Roman" w:eastAsia="仿宋_GB2312" w:cs="方正仿宋_GBK"/>
          <w:b w:val="0"/>
          <w:bCs w:val="0"/>
          <w:highlight w:val="none"/>
          <w:lang w:eastAsia="zh-CN"/>
        </w:rPr>
        <w:t>、铁路集疏运站</w:t>
      </w:r>
      <w:r>
        <w:rPr>
          <w:rFonts w:hint="eastAsia" w:ascii="Times New Roman" w:hAnsi="Times New Roman" w:eastAsia="仿宋_GB2312" w:cs="方正仿宋_GBK"/>
          <w:b w:val="0"/>
          <w:bCs w:val="0"/>
          <w:highlight w:val="none"/>
        </w:rPr>
        <w:t>的快速道路</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完善多式联运体系</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加强铁路、公路、航空等多种运输方式的衔接，推动建设具有多式联运功能的物流枢纽</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积极发展</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公铁海多式联运、重去重回</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高效运输模式，对接锦州港、大连港、天津港</w:t>
      </w:r>
      <w:r>
        <w:rPr>
          <w:rFonts w:hint="eastAsia" w:eastAsia="仿宋_GB2312" w:cs="方正仿宋_GBK"/>
          <w:b w:val="0"/>
          <w:bCs w:val="0"/>
          <w:highlight w:val="none"/>
          <w:lang w:eastAsia="zh-CN"/>
        </w:rPr>
        <w:t>、</w:t>
      </w:r>
      <w:r>
        <w:rPr>
          <w:rFonts w:hint="eastAsia" w:eastAsia="仿宋_GB2312" w:cs="方正仿宋_GBK"/>
          <w:b w:val="0"/>
          <w:bCs w:val="0"/>
          <w:highlight w:val="none"/>
          <w:lang w:val="en-US" w:eastAsia="zh-CN"/>
        </w:rPr>
        <w:t>曹妃甸港</w:t>
      </w:r>
      <w:r>
        <w:rPr>
          <w:rFonts w:hint="eastAsia" w:ascii="Times New Roman" w:hAnsi="Times New Roman" w:eastAsia="仿宋_GB2312" w:cs="方正仿宋_GBK"/>
          <w:b w:val="0"/>
          <w:bCs w:val="0"/>
          <w:highlight w:val="none"/>
        </w:rPr>
        <w:t>等沿海港口，畅通出海通道</w:t>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"https://nm.spb.gov.cn/nmgzzqyzglj/c101482/202508/e045db2ed3fd454e8e0f0559d86931b8.shtml"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"https://inews.nmgnews.com.cn/system/2019/06/19/012729367.shtml"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t>。</w:t>
      </w:r>
      <w:r>
        <w:rPr>
          <w:rFonts w:hint="eastAsia" w:ascii="Times New Roman" w:hAnsi="Times New Roman" w:eastAsia="仿宋_GB2312" w:cs="方正仿宋_GBK"/>
          <w:b w:val="0"/>
          <w:bCs w:val="0"/>
          <w:highlight w:val="none"/>
          <w:lang w:val="en-US" w:eastAsia="zh-CN"/>
        </w:rPr>
        <w:t>高标准建设</w:t>
      </w:r>
      <w:r>
        <w:rPr>
          <w:rFonts w:hint="eastAsia" w:eastAsia="仿宋_GB2312" w:cs="方正仿宋_GBK"/>
          <w:b w:val="0"/>
          <w:bCs w:val="0"/>
          <w:highlight w:val="none"/>
          <w:lang w:val="en-US" w:eastAsia="zh-CN"/>
        </w:rPr>
        <w:t>红山、松山自治区级商贸服务型物流枢纽</w:t>
      </w:r>
      <w:r>
        <w:rPr>
          <w:rFonts w:hint="eastAsia" w:ascii="Times New Roman" w:hAnsi="Times New Roman" w:eastAsia="仿宋_GB2312" w:cs="方正仿宋_GBK"/>
          <w:b w:val="0"/>
          <w:bCs w:val="0"/>
          <w:highlight w:val="none"/>
          <w:lang w:val="en-US" w:eastAsia="zh-CN"/>
        </w:rPr>
        <w:t>等核心枢纽</w:t>
      </w:r>
      <w:r>
        <w:rPr>
          <w:rFonts w:hint="eastAsia" w:ascii="Times New Roman" w:hAnsi="Times New Roman" w:eastAsia="仿宋_GB2312" w:cs="方正仿宋_GBK"/>
          <w:b w:val="0"/>
          <w:bCs w:val="0"/>
          <w:highlight w:val="none"/>
        </w:rPr>
        <w:t>，强化货物集散、仓储配送、分拨转运、供应链服务、口岸服务等核心功能。</w:t>
      </w:r>
      <w:r>
        <w:rPr>
          <w:rFonts w:hint="eastAsia" w:ascii="Times New Roman" w:hAnsi="Times New Roman" w:eastAsia="仿宋_GB2312" w:cs="方正仿宋_GBK"/>
          <w:b w:val="0"/>
          <w:bCs w:val="0"/>
          <w:sz w:val="32"/>
          <w:szCs w:val="32"/>
          <w:highlight w:val="none"/>
          <w:lang w:eastAsia="zh-CN"/>
        </w:rPr>
        <w:t>积极探索“产业集群+物流枢纽”发展模式，发展以“红山智运”为代表的网络货运新业态，提高车货匹配率，拓展车后市场。</w:t>
      </w:r>
      <w:r>
        <w:rPr>
          <w:rFonts w:hint="eastAsia" w:ascii="Times New Roman" w:hAnsi="Times New Roman" w:eastAsia="仿宋_GB2312" w:cs="方正仿宋_GBK"/>
          <w:b w:val="0"/>
          <w:bCs w:val="0"/>
          <w:sz w:val="32"/>
          <w:szCs w:val="32"/>
          <w:highlight w:val="none"/>
          <w:lang w:val="en-US" w:eastAsia="zh-CN"/>
        </w:rPr>
        <w:t>提升赤峰商贸服务物流园区承载能力，优化物流园区管理模式，引导各片区精准定位、统一管理、优势互补、错位发展，实现中心城区物流一体化发展，打造全市物流核心区。因地制宜建设专业市场，根据各地区资源禀赋、优势产业，合理布局建设各具特色的专业市场，提升专业市场枢纽能级和辐射带动能力。招引、培育现代交通物流领军企业，</w:t>
      </w:r>
      <w:r>
        <w:rPr>
          <w:rFonts w:hint="eastAsia" w:eastAsia="仿宋_GB2312" w:cs="方正仿宋_GBK"/>
          <w:b w:val="0"/>
          <w:bCs w:val="0"/>
          <w:sz w:val="32"/>
          <w:szCs w:val="32"/>
          <w:highlight w:val="none"/>
          <w:lang w:val="en-US" w:eastAsia="zh-CN"/>
        </w:rPr>
        <w:t>支持</w:t>
      </w:r>
      <w:r>
        <w:rPr>
          <w:rFonts w:hint="eastAsia" w:ascii="Times New Roman" w:hAnsi="Times New Roman" w:eastAsia="仿宋_GB2312" w:cs="方正仿宋_GBK"/>
          <w:b w:val="0"/>
          <w:bCs w:val="0"/>
          <w:sz w:val="32"/>
          <w:szCs w:val="32"/>
          <w:highlight w:val="none"/>
          <w:lang w:val="en-US" w:eastAsia="zh-CN"/>
        </w:rPr>
        <w:t>现代交通物流企业做大做强，引进国内外有实力的商贸物流企业在赤峰</w:t>
      </w:r>
      <w:r>
        <w:rPr>
          <w:rFonts w:hint="eastAsia" w:eastAsia="仿宋_GB2312" w:cs="方正仿宋_GBK"/>
          <w:b w:val="0"/>
          <w:bCs w:val="0"/>
          <w:sz w:val="32"/>
          <w:szCs w:val="32"/>
          <w:highlight w:val="none"/>
          <w:lang w:val="en-US" w:eastAsia="zh-CN"/>
        </w:rPr>
        <w:t>发展</w:t>
      </w:r>
      <w:r>
        <w:rPr>
          <w:rFonts w:hint="eastAsia" w:ascii="Times New Roman" w:hAnsi="Times New Roman" w:eastAsia="仿宋_GB2312" w:cs="方正仿宋_GBK"/>
          <w:b w:val="0"/>
          <w:bCs w:val="0"/>
          <w:sz w:val="32"/>
          <w:szCs w:val="32"/>
          <w:highlight w:val="none"/>
          <w:lang w:val="en-US" w:eastAsia="zh-CN"/>
        </w:rPr>
        <w:t>。抓好重点商贸物流项目谋划和建设，持续提升红山物流园区、松山商贸物流城管理水平，加快建设蒙东现代快递物流园区，谋划推进和美空港物流园区建设。</w:t>
      </w:r>
    </w:p>
    <w:p w14:paraId="6B7BE71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lang w:eastAsia="zh-CN"/>
        </w:rPr>
      </w:pPr>
      <w:bookmarkStart w:id="423" w:name="_Toc9646"/>
      <w:r>
        <w:rPr>
          <w:rFonts w:hint="eastAsia" w:ascii="Times New Roman" w:hAnsi="Times New Roman" w:eastAsia="仿宋_GB2312" w:cs="方正仿宋_GBK"/>
          <w:b w:val="0"/>
          <w:bCs w:val="0"/>
          <w:color w:val="auto"/>
          <w:sz w:val="32"/>
          <w:szCs w:val="32"/>
          <w:highlight w:val="none"/>
          <w:lang w:eastAsia="zh-CN"/>
        </w:rPr>
        <w:t>提升金融服务实体经济</w:t>
      </w:r>
      <w:r>
        <w:rPr>
          <w:rFonts w:hint="eastAsia" w:eastAsia="仿宋_GB2312" w:cs="方正仿宋_GBK"/>
          <w:b w:val="0"/>
          <w:bCs w:val="0"/>
          <w:color w:val="auto"/>
          <w:sz w:val="32"/>
          <w:szCs w:val="32"/>
          <w:highlight w:val="none"/>
          <w:lang w:val="en-US" w:eastAsia="zh-CN"/>
        </w:rPr>
        <w:t>和社会民生质效</w:t>
      </w:r>
      <w:bookmarkEnd w:id="423"/>
      <w:r>
        <w:rPr>
          <w:rFonts w:hint="eastAsia" w:eastAsia="仿宋_GB2312" w:cs="方正仿宋_GBK"/>
          <w:b w:val="0"/>
          <w:bCs w:val="0"/>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加速引聚金融要素资源，发展金融服务新业态、新产品，推动金融与</w:t>
      </w:r>
      <w:r>
        <w:rPr>
          <w:rFonts w:hint="eastAsia" w:eastAsia="仿宋_GB2312" w:cs="方正仿宋_GBK"/>
          <w:b w:val="0"/>
          <w:bCs w:val="0"/>
          <w:color w:val="auto"/>
          <w:sz w:val="32"/>
          <w:szCs w:val="32"/>
          <w:highlight w:val="none"/>
          <w:lang w:val="en-US" w:eastAsia="zh-CN"/>
        </w:rPr>
        <w:t>实体经济</w:t>
      </w:r>
      <w:r>
        <w:rPr>
          <w:rFonts w:hint="eastAsia" w:ascii="Times New Roman" w:hAnsi="Times New Roman" w:eastAsia="仿宋_GB2312" w:cs="方正仿宋_GBK"/>
          <w:b w:val="0"/>
          <w:bCs w:val="0"/>
          <w:color w:val="auto"/>
          <w:sz w:val="32"/>
          <w:szCs w:val="32"/>
          <w:highlight w:val="none"/>
          <w:lang w:eastAsia="zh-CN"/>
        </w:rPr>
        <w:t>深度协同。提升科技金融、数字金融、绿色金融等服务能级</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推动金融机构研发绿色金融产品，全面营造良好绿色金融发展环境。推动普惠金融、养老金融等业态创新发展，持续优化金融产品和服务，不断增强企业和群众的获得感、满意度。强化产业金融支撑作用，鼓励金融机构通过投贷联动、银团贷款等加大对制造业企业转型升级、产能优化等方面的支持力度。加快引育优质天使基金、创投基金、产业投资基金等创新创业资本</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推动金融机构开发推广符合制造业发展趋势和产业特征的金融产品，形成可复制可推广的“信贷</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eastAsia="zh-CN"/>
        </w:rPr>
        <w:t>非信贷”</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“表内</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eastAsia="zh-CN"/>
        </w:rPr>
        <w:t>表外”</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“融资</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eastAsia="zh-CN"/>
        </w:rPr>
        <w:t>融智”服务模式。深入实施上市企业“天骏计划”，推动企业对接多层次资本市场，开展多元化融资，</w:t>
      </w:r>
      <w:r>
        <w:rPr>
          <w:rFonts w:hint="eastAsia" w:eastAsia="仿宋_GB2312" w:cs="方正仿宋_GBK"/>
          <w:b w:val="0"/>
          <w:bCs w:val="0"/>
          <w:color w:val="auto"/>
          <w:sz w:val="32"/>
          <w:szCs w:val="32"/>
          <w:highlight w:val="none"/>
          <w:lang w:eastAsia="zh-CN"/>
        </w:rPr>
        <w:t>提高</w:t>
      </w:r>
      <w:r>
        <w:rPr>
          <w:rFonts w:hint="eastAsia" w:ascii="Times New Roman" w:hAnsi="Times New Roman" w:eastAsia="仿宋_GB2312" w:cs="方正仿宋_GBK"/>
          <w:b w:val="0"/>
          <w:bCs w:val="0"/>
          <w:color w:val="auto"/>
          <w:sz w:val="32"/>
          <w:szCs w:val="32"/>
          <w:highlight w:val="none"/>
          <w:lang w:eastAsia="zh-CN"/>
        </w:rPr>
        <w:t>金融资源配置效率和能力。</w:t>
      </w:r>
    </w:p>
    <w:p w14:paraId="6A085DE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lang w:eastAsia="zh-CN"/>
        </w:rPr>
      </w:pPr>
      <w:bookmarkStart w:id="424" w:name="_Toc11639"/>
      <w:r>
        <w:rPr>
          <w:rFonts w:hint="eastAsia" w:ascii="Times New Roman" w:hAnsi="Times New Roman" w:eastAsia="仿宋_GB2312" w:cs="方正仿宋_GBK"/>
          <w:b w:val="0"/>
          <w:bCs w:val="0"/>
          <w:color w:val="auto"/>
          <w:sz w:val="32"/>
          <w:szCs w:val="32"/>
          <w:highlight w:val="none"/>
          <w:lang w:eastAsia="zh-CN"/>
        </w:rPr>
        <w:t>打造蒙东新能源运维总部</w:t>
      </w:r>
      <w:bookmarkEnd w:id="424"/>
      <w:r>
        <w:rPr>
          <w:rFonts w:hint="eastAsia" w:eastAsia="仿宋_GB2312" w:cs="方正仿宋_GBK"/>
          <w:b w:val="0"/>
          <w:bCs w:val="0"/>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依托新能源大基地，大力发展新能源运维服务业。以集中式大型风电光伏基地运维为重点，兼顾分布式新能源场站运维，培育一批运维</w:t>
      </w:r>
      <w:r>
        <w:rPr>
          <w:rFonts w:hint="eastAsia" w:eastAsia="仿宋_GB2312" w:cs="方正仿宋_GBK"/>
          <w:b w:val="0"/>
          <w:bCs w:val="0"/>
          <w:color w:val="auto"/>
          <w:sz w:val="32"/>
          <w:szCs w:val="32"/>
          <w:highlight w:val="none"/>
          <w:lang w:eastAsia="zh-CN"/>
        </w:rPr>
        <w:t>经营主体</w:t>
      </w:r>
      <w:r>
        <w:rPr>
          <w:rFonts w:hint="eastAsia" w:ascii="Times New Roman" w:hAnsi="Times New Roman" w:eastAsia="仿宋_GB2312" w:cs="方正仿宋_GBK"/>
          <w:b w:val="0"/>
          <w:bCs w:val="0"/>
          <w:color w:val="auto"/>
          <w:sz w:val="32"/>
          <w:szCs w:val="32"/>
          <w:highlight w:val="none"/>
          <w:lang w:eastAsia="zh-CN"/>
        </w:rPr>
        <w:t>；结合大数据、人工智能、物联网、遥感卫星等前沿新兴技术发展现代化智能运维产业，推动关键设备远程在线智能检查与故障诊断，提升新能源智能运维水平，打造新能源智能运维中心。</w:t>
      </w:r>
    </w:p>
    <w:p w14:paraId="653FC80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lang w:val="en-US" w:eastAsia="zh-CN"/>
        </w:rPr>
      </w:pPr>
      <w:bookmarkStart w:id="425" w:name="_Toc26032"/>
      <w:bookmarkStart w:id="426" w:name="_Toc28548"/>
      <w:bookmarkStart w:id="427" w:name="_Toc19145"/>
      <w:bookmarkStart w:id="428" w:name="_Toc6411"/>
      <w:bookmarkStart w:id="429" w:name="_Toc14897"/>
      <w:bookmarkStart w:id="430" w:name="_Toc13034"/>
      <w:bookmarkStart w:id="431" w:name="_Toc8354"/>
      <w:bookmarkStart w:id="432" w:name="_Toc7036"/>
      <w:bookmarkStart w:id="433" w:name="_Toc25925"/>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促进生活性服务业品质化多样化升级</w:t>
      </w:r>
      <w:bookmarkEnd w:id="425"/>
      <w:bookmarkEnd w:id="426"/>
      <w:bookmarkEnd w:id="427"/>
      <w:bookmarkEnd w:id="428"/>
      <w:bookmarkEnd w:id="429"/>
      <w:bookmarkEnd w:id="430"/>
      <w:bookmarkEnd w:id="431"/>
      <w:bookmarkEnd w:id="432"/>
      <w:bookmarkEnd w:id="433"/>
      <w:r>
        <w:rPr>
          <w:rFonts w:hint="eastAsia" w:ascii="Times New Roman" w:hAnsi="Times New Roman" w:eastAsia="仿宋_GB2312" w:cs="方正仿宋_GBK"/>
          <w:b w:val="0"/>
          <w:bCs w:val="0"/>
          <w:color w:val="auto"/>
          <w:sz w:val="32"/>
          <w:szCs w:val="32"/>
          <w:highlight w:val="none"/>
          <w:lang w:val="en-US" w:eastAsia="zh-CN"/>
        </w:rPr>
        <w:t>。进一步健全加快生活性服务业多样化发展机制，顺应生活方式和消费理念转变，加强公益性、基础性、普惠性服务供给，全面提高服务品质。</w:t>
      </w:r>
    </w:p>
    <w:p w14:paraId="4F2D584C">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提升城市生活服务品质</w:t>
      </w:r>
      <w:r>
        <w:rPr>
          <w:rFonts w:hint="eastAsia" w:eastAsia="仿宋_GB2312" w:cs="方正仿宋_GBK"/>
          <w:b w:val="0"/>
          <w:bCs w:val="0"/>
          <w:sz w:val="32"/>
          <w:szCs w:val="32"/>
          <w:highlight w:val="none"/>
          <w:lang w:val="en-US" w:eastAsia="zh-CN"/>
        </w:rPr>
        <w:t>。</w:t>
      </w:r>
      <w:r>
        <w:rPr>
          <w:rFonts w:hint="default" w:ascii="Times New Roman" w:hAnsi="Times New Roman" w:eastAsia="仿宋_GB2312" w:cs="方正仿宋_GBK"/>
          <w:b w:val="0"/>
          <w:bCs w:val="0"/>
          <w:color w:val="auto"/>
          <w:sz w:val="32"/>
          <w:szCs w:val="32"/>
          <w:highlight w:val="none"/>
          <w:lang w:val="en-US" w:eastAsia="zh-CN"/>
        </w:rPr>
        <w:t>开展高品质生活城市建设工作，新建、改造一批农贸市场、生鲜超市，进一步完善社区便民服务功能。开放公共服务空间，在医院、高校、公园既有建筑、工厂、景区等场所引入品牌连锁便利店、无人便利店和智能零售柜。</w:t>
      </w:r>
      <w:r>
        <w:rPr>
          <w:rFonts w:hint="eastAsia" w:ascii="Times New Roman" w:hAnsi="Times New Roman" w:eastAsia="仿宋_GB2312" w:cs="方正仿宋_GBK"/>
          <w:b w:val="0"/>
          <w:bCs w:val="0"/>
          <w:color w:val="auto"/>
          <w:sz w:val="32"/>
          <w:szCs w:val="32"/>
          <w:highlight w:val="none"/>
          <w:lang w:val="en-US" w:eastAsia="zh-CN"/>
        </w:rPr>
        <w:t>提升城市商业能级，推进城市商圈转型升级、错位发展，打造特色商业街区。</w:t>
      </w:r>
      <w:r>
        <w:rPr>
          <w:rFonts w:hint="default" w:ascii="Times New Roman" w:hAnsi="Times New Roman" w:eastAsia="仿宋_GB2312" w:cs="方正仿宋_GBK"/>
          <w:b w:val="0"/>
          <w:bCs w:val="0"/>
          <w:color w:val="auto"/>
          <w:sz w:val="32"/>
          <w:szCs w:val="32"/>
          <w:highlight w:val="none"/>
          <w:lang w:val="en-US" w:eastAsia="zh-CN"/>
        </w:rPr>
        <w:t>着力优化教育、医疗、养老、文化、体育等重点资源规划布局，持续加大城市绿地公园、健身步道、智慧停车场、公厕等生活服务设施建设力度，合理设置智慧健身、智能共享等设备，提升城市生活服务品质</w:t>
      </w:r>
      <w:r>
        <w:rPr>
          <w:rFonts w:hint="eastAsia" w:eastAsia="仿宋_GB2312" w:cs="方正仿宋_GBK"/>
          <w:b w:val="0"/>
          <w:bCs w:val="0"/>
          <w:color w:val="auto"/>
          <w:sz w:val="32"/>
          <w:szCs w:val="32"/>
          <w:highlight w:val="none"/>
          <w:lang w:val="en-US" w:eastAsia="zh-CN"/>
        </w:rPr>
        <w:t>。</w:t>
      </w:r>
    </w:p>
    <w:p w14:paraId="542F687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eastAsia="仿宋_GB2312" w:cs="方正仿宋_GBK"/>
          <w:b w:val="0"/>
          <w:bCs w:val="0"/>
          <w:color w:val="auto"/>
          <w:sz w:val="32"/>
          <w:szCs w:val="32"/>
          <w:highlight w:val="none"/>
          <w:lang w:val="en-US" w:eastAsia="zh-CN"/>
        </w:rPr>
      </w:pPr>
      <w:r>
        <w:rPr>
          <w:rFonts w:hint="eastAsia" w:eastAsia="仿宋_GB2312" w:cs="方正仿宋_GBK"/>
          <w:b w:val="0"/>
          <w:bCs w:val="0"/>
          <w:color w:val="auto"/>
          <w:sz w:val="32"/>
          <w:szCs w:val="32"/>
          <w:highlight w:val="none"/>
          <w:lang w:val="en-US" w:eastAsia="zh-CN"/>
        </w:rPr>
        <w:t>畅通城乡生活服务渠道</w:t>
      </w:r>
      <w:r>
        <w:rPr>
          <w:rFonts w:hint="eastAsia" w:eastAsia="仿宋_GB2312" w:cs="方正仿宋_GBK"/>
          <w:b w:val="0"/>
          <w:bCs w:val="0"/>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深化县域商业体系建设，</w:t>
      </w:r>
      <w:r>
        <w:rPr>
          <w:rFonts w:hint="default" w:eastAsia="仿宋_GB2312" w:cs="方正仿宋_GBK"/>
          <w:b w:val="0"/>
          <w:bCs w:val="0"/>
          <w:color w:val="auto"/>
          <w:sz w:val="32"/>
          <w:szCs w:val="32"/>
          <w:highlight w:val="none"/>
          <w:lang w:val="en-US" w:eastAsia="zh-CN"/>
        </w:rPr>
        <w:t>推进县域综合商贸服务中心和物流配送中心、特色商贸小镇和乡镇商贸综合体建设，</w:t>
      </w:r>
      <w:r>
        <w:rPr>
          <w:rFonts w:hint="eastAsia" w:ascii="Times New Roman" w:hAnsi="Times New Roman" w:eastAsia="仿宋_GB2312" w:cs="方正仿宋_GBK"/>
          <w:b w:val="0"/>
          <w:bCs w:val="0"/>
          <w:color w:val="auto"/>
          <w:sz w:val="32"/>
          <w:szCs w:val="32"/>
          <w:highlight w:val="none"/>
          <w:lang w:val="en-US" w:eastAsia="zh-CN"/>
        </w:rPr>
        <w:t>加快“千集万店”改造，</w:t>
      </w:r>
      <w:r>
        <w:rPr>
          <w:rFonts w:hint="default" w:eastAsia="仿宋_GB2312" w:cs="方正仿宋_GBK"/>
          <w:b w:val="0"/>
          <w:bCs w:val="0"/>
          <w:color w:val="auto"/>
          <w:sz w:val="32"/>
          <w:szCs w:val="32"/>
          <w:highlight w:val="none"/>
          <w:lang w:val="en-US" w:eastAsia="zh-CN"/>
        </w:rPr>
        <w:t>提升农村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传统商业网点、农贸市场，建立完善以县城为中心、</w:t>
      </w:r>
      <w:r>
        <w:rPr>
          <w:rFonts w:hint="eastAsia" w:eastAsia="仿宋_GB2312" w:cs="方正仿宋_GBK"/>
          <w:b w:val="0"/>
          <w:bCs w:val="0"/>
          <w:color w:val="auto"/>
          <w:sz w:val="32"/>
          <w:szCs w:val="32"/>
          <w:highlight w:val="none"/>
          <w:lang w:val="en-US" w:eastAsia="zh-CN"/>
        </w:rPr>
        <w:t>苏木</w:t>
      </w:r>
      <w:r>
        <w:rPr>
          <w:rFonts w:hint="default" w:eastAsia="仿宋_GB2312" w:cs="方正仿宋_GBK"/>
          <w:b w:val="0"/>
          <w:bCs w:val="0"/>
          <w:color w:val="auto"/>
          <w:sz w:val="32"/>
          <w:szCs w:val="32"/>
          <w:highlight w:val="none"/>
          <w:lang w:val="en-US" w:eastAsia="zh-CN"/>
        </w:rPr>
        <w:t>乡镇为重点、</w:t>
      </w:r>
      <w:r>
        <w:rPr>
          <w:rFonts w:hint="eastAsia" w:eastAsia="仿宋_GB2312" w:cs="方正仿宋_GBK"/>
          <w:b w:val="0"/>
          <w:bCs w:val="0"/>
          <w:color w:val="auto"/>
          <w:sz w:val="32"/>
          <w:szCs w:val="32"/>
          <w:highlight w:val="none"/>
          <w:lang w:val="en-US" w:eastAsia="zh-CN"/>
        </w:rPr>
        <w:t>嘎查</w:t>
      </w:r>
      <w:r>
        <w:rPr>
          <w:rFonts w:hint="default" w:eastAsia="仿宋_GB2312" w:cs="方正仿宋_GBK"/>
          <w:b w:val="0"/>
          <w:bCs w:val="0"/>
          <w:color w:val="auto"/>
          <w:sz w:val="32"/>
          <w:szCs w:val="32"/>
          <w:highlight w:val="none"/>
          <w:lang w:val="en-US" w:eastAsia="zh-CN"/>
        </w:rPr>
        <w:t>村为基础的农村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商业体系。加快农村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快递物流基础设施建设，完善农村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电商快递站点，打通城乡快递物流配送</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最后一公里</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。建设农村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生活服务网络，推进便民服务惠及农村。</w:t>
      </w:r>
    </w:p>
    <w:p w14:paraId="7D87A3D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eastAsia="仿宋_GB2312" w:cs="方正仿宋_GBK"/>
          <w:b w:val="0"/>
          <w:bCs w:val="0"/>
          <w:color w:val="auto"/>
          <w:sz w:val="32"/>
          <w:szCs w:val="32"/>
          <w:highlight w:val="none"/>
          <w:lang w:val="en-US" w:eastAsia="zh-CN"/>
        </w:rPr>
      </w:pPr>
      <w:r>
        <w:rPr>
          <w:rFonts w:hint="eastAsia" w:eastAsia="仿宋_GB2312" w:cs="方正仿宋_GBK"/>
          <w:b w:val="0"/>
          <w:bCs w:val="0"/>
          <w:color w:val="auto"/>
          <w:sz w:val="32"/>
          <w:szCs w:val="32"/>
          <w:highlight w:val="none"/>
          <w:lang w:val="en-US" w:eastAsia="zh-CN"/>
        </w:rPr>
        <w:t>加强生活服务数字化赋能</w:t>
      </w:r>
      <w:r>
        <w:rPr>
          <w:rFonts w:hint="eastAsia" w:eastAsia="仿宋_GB2312" w:cs="方正仿宋_GBK"/>
          <w:b w:val="0"/>
          <w:bCs w:val="0"/>
          <w:sz w:val="32"/>
          <w:szCs w:val="32"/>
          <w:highlight w:val="none"/>
          <w:lang w:val="en-US" w:eastAsia="zh-CN"/>
        </w:rPr>
        <w:t>。</w:t>
      </w:r>
      <w:r>
        <w:rPr>
          <w:rFonts w:hint="eastAsia" w:eastAsia="仿宋_GB2312" w:cs="方正仿宋_GBK"/>
          <w:b w:val="0"/>
          <w:bCs w:val="0"/>
          <w:color w:val="auto"/>
          <w:sz w:val="32"/>
          <w:szCs w:val="32"/>
          <w:highlight w:val="none"/>
          <w:lang w:val="en-US" w:eastAsia="zh-CN"/>
        </w:rPr>
        <w:t>推动</w:t>
      </w:r>
      <w:r>
        <w:rPr>
          <w:rFonts w:hint="default" w:eastAsia="仿宋_GB2312" w:cs="方正仿宋_GBK"/>
          <w:b w:val="0"/>
          <w:bCs w:val="0"/>
          <w:color w:val="auto"/>
          <w:sz w:val="32"/>
          <w:szCs w:val="32"/>
          <w:highlight w:val="none"/>
          <w:lang w:val="en-US" w:eastAsia="zh-CN"/>
        </w:rPr>
        <w:t>公共服务</w:t>
      </w:r>
      <w:r>
        <w:rPr>
          <w:rFonts w:hint="eastAsia" w:eastAsia="仿宋_GB2312" w:cs="方正仿宋_GBK"/>
          <w:b w:val="0"/>
          <w:bCs w:val="0"/>
          <w:color w:val="auto"/>
          <w:sz w:val="32"/>
          <w:szCs w:val="32"/>
          <w:highlight w:val="none"/>
          <w:lang w:val="en-US" w:eastAsia="zh-CN"/>
        </w:rPr>
        <w:t>经营主体“</w:t>
      </w:r>
      <w:r>
        <w:rPr>
          <w:rFonts w:hint="default" w:eastAsia="仿宋_GB2312" w:cs="方正仿宋_GBK"/>
          <w:b w:val="0"/>
          <w:bCs w:val="0"/>
          <w:color w:val="auto"/>
          <w:sz w:val="32"/>
          <w:szCs w:val="32"/>
          <w:highlight w:val="none"/>
          <w:lang w:val="en-US" w:eastAsia="zh-CN"/>
        </w:rPr>
        <w:t>上云用数赋智</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拓展在线服务功能。完善电子商务公共服务体系，引导电子商务平台企业结合市场需求为</w:t>
      </w:r>
      <w:r>
        <w:rPr>
          <w:rFonts w:hint="eastAsia" w:eastAsia="仿宋_GB2312" w:cs="方正仿宋_GBK"/>
          <w:b w:val="0"/>
          <w:bCs w:val="0"/>
          <w:color w:val="auto"/>
          <w:sz w:val="32"/>
          <w:szCs w:val="32"/>
          <w:highlight w:val="none"/>
          <w:lang w:val="en-US" w:eastAsia="zh-CN"/>
        </w:rPr>
        <w:t>经营主体</w:t>
      </w:r>
      <w:r>
        <w:rPr>
          <w:rFonts w:hint="default" w:eastAsia="仿宋_GB2312" w:cs="方正仿宋_GBK"/>
          <w:b w:val="0"/>
          <w:bCs w:val="0"/>
          <w:color w:val="auto"/>
          <w:sz w:val="32"/>
          <w:szCs w:val="32"/>
          <w:highlight w:val="none"/>
          <w:lang w:val="en-US" w:eastAsia="zh-CN"/>
        </w:rPr>
        <w:t>提供信息、营销、配送等一站式、一体化服务。推动生活服务数据开放共享</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在保障数据安全和保护个人隐私前提下，分领域制定生活服务数据开放共享标准和目录清单，优先推进旅游、体育、家政等领域公共数据开放。建设面向生活性服务业重点应用场景的数字化、智能化基础设施，积极打造</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社区一刻钟便民生活服务平台</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，接入购物、餐饮、健身、文化、养老、家政等线上服务功能，为群众提供商品配送、信息查询、生活缴费、预约排队等线上便民惠民服务。</w:t>
      </w:r>
    </w:p>
    <w:p w14:paraId="019087E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34" w:name="_Toc5357"/>
      <w:bookmarkStart w:id="435" w:name="_Toc6978"/>
      <w:bookmarkStart w:id="436" w:name="_Toc3872"/>
      <w:bookmarkStart w:id="437" w:name="_Toc5910"/>
      <w:bookmarkStart w:id="438" w:name="_Toc30983"/>
      <w:bookmarkStart w:id="439" w:name="_Toc14603"/>
      <w:bookmarkStart w:id="440" w:name="_Toc25901"/>
      <w:bookmarkStart w:id="441" w:name="_Toc28295"/>
      <w:bookmarkStart w:id="442" w:name="_Toc19496"/>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color w:val="auto"/>
          <w:sz w:val="32"/>
          <w:szCs w:val="32"/>
          <w:highlight w:val="none"/>
          <w:lang w:val="en-US" w:eastAsia="zh-CN"/>
        </w:rPr>
        <w:t>推动文旅体农商深度融合发展</w:t>
      </w:r>
      <w:bookmarkEnd w:id="434"/>
      <w:bookmarkEnd w:id="435"/>
      <w:bookmarkEnd w:id="436"/>
      <w:bookmarkEnd w:id="437"/>
      <w:bookmarkEnd w:id="438"/>
      <w:bookmarkEnd w:id="439"/>
      <w:bookmarkEnd w:id="440"/>
      <w:bookmarkEnd w:id="441"/>
      <w:bookmarkEnd w:id="442"/>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highlight w:val="none"/>
          <w:lang w:val="en-US" w:eastAsia="zh-CN"/>
        </w:rPr>
        <w:t>坚持以文塑旅、以旅彰文，促进文化、旅游、体育、农业、商业在更广范围、更深层次、更高水平上融合发展。</w:t>
      </w:r>
    </w:p>
    <w:p w14:paraId="3BF5568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43" w:name="_Toc1734"/>
      <w:r>
        <w:rPr>
          <w:rFonts w:hint="eastAsia" w:ascii="Times New Roman" w:hAnsi="Times New Roman" w:eastAsia="仿宋_GB2312" w:cs="方正仿宋_GBK"/>
          <w:b w:val="0"/>
          <w:bCs w:val="0"/>
          <w:color w:val="auto"/>
          <w:highlight w:val="none"/>
          <w:lang w:val="en-US" w:eastAsia="zh-CN"/>
        </w:rPr>
        <w:t>打造特色</w:t>
      </w:r>
      <w:r>
        <w:rPr>
          <w:rFonts w:hint="eastAsia" w:eastAsia="仿宋_GB2312" w:cs="方正仿宋_GBK"/>
          <w:b w:val="0"/>
          <w:bCs w:val="0"/>
          <w:color w:val="auto"/>
          <w:highlight w:val="none"/>
          <w:lang w:val="en-US" w:eastAsia="zh-CN"/>
        </w:rPr>
        <w:t>文旅</w:t>
      </w:r>
      <w:r>
        <w:rPr>
          <w:rFonts w:hint="eastAsia" w:ascii="Times New Roman" w:hAnsi="Times New Roman" w:eastAsia="仿宋_GB2312" w:cs="方正仿宋_GBK"/>
          <w:b w:val="0"/>
          <w:bCs w:val="0"/>
          <w:color w:val="auto"/>
          <w:highlight w:val="none"/>
          <w:lang w:val="en-US" w:eastAsia="zh-CN"/>
        </w:rPr>
        <w:t>品牌和产品体系</w:t>
      </w:r>
      <w:bookmarkEnd w:id="443"/>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深度提炼赤峰特色文化精神标识和文化精髓，融入旅游产品开发全过程。打造特色品牌体系：打造“文明探源”产品系列，以红山文化、辽文化遗址为核心，推出高端研学旅行、考古体验游线路。打造“生态康养”产品系列，依托草原、森林、沙漠、温泉资源，开发避暑度假、温泉疗养、生态露营等产品</w:t>
      </w:r>
      <w:r>
        <w:rPr>
          <w:rFonts w:hint="eastAsia" w:eastAsia="仿宋_GB2312" w:cs="方正仿宋_GBK"/>
          <w:b w:val="0"/>
          <w:bCs w:val="0"/>
          <w:highlight w:val="none"/>
          <w:lang w:val="en-US" w:eastAsia="zh-CN"/>
        </w:rPr>
        <w:t>，发展西拉沐沦湖休闲旅游度假区“夏涉水”业态</w:t>
      </w:r>
      <w:r>
        <w:rPr>
          <w:rFonts w:hint="eastAsia" w:ascii="Times New Roman" w:hAnsi="Times New Roman" w:eastAsia="仿宋_GB2312" w:cs="方正仿宋_GBK"/>
          <w:b w:val="0"/>
          <w:bCs w:val="0"/>
          <w:highlight w:val="none"/>
          <w:lang w:val="en-US" w:eastAsia="zh-CN"/>
        </w:rPr>
        <w:t>。打造“民俗风情”产品系列，深度体验歌舞、美食、那达慕、婚俗等，发展乡村民宿。打造“红色记忆”产品系列，整合革命遗址、纪念设施，开发红色教育旅游线路。打造“运动休闲”产品系列，利用地形地貌发展自驾、徒步、骑行、滑雪、越野等户外运动。打造“都市休闲”产品系列，发展文博观展、创意街区、夜间经济、美食购物等都市业态。依托阿斯哈图石林、乌兰布统旅游区、克什克腾旗热水塘温泉旅游度假区、内蒙古阿鲁科尔沁草原游牧系统等高品质资源，争创国内知名旅游景区、国家级文化生态保护实验区等文旅品牌。加快玉龙沙湖5A级旅游景区创建步伐，推进西拉沐沦大峡谷、西拉沐沦湖生态休闲旅游度假区、宝门银沙海沙漠旅游度假区等一批旅游项目建成开放。</w:t>
      </w:r>
    </w:p>
    <w:p w14:paraId="27E3CCF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44" w:name="_Toc11952"/>
      <w:r>
        <w:rPr>
          <w:rFonts w:hint="eastAsia" w:eastAsia="仿宋_GB2312" w:cs="方正仿宋_GBK"/>
          <w:b w:val="0"/>
          <w:bCs w:val="0"/>
          <w:color w:val="auto"/>
          <w:highlight w:val="none"/>
          <w:lang w:val="en-US" w:eastAsia="zh-CN"/>
        </w:rPr>
        <w:t>打造</w:t>
      </w:r>
      <w:r>
        <w:rPr>
          <w:rFonts w:hint="eastAsia" w:ascii="Times New Roman" w:hAnsi="Times New Roman" w:eastAsia="仿宋_GB2312" w:cs="方正仿宋_GBK"/>
          <w:b w:val="0"/>
          <w:bCs w:val="0"/>
          <w:color w:val="auto"/>
          <w:highlight w:val="none"/>
          <w:lang w:val="en-US" w:eastAsia="zh-CN"/>
        </w:rPr>
        <w:t>文旅</w:t>
      </w:r>
      <w:r>
        <w:rPr>
          <w:rFonts w:hint="eastAsia" w:eastAsia="仿宋_GB2312" w:cs="方正仿宋_GBK"/>
          <w:b w:val="0"/>
          <w:bCs w:val="0"/>
          <w:color w:val="auto"/>
          <w:highlight w:val="none"/>
          <w:lang w:val="en-US" w:eastAsia="zh-CN"/>
        </w:rPr>
        <w:t>体</w:t>
      </w:r>
      <w:r>
        <w:rPr>
          <w:rFonts w:hint="eastAsia" w:ascii="Times New Roman" w:hAnsi="Times New Roman" w:eastAsia="仿宋_GB2312" w:cs="方正仿宋_GBK"/>
          <w:b w:val="0"/>
          <w:bCs w:val="0"/>
          <w:color w:val="auto"/>
          <w:highlight w:val="none"/>
          <w:lang w:val="en-US" w:eastAsia="zh-CN"/>
        </w:rPr>
        <w:t>产业融合发展</w:t>
      </w:r>
      <w:r>
        <w:rPr>
          <w:rFonts w:hint="eastAsia" w:eastAsia="仿宋_GB2312" w:cs="方正仿宋_GBK"/>
          <w:b w:val="0"/>
          <w:bCs w:val="0"/>
          <w:color w:val="auto"/>
          <w:highlight w:val="none"/>
          <w:lang w:val="en-US" w:eastAsia="zh-CN"/>
        </w:rPr>
        <w:t>高</w:t>
      </w:r>
      <w:r>
        <w:rPr>
          <w:rFonts w:hint="eastAsia" w:ascii="Times New Roman" w:hAnsi="Times New Roman" w:eastAsia="仿宋_GB2312" w:cs="方正仿宋_GBK"/>
          <w:b w:val="0"/>
          <w:bCs w:val="0"/>
          <w:color w:val="auto"/>
          <w:highlight w:val="none"/>
          <w:lang w:val="en-US" w:eastAsia="zh-CN"/>
        </w:rPr>
        <w:t>地</w:t>
      </w:r>
      <w:bookmarkEnd w:id="444"/>
      <w:r>
        <w:rPr>
          <w:rFonts w:hint="eastAsia" w:eastAsia="仿宋_GB2312" w:cs="方正仿宋_GBK"/>
          <w:b w:val="0"/>
          <w:bCs w:val="0"/>
          <w:highlight w:val="none"/>
          <w:lang w:val="en-US" w:eastAsia="zh-CN"/>
        </w:rPr>
        <w:t>。</w:t>
      </w:r>
      <w:r>
        <w:rPr>
          <w:rFonts w:hint="eastAsia" w:eastAsia="仿宋_GB2312" w:cs="方正仿宋_GBK"/>
          <w:b w:val="0"/>
          <w:bCs w:val="0"/>
          <w:color w:val="auto"/>
          <w:highlight w:val="none"/>
          <w:lang w:val="en-US" w:eastAsia="zh-CN"/>
        </w:rPr>
        <w:t>推动文化产业和旅游</w:t>
      </w:r>
      <w:r>
        <w:rPr>
          <w:rFonts w:hint="eastAsia" w:ascii="Times New Roman" w:hAnsi="Times New Roman" w:eastAsia="仿宋_GB2312" w:cs="方正仿宋_GBK"/>
          <w:b w:val="0"/>
          <w:bCs w:val="0"/>
          <w:color w:val="auto"/>
          <w:highlight w:val="none"/>
          <w:lang w:val="en-US" w:eastAsia="zh-CN"/>
        </w:rPr>
        <w:t>产业融合发展，将文旅</w:t>
      </w:r>
      <w:r>
        <w:rPr>
          <w:rFonts w:hint="eastAsia" w:ascii="Times New Roman" w:hAnsi="Times New Roman" w:eastAsia="仿宋_GB2312" w:cs="方正仿宋_GBK"/>
          <w:b w:val="0"/>
          <w:bCs w:val="0"/>
          <w:highlight w:val="none"/>
          <w:lang w:val="en-US" w:eastAsia="zh-CN"/>
        </w:rPr>
        <w:t>产业打造为驱动区域经济高质量发展的核心引擎和消费新增长极。充分发挥“文旅+百业”</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百业+文旅”带动作用，以“文旅体农商融合发展”行动为牵引，推进文旅与体育、农业、商业、交通等领域多维度、深层次跨界融合联动。打造标杆性融合载体，高标准规划建设一批集场景体验、消费集聚、文化展示功能于一体的文旅产业融合</w:t>
      </w:r>
      <w:r>
        <w:rPr>
          <w:rFonts w:hint="eastAsia" w:eastAsia="仿宋_GB2312" w:cs="方正仿宋_GBK"/>
          <w:b w:val="0"/>
          <w:bCs w:val="0"/>
          <w:highlight w:val="none"/>
          <w:lang w:val="en-US" w:eastAsia="zh-CN"/>
        </w:rPr>
        <w:t>发展</w:t>
      </w:r>
      <w:r>
        <w:rPr>
          <w:rFonts w:hint="eastAsia" w:ascii="Times New Roman" w:hAnsi="Times New Roman" w:eastAsia="仿宋_GB2312" w:cs="方正仿宋_GBK"/>
          <w:b w:val="0"/>
          <w:bCs w:val="0"/>
          <w:highlight w:val="none"/>
          <w:lang w:val="en-US" w:eastAsia="zh-CN"/>
        </w:rPr>
        <w:t>综合体和特色引领片区</w:t>
      </w:r>
      <w:r>
        <w:rPr>
          <w:rFonts w:hint="eastAsia" w:eastAsia="仿宋_GB2312" w:cs="方正仿宋_GBK"/>
          <w:b w:val="0"/>
          <w:bCs w:val="0"/>
          <w:highlight w:val="none"/>
          <w:lang w:val="en-US" w:eastAsia="zh-CN"/>
        </w:rPr>
        <w:t>，打造一批旅游休闲街区</w:t>
      </w:r>
      <w:r>
        <w:rPr>
          <w:rFonts w:hint="eastAsia" w:ascii="Times New Roman" w:hAnsi="Times New Roman" w:eastAsia="仿宋_GB2312" w:cs="方正仿宋_GBK"/>
          <w:b w:val="0"/>
          <w:bCs w:val="0"/>
          <w:highlight w:val="none"/>
          <w:lang w:val="en-US" w:eastAsia="zh-CN"/>
        </w:rPr>
        <w:t>。</w:t>
      </w:r>
      <w:r>
        <w:rPr>
          <w:rFonts w:hint="eastAsia" w:eastAsia="仿宋_GB2312" w:cs="方正仿宋_GBK"/>
          <w:b w:val="0"/>
          <w:bCs w:val="0"/>
          <w:highlight w:val="none"/>
          <w:lang w:val="en-US" w:eastAsia="zh-CN"/>
        </w:rPr>
        <w:t>大力发展乡村旅游，建设一批乡村旅游目的地。</w:t>
      </w:r>
      <w:r>
        <w:rPr>
          <w:rFonts w:hint="eastAsia" w:ascii="Times New Roman" w:hAnsi="Times New Roman" w:eastAsia="仿宋_GB2312" w:cs="方正仿宋_GBK"/>
          <w:b w:val="0"/>
          <w:bCs w:val="0"/>
          <w:highlight w:val="none"/>
          <w:lang w:val="en-US" w:eastAsia="zh-CN"/>
        </w:rPr>
        <w:t>创新融合产品与服务，积极培育共享经济、周末经济、灯光经济等新业态，重点打造观光农业、共享庄园、创意集市等新场景，大力发展“门店+流量”</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“工厂+旅游”</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“文化+商业”</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“气候＋康养”等新模式，推动文旅流量向消费增量高效转化。加强体育赛事引流，充分发挥品牌赛事集聚效应，</w:t>
      </w:r>
      <w:r>
        <w:rPr>
          <w:rFonts w:hint="eastAsia" w:eastAsia="仿宋_GB2312" w:cs="方正仿宋_GBK"/>
          <w:b w:val="0"/>
          <w:bCs w:val="0"/>
          <w:highlight w:val="none"/>
          <w:lang w:val="en-US" w:eastAsia="zh-CN"/>
        </w:rPr>
        <w:t>实现赛事创品牌、聚人气、促消费</w:t>
      </w:r>
      <w:r>
        <w:rPr>
          <w:rFonts w:hint="eastAsia" w:ascii="Times New Roman" w:hAnsi="Times New Roman" w:eastAsia="仿宋_GB2312" w:cs="方正仿宋_GBK"/>
          <w:b w:val="0"/>
          <w:bCs w:val="0"/>
          <w:highlight w:val="none"/>
          <w:lang w:val="en-US" w:eastAsia="zh-CN"/>
        </w:rPr>
        <w:t>。全面打响</w:t>
      </w:r>
      <w:r>
        <w:rPr>
          <w:rFonts w:hint="eastAsia" w:eastAsia="仿宋_GB2312" w:cs="方正仿宋_GBK"/>
          <w:b w:val="0"/>
          <w:bCs w:val="0"/>
          <w:highlight w:val="none"/>
          <w:lang w:val="en-US" w:eastAsia="zh-CN"/>
        </w:rPr>
        <w:t>“歌游内蒙古 龙乡赤峰行”、</w:t>
      </w:r>
      <w:r>
        <w:rPr>
          <w:rFonts w:hint="eastAsia" w:ascii="Times New Roman" w:hAnsi="Times New Roman" w:eastAsia="仿宋_GB2312" w:cs="方正仿宋_GBK"/>
          <w:b w:val="0"/>
          <w:bCs w:val="0"/>
          <w:highlight w:val="none"/>
          <w:lang w:val="en-US" w:eastAsia="zh-CN"/>
        </w:rPr>
        <w:t>“周末上哪疯，一站到赤峰”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“越野去赤峰，愉快又轻松”区域文旅品牌，办好</w:t>
      </w:r>
      <w:r>
        <w:rPr>
          <w:rFonts w:hint="eastAsia" w:eastAsia="仿宋_GB2312" w:cs="方正仿宋_GBK"/>
          <w:b w:val="0"/>
          <w:bCs w:val="0"/>
          <w:highlight w:val="none"/>
          <w:lang w:val="en-US" w:eastAsia="zh-CN"/>
        </w:rPr>
        <w:t>达里湖冬捕季、红山文化旅游节</w:t>
      </w:r>
      <w:r>
        <w:rPr>
          <w:rFonts w:hint="eastAsia" w:ascii="Times New Roman" w:hAnsi="Times New Roman" w:eastAsia="仿宋_GB2312" w:cs="方正仿宋_GBK"/>
          <w:b w:val="0"/>
          <w:bCs w:val="0"/>
          <w:highlight w:val="none"/>
          <w:lang w:val="en-US" w:eastAsia="zh-CN"/>
        </w:rPr>
        <w:t>等各类特色文旅活动。加强与直播购物平台深度合作，深化与新媒体、自媒体、融媒体广泛互动，策划一批现象级焦点、热点、爆点，以线上流量提升名气、打造人气。</w:t>
      </w:r>
    </w:p>
    <w:p w14:paraId="4549000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方正仿宋_GBK" w:cs="方正仿宋_GBK"/>
          <w:b w:val="0"/>
          <w:bCs w:val="0"/>
          <w:highlight w:val="none"/>
          <w:lang w:val="en-US" w:eastAsia="zh-CN"/>
        </w:rPr>
      </w:pPr>
      <w:bookmarkStart w:id="445" w:name="_Toc23539"/>
      <w:r>
        <w:rPr>
          <w:rFonts w:hint="eastAsia" w:ascii="Times New Roman" w:hAnsi="Times New Roman" w:eastAsia="仿宋_GB2312" w:cs="方正仿宋_GBK"/>
          <w:b w:val="0"/>
          <w:bCs w:val="0"/>
          <w:color w:val="auto"/>
          <w:highlight w:val="none"/>
          <w:lang w:val="en-US" w:eastAsia="zh-CN"/>
        </w:rPr>
        <w:t>完善旅游基础设施和服务体系</w:t>
      </w:r>
      <w:bookmarkEnd w:id="445"/>
      <w:r>
        <w:rPr>
          <w:rFonts w:hint="eastAsia" w:eastAsia="仿宋_GB2312" w:cs="方正仿宋_GBK"/>
          <w:b w:val="0"/>
          <w:bCs w:val="0"/>
          <w:highlight w:val="none"/>
          <w:lang w:val="en-US" w:eastAsia="zh-CN"/>
        </w:rPr>
        <w:t>。实施旅游景区“焕新行动”，</w:t>
      </w:r>
      <w:r>
        <w:rPr>
          <w:rFonts w:hint="eastAsia" w:ascii="Times New Roman" w:hAnsi="Times New Roman" w:eastAsia="仿宋_GB2312" w:cs="方正仿宋_GBK"/>
          <w:b w:val="0"/>
          <w:bCs w:val="0"/>
          <w:highlight w:val="none"/>
          <w:lang w:val="en-US" w:eastAsia="zh-CN"/>
        </w:rPr>
        <w:t>统筹发展面向文旅体农商融合的基础设施和服务体系。健全旅游公路网络，建设全长约1500公里、串联22个旅游景区的全市旅游大环线。优化停车场静态交通服务，建设一批旅游驿站、自驾车旅居车营地、露营地、旅游观景平台等设施。实施文旅场景网络信号覆盖提升工程，实现全市4A级以上景区、国家二级博物馆网络信号有效覆盖和应用体验提升，推动3A级以上旅游景区配备新能源充电设施。推进重点旅游风景道建设，完善旅游交通标志体系。提升机场、火车站、汽车站到主要景区的交通衔接水平。持续推进“畅游赤峰”智慧旅游微信小程序平台建设，实现智慧导览、预约、支付、投诉等功能全覆盖。规范旅游市场秩序，开展旅游服务质量提升行动，加强从业人员培训，打造诚信、文明、安全的旅游环境。建设一批高星级酒店、等级民宿，提升住宿接待能力。</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7E8F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8D1C325">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9 文旅体农商融合</w:t>
            </w:r>
            <w:r>
              <w:rPr>
                <w:rFonts w:hint="eastAsia" w:ascii="Times New Roman" w:hAnsi="Times New Roman" w:eastAsia="仿宋_GB2312" w:cs="Times New Roman"/>
                <w:b w:val="0"/>
                <w:bCs w:val="0"/>
                <w:sz w:val="24"/>
                <w:highlight w:val="none"/>
              </w:rPr>
              <w:t>重大工程</w:t>
            </w:r>
          </w:p>
        </w:tc>
      </w:tr>
      <w:tr w14:paraId="44A5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3650538">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文旅产业重点工程：大力发展全域、全季旅游，统筹旅游资源开发和互联互通，打造核心景区景点，创新设置旅游IP和打卡场景，加强文旅品牌包装策划营销，打造全国知名旅游目的地。</w:t>
            </w:r>
          </w:p>
        </w:tc>
      </w:tr>
    </w:tbl>
    <w:p w14:paraId="432ED8DF">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25F38AA5">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446" w:name="_Toc20773"/>
      <w:bookmarkStart w:id="447" w:name="_Toc3524"/>
      <w:bookmarkStart w:id="448" w:name="_Toc27133"/>
      <w:bookmarkStart w:id="449" w:name="_Toc8909"/>
      <w:bookmarkStart w:id="450" w:name="_Toc24013"/>
      <w:bookmarkStart w:id="451" w:name="_Toc4859"/>
      <w:bookmarkStart w:id="452" w:name="_Toc4597"/>
      <w:bookmarkStart w:id="453" w:name="_Toc2052"/>
      <w:bookmarkStart w:id="454" w:name="_Toc16981"/>
      <w:bookmarkStart w:id="455" w:name="_Toc20657"/>
      <w:bookmarkStart w:id="456" w:name="_Toc1876"/>
      <w:bookmarkStart w:id="457" w:name="_Toc17527"/>
      <w:bookmarkStart w:id="458" w:name="_Toc18499"/>
      <w:bookmarkStart w:id="459" w:name="_Toc29687"/>
      <w:r>
        <w:rPr>
          <w:rFonts w:hint="eastAsia" w:ascii="黑体" w:hAnsi="黑体" w:eastAsia="黑体" w:cs="黑体"/>
          <w:b w:val="0"/>
          <w:bCs w:val="0"/>
          <w:sz w:val="32"/>
          <w:szCs w:val="32"/>
          <w:highlight w:val="none"/>
          <w:lang w:val="en-US" w:eastAsia="zh-CN"/>
        </w:rPr>
        <w:t>深入推进新型城镇化建设，推动城乡融合发展</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59EA9416">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bookmarkStart w:id="460" w:name="OLE_LINK86"/>
      <w:bookmarkStart w:id="461" w:name="OLE_LINK87"/>
      <w:r>
        <w:rPr>
          <w:rFonts w:hint="eastAsia" w:ascii="Times New Roman" w:hAnsi="Times New Roman" w:eastAsia="仿宋_GB2312" w:cs="方正仿宋_GBK"/>
          <w:b w:val="0"/>
          <w:bCs w:val="0"/>
          <w:color w:val="auto"/>
          <w:highlight w:val="none"/>
          <w:lang w:val="en-US" w:eastAsia="zh-CN"/>
        </w:rPr>
        <w:t>深入推进以人为本的新型城镇化，</w:t>
      </w:r>
      <w:bookmarkEnd w:id="460"/>
      <w:bookmarkEnd w:id="461"/>
      <w:r>
        <w:rPr>
          <w:rFonts w:hint="eastAsia" w:ascii="Times New Roman" w:hAnsi="Times New Roman" w:eastAsia="仿宋_GB2312" w:cs="方正仿宋_GBK"/>
          <w:b w:val="0"/>
          <w:bCs w:val="0"/>
          <w:color w:val="auto"/>
          <w:highlight w:val="none"/>
        </w:rPr>
        <w:t>扎实推进以县城为重要载体的新型城镇化</w:t>
      </w:r>
      <w:r>
        <w:rPr>
          <w:rFonts w:hint="eastAsia"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，增强城市交通枢纽、产业辐射、服务功能</w:t>
      </w:r>
      <w:r>
        <w:rPr>
          <w:rFonts w:hint="eastAsia" w:eastAsia="仿宋_GB2312" w:cs="方正仿宋_GBK"/>
          <w:b w:val="0"/>
          <w:bCs w:val="0"/>
          <w:color w:val="auto"/>
          <w:highlight w:val="none"/>
          <w:lang w:val="en-US" w:eastAsia="zh-CN"/>
        </w:rPr>
        <w:t>等</w:t>
      </w:r>
      <w:r>
        <w:rPr>
          <w:rFonts w:hint="eastAsia" w:ascii="Times New Roman" w:hAnsi="Times New Roman" w:eastAsia="仿宋_GB2312" w:cs="方正仿宋_GBK"/>
          <w:b w:val="0"/>
          <w:bCs w:val="0"/>
          <w:color w:val="auto"/>
          <w:highlight w:val="none"/>
        </w:rPr>
        <w:t>核心功能，提升城市规模</w:t>
      </w:r>
      <w:r>
        <w:rPr>
          <w:rFonts w:hint="eastAsia"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rPr>
        <w:t>承载能力</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建设创新、宜居、美丽、韧性、文明、智慧的现代化城市。</w:t>
      </w:r>
    </w:p>
    <w:p w14:paraId="3A7C0CB0">
      <w:pPr>
        <w:keepNext w:val="0"/>
        <w:keepLines w:val="0"/>
        <w:pageBreakBefore w:val="0"/>
        <w:widowControl/>
        <w:numPr>
          <w:ilvl w:val="0"/>
          <w:numId w:val="6"/>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462" w:name="_Toc17705"/>
      <w:bookmarkStart w:id="463" w:name="_Toc31687"/>
      <w:bookmarkStart w:id="464" w:name="_Toc23774"/>
      <w:bookmarkStart w:id="465" w:name="_Toc3359"/>
      <w:bookmarkStart w:id="466" w:name="_Toc21272"/>
      <w:bookmarkStart w:id="467" w:name="_Toc30777"/>
      <w:bookmarkStart w:id="468" w:name="_Toc22584"/>
      <w:bookmarkStart w:id="469" w:name="_Toc4535"/>
      <w:bookmarkStart w:id="470" w:name="_Toc13065"/>
      <w:bookmarkStart w:id="471" w:name="_Toc2457"/>
      <w:bookmarkStart w:id="472" w:name="_Toc24846"/>
      <w:bookmarkStart w:id="473" w:name="_Toc20328"/>
      <w:bookmarkStart w:id="474" w:name="_Toc9496"/>
      <w:bookmarkStart w:id="475" w:name="_Toc1086"/>
      <w:r>
        <w:rPr>
          <w:rFonts w:hint="eastAsia" w:ascii="楷体_GB2312" w:hAnsi="楷体_GB2312" w:eastAsia="楷体_GB2312" w:cs="楷体_GB2312"/>
          <w:b w:val="0"/>
          <w:bCs w:val="0"/>
          <w:color w:val="auto"/>
          <w:sz w:val="32"/>
          <w:szCs w:val="40"/>
          <w:highlight w:val="none"/>
          <w:lang w:val="en-US" w:eastAsia="zh-CN"/>
        </w:rPr>
        <w:t>优化国土空间体系</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49FC698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szCs w:val="36"/>
          <w:highlight w:val="none"/>
          <w:lang w:val="en-US" w:eastAsia="zh-CN"/>
        </w:rPr>
        <w:t>深入实施主体功能区战略，健全“多规合一”国土空间规划体系，形成主</w:t>
      </w:r>
      <w:r>
        <w:rPr>
          <w:rFonts w:hint="eastAsia" w:ascii="Times New Roman" w:hAnsi="Times New Roman" w:eastAsia="仿宋_GB2312" w:cs="方正仿宋_GBK"/>
          <w:b w:val="0"/>
          <w:bCs w:val="0"/>
          <w:highlight w:val="none"/>
          <w:lang w:val="en-US" w:eastAsia="zh-CN"/>
        </w:rPr>
        <w:t>体功能突出、优势互补、高质量发展的国土空间开发保护格局。</w:t>
      </w:r>
    </w:p>
    <w:p w14:paraId="0D293CF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76" w:name="_Toc32623"/>
      <w:r>
        <w:rPr>
          <w:rFonts w:hint="eastAsia" w:ascii="Times New Roman" w:hAnsi="Times New Roman" w:eastAsia="仿宋_GB2312" w:cs="方正仿宋_GBK"/>
          <w:b w:val="0"/>
          <w:bCs w:val="0"/>
          <w:highlight w:val="none"/>
          <w:lang w:val="en-US" w:eastAsia="zh-CN"/>
        </w:rPr>
        <w:t>强化国土空间管控</w:t>
      </w:r>
      <w:bookmarkEnd w:id="476"/>
      <w:r>
        <w:rPr>
          <w:rFonts w:hint="eastAsia" w:ascii="Times New Roman" w:hAnsi="Times New Roman" w:eastAsia="仿宋_GB2312" w:cs="方正仿宋_GBK"/>
          <w:b w:val="0"/>
          <w:bCs w:val="0"/>
          <w:highlight w:val="none"/>
          <w:lang w:val="en-US" w:eastAsia="zh-CN"/>
        </w:rPr>
        <w:t>。严格“三区</w:t>
      </w:r>
      <w:r>
        <w:rPr>
          <w:rFonts w:hint="eastAsia" w:ascii="Times New Roman" w:hAnsi="Times New Roman" w:eastAsia="仿宋_GB2312" w:cs="方正仿宋_GBK"/>
          <w:b w:val="0"/>
          <w:bCs w:val="0"/>
          <w:szCs w:val="36"/>
          <w:highlight w:val="none"/>
          <w:lang w:val="en-US" w:eastAsia="zh-CN"/>
        </w:rPr>
        <w:t>三线”管控，到2030年，全市城镇开发边界增量预留面积</w:t>
      </w:r>
      <w:r>
        <w:rPr>
          <w:rFonts w:hint="eastAsia" w:ascii="Times New Roman" w:hAnsi="Times New Roman" w:eastAsia="仿宋_GB2312" w:cs="方正仿宋_GBK"/>
          <w:b w:val="0"/>
          <w:bCs w:val="0"/>
          <w:szCs w:val="36"/>
          <w:highlight w:val="none"/>
          <w:lang w:eastAsia="zh-CN"/>
        </w:rPr>
        <w:t>不低于</w:t>
      </w:r>
      <w:r>
        <w:rPr>
          <w:rFonts w:hint="eastAsia" w:ascii="Times New Roman" w:hAnsi="Times New Roman" w:eastAsia="仿宋_GB2312" w:cs="方正仿宋_GBK"/>
          <w:b w:val="0"/>
          <w:bCs w:val="0"/>
          <w:szCs w:val="36"/>
          <w:highlight w:val="none"/>
          <w:lang w:val="en-US" w:eastAsia="zh-CN"/>
        </w:rPr>
        <w:t>2459.59公顷，</w:t>
      </w:r>
      <w:r>
        <w:rPr>
          <w:rFonts w:hint="eastAsia" w:ascii="Times New Roman" w:hAnsi="Times New Roman" w:eastAsia="仿宋_GB2312" w:cs="方正仿宋_GBK"/>
          <w:b w:val="0"/>
          <w:bCs w:val="0"/>
          <w:szCs w:val="36"/>
          <w:highlight w:val="none"/>
          <w:lang w:eastAsia="zh-CN"/>
        </w:rPr>
        <w:t>耕地保有量不低于2722.1552万亩，其中永久基本农田保护面积不低于2277.9260万亩；生态保护红线面积不低于2.5847万平方千米。</w:t>
      </w:r>
      <w:r>
        <w:rPr>
          <w:rFonts w:hint="eastAsia" w:ascii="Times New Roman" w:hAnsi="Times New Roman" w:eastAsia="仿宋_GB2312" w:cs="方正仿宋_GBK"/>
          <w:b w:val="0"/>
          <w:bCs w:val="0"/>
          <w:szCs w:val="36"/>
          <w:highlight w:val="none"/>
          <w:lang w:val="en-US" w:eastAsia="zh-CN"/>
        </w:rPr>
        <w:t>完成国土空间总体规划中期评估。进一步优化国土空间布局。开展国土空间规划动态维护更新和五年实施评估，优化调整“三条控制线”，统筹农用地、自然保护地、城镇空间布局，提升重大项目落地空间支持力和要素保障力</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val="en-US" w:eastAsia="zh-CN"/>
        </w:rPr>
        <w:t>持续推进“多规合一”。以国土空间总体规划为基础，建设“一张图”信息管理平台，整合各类详细规划、专项规划，形成全市坐标一致、全域覆盖、上下贯通、权威统一的“一张图”数据库，实现规划编制、审批、实施、监督的</w:t>
      </w:r>
      <w:r>
        <w:rPr>
          <w:rFonts w:hint="eastAsia" w:ascii="Times New Roman" w:hAnsi="Times New Roman" w:eastAsia="仿宋_GB2312" w:cs="方正仿宋_GBK"/>
          <w:b w:val="0"/>
          <w:bCs w:val="0"/>
          <w:highlight w:val="none"/>
          <w:lang w:val="en-US" w:eastAsia="zh-CN"/>
        </w:rPr>
        <w:t>全流程监管。</w:t>
      </w:r>
    </w:p>
    <w:p w14:paraId="1DABF98A">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477" w:name="_Toc6719"/>
      <w:r>
        <w:rPr>
          <w:rFonts w:hint="eastAsia" w:ascii="Times New Roman" w:hAnsi="Times New Roman" w:eastAsia="仿宋_GB2312" w:cs="方正仿宋_GBK"/>
          <w:b w:val="0"/>
          <w:bCs w:val="0"/>
          <w:highlight w:val="none"/>
          <w:lang w:val="en-US" w:eastAsia="zh-CN"/>
        </w:rPr>
        <w:t>优化城市空间布局</w:t>
      </w:r>
      <w:bookmarkEnd w:id="477"/>
      <w:r>
        <w:rPr>
          <w:rFonts w:hint="eastAsia" w:ascii="Times New Roman" w:hAnsi="Times New Roman" w:eastAsia="仿宋_GB2312" w:cs="方正仿宋_GBK"/>
          <w:b w:val="0"/>
          <w:bCs w:val="0"/>
          <w:highlight w:val="none"/>
          <w:lang w:val="en-US" w:eastAsia="zh-CN"/>
        </w:rPr>
        <w:t>。坚持</w:t>
      </w:r>
      <w:r>
        <w:rPr>
          <w:rFonts w:hint="eastAsia" w:ascii="Times New Roman" w:hAnsi="Times New Roman" w:eastAsia="仿宋_GB2312" w:cs="方正仿宋_GBK"/>
          <w:b w:val="0"/>
          <w:bCs w:val="0"/>
          <w:color w:val="auto"/>
          <w:highlight w:val="none"/>
        </w:rPr>
        <w:t>规划引领、集约高效、特色彰显的原则，推动城市发展由大规模增量扩张向存量提质增效为主转变，进一步优化市域国土空间开发保护格局，按照组团布局特点，落实国土空间总体规划“一主一副、一带多园、山水交融”格局，优化中心城区内部功能布局和用地结构：持续推动主城区高质量发展，聚焦城区高速公路环内发展空间，重点增强城市核心功能，依托主城区行政、商业、公共服务、交通枢纽等集聚优势，集中布局市级行政办公、文化体育、教育科研、金融商务等核心功能，深化高铁片区功能布局研究，打造现代化城市中心区。针对高速公路环外发展区域，北部商贸物流园区域重点推动商贸物流发展，探索布局文旅体</w:t>
      </w:r>
      <w:r>
        <w:rPr>
          <w:rFonts w:hint="eastAsia" w:eastAsia="仿宋_GB2312" w:cs="方正仿宋_GBK"/>
          <w:b w:val="0"/>
          <w:bCs w:val="0"/>
          <w:color w:val="auto"/>
          <w:highlight w:val="none"/>
          <w:lang w:val="en-US" w:eastAsia="zh-CN"/>
        </w:rPr>
        <w:t>农</w:t>
      </w:r>
      <w:r>
        <w:rPr>
          <w:rFonts w:hint="eastAsia" w:ascii="Times New Roman" w:hAnsi="Times New Roman" w:eastAsia="仿宋_GB2312" w:cs="方正仿宋_GBK"/>
          <w:b w:val="0"/>
          <w:bCs w:val="0"/>
          <w:color w:val="auto"/>
          <w:highlight w:val="none"/>
        </w:rPr>
        <w:t>商融合项目，依托公路枢纽等交通优势，布局大型专业市场、现代物流园区、电商产业园、会展中心等设施，打造现代物流商贸服务集中区；南部和美组团区域，结合空港优势与山水资源基础，重点发展休闲娱乐、养老养生等特色</w:t>
      </w:r>
      <w:r>
        <w:rPr>
          <w:rFonts w:hint="eastAsia"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布局航空物流、专业市场、商贸物流、都市加工等产业业态；南部南山南区域依托特色山水景观资源，发展生态居住休闲度假、观光农业、文化体验、户外运动等业态，建设复合型产业集聚区。促进山水交融生态空间高水平建设与复合利用，依托红山、南山、西山、麒麟山、蜘蛛山等山体生态景观和锡泊河、半支箭河、阴河、英金河、昭苏河等水系景观，整合农业资源、文化资源和旅游资源，建设更多吃住行、游购娱、商养学有机组合的复合型公共活动与文旅产业特色发展区，打造中心城区生态休闲区和蓝绿多彩网络。推动东部产业带“一带多园”统筹高效发展：重点推进产城融合，重点建设赤峰高新区、赤峰红山</w:t>
      </w:r>
      <w:r>
        <w:rPr>
          <w:rFonts w:hint="eastAsia" w:eastAsia="仿宋_GB2312" w:cs="方正仿宋_GBK"/>
          <w:b w:val="0"/>
          <w:bCs w:val="0"/>
          <w:color w:val="auto"/>
          <w:highlight w:val="none"/>
          <w:lang w:val="en-US" w:eastAsia="zh-CN"/>
        </w:rPr>
        <w:t>产业园</w:t>
      </w:r>
      <w:r>
        <w:rPr>
          <w:rFonts w:hint="eastAsia" w:ascii="Times New Roman" w:hAnsi="Times New Roman" w:eastAsia="仿宋_GB2312" w:cs="方正仿宋_GBK"/>
          <w:b w:val="0"/>
          <w:bCs w:val="0"/>
          <w:color w:val="auto"/>
          <w:highlight w:val="none"/>
        </w:rPr>
        <w:t>、赤峰松山工业园、赤峰元宝山工业园，推动各园区合理分工、统一规划、一体化发展，并与主城区交通市政基础设施互联互通，与城镇配套服务统一规划，打造功能复合、绿色集约的现代化产业集中区。</w:t>
      </w:r>
    </w:p>
    <w:p w14:paraId="4823F6F7">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478" w:name="_Toc30719"/>
      <w:bookmarkStart w:id="479" w:name="_Toc25377"/>
      <w:bookmarkStart w:id="480" w:name="_Toc150"/>
      <w:bookmarkStart w:id="481" w:name="_Toc31657"/>
      <w:bookmarkStart w:id="482" w:name="_Toc9109"/>
      <w:bookmarkStart w:id="483" w:name="_Toc24092"/>
      <w:bookmarkStart w:id="484" w:name="_Toc23074"/>
      <w:bookmarkStart w:id="485" w:name="_Toc27626"/>
      <w:bookmarkStart w:id="486" w:name="_Toc16936"/>
      <w:bookmarkStart w:id="487" w:name="_Toc19770"/>
      <w:bookmarkStart w:id="488" w:name="_Toc6724"/>
      <w:bookmarkStart w:id="489" w:name="_Toc24375"/>
      <w:bookmarkStart w:id="490" w:name="_Toc3588"/>
      <w:bookmarkStart w:id="491" w:name="_Toc1478"/>
      <w:r>
        <w:rPr>
          <w:rFonts w:hint="eastAsia" w:ascii="楷体_GB2312" w:hAnsi="楷体_GB2312" w:eastAsia="楷体_GB2312" w:cs="楷体_GB2312"/>
          <w:b w:val="0"/>
          <w:bCs w:val="0"/>
          <w:color w:val="auto"/>
          <w:sz w:val="32"/>
          <w:szCs w:val="40"/>
          <w:highlight w:val="none"/>
          <w:lang w:val="en-US" w:eastAsia="zh-CN"/>
        </w:rPr>
        <w:t>提升中心城市能级</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20EEF606">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坚持高起点规划、高标准建设、高水平管理，全面提升</w:t>
      </w:r>
      <w:r>
        <w:rPr>
          <w:rFonts w:hint="eastAsia" w:ascii="Times New Roman" w:hAnsi="Times New Roman" w:eastAsia="仿宋_GB2312" w:cs="方正仿宋_GBK"/>
          <w:b w:val="0"/>
          <w:bCs w:val="0"/>
          <w:color w:val="auto"/>
          <w:highlight w:val="none"/>
          <w:lang w:val="en-US" w:eastAsia="zh-CN"/>
        </w:rPr>
        <w:t>城市</w:t>
      </w:r>
      <w:r>
        <w:rPr>
          <w:rFonts w:hint="eastAsia" w:ascii="Times New Roman" w:hAnsi="Times New Roman" w:eastAsia="仿宋_GB2312" w:cs="方正仿宋_GBK"/>
          <w:b w:val="0"/>
          <w:bCs w:val="0"/>
          <w:color w:val="auto"/>
          <w:highlight w:val="none"/>
        </w:rPr>
        <w:t>综合承载力、辐射带动力和核心竞争力，增强对人才、资本、技术等要素集聚能力。</w:t>
      </w:r>
    </w:p>
    <w:p w14:paraId="0EBDA4C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方正仿宋_GBK" w:cs="方正仿宋_GBK"/>
          <w:b w:val="0"/>
          <w:bCs w:val="0"/>
          <w:color w:val="auto"/>
          <w:highlight w:val="none"/>
          <w:lang w:val="en-US" w:eastAsia="zh-CN"/>
        </w:rPr>
      </w:pPr>
      <w:bookmarkStart w:id="492" w:name="_Toc20198"/>
      <w:r>
        <w:rPr>
          <w:rFonts w:hint="eastAsia" w:ascii="Times New Roman" w:hAnsi="Times New Roman" w:eastAsia="仿宋_GB2312" w:cs="方正仿宋_GBK"/>
          <w:b w:val="0"/>
          <w:bCs w:val="0"/>
          <w:color w:val="auto"/>
          <w:highlight w:val="none"/>
          <w:lang w:val="en-US" w:eastAsia="zh-CN"/>
        </w:rPr>
        <w:t>加快推进</w:t>
      </w:r>
      <w:r>
        <w:rPr>
          <w:rFonts w:hint="eastAsia" w:ascii="Times New Roman" w:hAnsi="Times New Roman" w:eastAsia="仿宋_GB2312" w:cs="方正仿宋_GBK"/>
          <w:b w:val="0"/>
          <w:bCs w:val="0"/>
          <w:color w:val="auto"/>
          <w:highlight w:val="none"/>
        </w:rPr>
        <w:t>城市更新</w:t>
      </w:r>
      <w:bookmarkEnd w:id="492"/>
      <w:r>
        <w:rPr>
          <w:rFonts w:hint="eastAsia" w:eastAsia="仿宋_GB2312" w:cs="方正仿宋_GBK"/>
          <w:b w:val="0"/>
          <w:bCs w:val="0"/>
          <w:color w:val="auto"/>
          <w:highlight w:val="none"/>
          <w:lang w:eastAsia="zh-CN"/>
        </w:rPr>
        <w:t>。</w:t>
      </w:r>
      <w:r>
        <w:rPr>
          <w:rFonts w:hint="eastAsia" w:ascii="Times New Roman" w:hAnsi="Times New Roman" w:eastAsia="仿宋_GB2312" w:cs="仿宋_GB2312"/>
          <w:b w:val="0"/>
          <w:bCs w:val="0"/>
          <w:sz w:val="32"/>
          <w:szCs w:val="32"/>
          <w:highlight w:val="none"/>
        </w:rPr>
        <w:t>坚持城市内涵式发展，大力实施城市更新，建设创新、宜居、美丽、韧性、文明、智慧的现代化城市。</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老旧小区改造</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加强改建管衔接，持续完善改造后老旧小区管理机制，建设完整社区。大力改造城中村和城市危旧房，着力改善群众居住条件</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完善城市路网</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加快重点结构性骨干道路建设，打通“断头路”，</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中心城区形成快速路、主次干路和支路搭配合理的道路系统。完善城市给排水设施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谋划实施公共供水管网漏损治理项目、水质提升项目、工业用水互联互通等项目，更新城市供水管网，积极申报国家节水型城市。持续推进雨污分流改造，提升雨污水收集效能。</w:t>
      </w:r>
      <w:r>
        <w:rPr>
          <w:rFonts w:hint="eastAsia" w:ascii="Times New Roman" w:hAnsi="Times New Roman" w:eastAsia="仿宋_GB2312" w:cs="方正仿宋_GBK"/>
          <w:b w:val="0"/>
          <w:bCs w:val="0"/>
          <w:color w:val="auto"/>
          <w:highlight w:val="none"/>
          <w:lang w:val="en-US" w:eastAsia="zh-CN"/>
        </w:rPr>
        <w:t>持续</w:t>
      </w:r>
      <w:r>
        <w:rPr>
          <w:rFonts w:hint="eastAsia" w:ascii="Times New Roman" w:hAnsi="Times New Roman" w:eastAsia="仿宋_GB2312" w:cs="方正仿宋_GBK"/>
          <w:b w:val="0"/>
          <w:bCs w:val="0"/>
          <w:color w:val="auto"/>
          <w:highlight w:val="none"/>
        </w:rPr>
        <w:t>实施“温暖工程”</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提升供热保障能力；持续推进智慧化供热工作，探索“精准供热、按需供热”新模式。持续提升通讯、供电保障能力</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着力提升医院、高校、住宅小区、地下停车场、电梯间等重点区域5G网络覆盖率，进一步加大城市电网基础设施建设力度，优化充电桩布局。加强</w:t>
      </w:r>
      <w:r>
        <w:rPr>
          <w:rFonts w:hint="eastAsia" w:ascii="Times New Roman" w:hAnsi="Times New Roman" w:eastAsia="仿宋_GB2312" w:cs="方正仿宋_GBK"/>
          <w:b w:val="0"/>
          <w:bCs w:val="0"/>
          <w:color w:val="auto"/>
          <w:highlight w:val="none"/>
          <w:lang w:val="en-US" w:eastAsia="zh-CN"/>
        </w:rPr>
        <w:t>老城区</w:t>
      </w:r>
      <w:r>
        <w:rPr>
          <w:rFonts w:hint="eastAsia" w:ascii="Times New Roman" w:hAnsi="Times New Roman" w:eastAsia="仿宋_GB2312" w:cs="方正仿宋_GBK"/>
          <w:b w:val="0"/>
          <w:bCs w:val="0"/>
          <w:color w:val="auto"/>
          <w:highlight w:val="none"/>
        </w:rPr>
        <w:t>历史文化遗产、历史建筑、</w:t>
      </w:r>
      <w:r>
        <w:rPr>
          <w:rFonts w:hint="eastAsia" w:ascii="Times New Roman" w:hAnsi="Times New Roman" w:eastAsia="仿宋_GB2312" w:cs="方正仿宋_GBK"/>
          <w:b w:val="0"/>
          <w:bCs w:val="0"/>
          <w:color w:val="auto"/>
          <w:highlight w:val="none"/>
          <w:lang w:val="en-US" w:eastAsia="zh-CN"/>
        </w:rPr>
        <w:t>历史街区、</w:t>
      </w:r>
      <w:r>
        <w:rPr>
          <w:rFonts w:hint="eastAsia" w:ascii="Times New Roman" w:hAnsi="Times New Roman" w:eastAsia="仿宋_GB2312" w:cs="方正仿宋_GBK"/>
          <w:b w:val="0"/>
          <w:bCs w:val="0"/>
          <w:color w:val="auto"/>
          <w:highlight w:val="none"/>
        </w:rPr>
        <w:t>工业遗产的保护利用，延续城市历史文脉</w:t>
      </w:r>
      <w:r>
        <w:rPr>
          <w:rFonts w:hint="eastAsia" w:ascii="Times New Roman" w:hAnsi="Times New Roman" w:eastAsia="仿宋_GB2312" w:cs="方正仿宋_GBK"/>
          <w:b w:val="0"/>
          <w:bCs w:val="0"/>
          <w:color w:val="auto"/>
          <w:highlight w:val="none"/>
          <w:lang w:val="en-US" w:eastAsia="zh-CN"/>
        </w:rPr>
        <w:t>。推动房地产高质量发展，完善“人、房、地、钱”要素联动机制，合理控制新增房地产用地供应，</w:t>
      </w:r>
      <w:r>
        <w:rPr>
          <w:rFonts w:hint="eastAsia"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lang w:val="en-US" w:eastAsia="zh-CN"/>
        </w:rPr>
        <w:t>安全、舒适、绿色、智慧的“好房子”。持续推进</w:t>
      </w:r>
      <w:r>
        <w:rPr>
          <w:rFonts w:hint="eastAsia" w:eastAsia="仿宋_GB2312" w:cs="方正仿宋_GBK"/>
          <w:b w:val="0"/>
          <w:bCs w:val="0"/>
          <w:color w:val="auto"/>
          <w:highlight w:val="none"/>
          <w:lang w:val="en-US" w:eastAsia="zh-CN"/>
        </w:rPr>
        <w:t>住房</w:t>
      </w:r>
      <w:r>
        <w:rPr>
          <w:rFonts w:hint="eastAsia" w:ascii="Times New Roman" w:hAnsi="Times New Roman" w:eastAsia="仿宋_GB2312" w:cs="方正仿宋_GBK"/>
          <w:b w:val="0"/>
          <w:bCs w:val="0"/>
          <w:color w:val="auto"/>
          <w:highlight w:val="none"/>
          <w:lang w:val="en-US" w:eastAsia="zh-CN"/>
        </w:rPr>
        <w:t>供给侧结构性改革，更好满足刚性和改善性住房需求，推动收购存量商品房用作保障性住房。</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3FDA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0229B79">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10 城市更新</w:t>
            </w:r>
            <w:r>
              <w:rPr>
                <w:rFonts w:hint="eastAsia" w:ascii="Times New Roman" w:hAnsi="Times New Roman" w:eastAsia="仿宋_GB2312" w:cs="Times New Roman"/>
                <w:b w:val="0"/>
                <w:bCs w:val="0"/>
                <w:sz w:val="24"/>
                <w:highlight w:val="none"/>
              </w:rPr>
              <w:t>重大工程</w:t>
            </w:r>
          </w:p>
        </w:tc>
      </w:tr>
      <w:tr w14:paraId="4F19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7998AB4">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住房更新重点工程：重点推进各旗县区</w:t>
            </w:r>
            <w:r>
              <w:rPr>
                <w:rFonts w:hint="eastAsia" w:ascii="Times New Roman" w:hAnsi="Times New Roman" w:eastAsia="仿宋_GB2312" w:cs="Times New Roman"/>
                <w:b w:val="0"/>
                <w:bCs w:val="0"/>
                <w:highlight w:val="none"/>
              </w:rPr>
              <w:t>老旧小区改造配套基础设施</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喀喇沁旗老旧小区既有建筑节能改造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翁牛特旗城镇老旧小区改造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含市政管网配套工程</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红山区城市危旧房改造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宁城县市政管网及庭院管网供热改造</w:t>
            </w:r>
            <w:r>
              <w:rPr>
                <w:rFonts w:hint="eastAsia" w:ascii="Times New Roman" w:hAnsi="Times New Roman" w:eastAsia="仿宋_GB2312" w:cs="Times New Roman"/>
                <w:b w:val="0"/>
                <w:bCs w:val="0"/>
                <w:highlight w:val="none"/>
                <w:lang w:val="en-US" w:eastAsia="zh-CN"/>
              </w:rPr>
              <w:t>等工程项目。</w:t>
            </w:r>
          </w:p>
          <w:p w14:paraId="0AFEA78A">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城市路网重点工程：重点推进松山区、红山区、元宝山区等中心城区城市路网和其他旗县城关镇城市路网工程项目，加快推进赤峰市中环路快速化改造工程二期。</w:t>
            </w:r>
          </w:p>
          <w:p w14:paraId="36572884">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地下管网重点工程：支持赤峰市中心城区、旗县中心城区供水、排水、供热等管网工程项目。</w:t>
            </w:r>
          </w:p>
          <w:p w14:paraId="5F6B758D">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设备更新重点工程：重点推进</w:t>
            </w:r>
            <w:r>
              <w:rPr>
                <w:rFonts w:hint="eastAsia" w:ascii="Times New Roman" w:hAnsi="Times New Roman" w:eastAsia="仿宋_GB2312" w:cs="Times New Roman"/>
                <w:b w:val="0"/>
                <w:bCs w:val="0"/>
                <w:highlight w:val="none"/>
              </w:rPr>
              <w:t>敖汉旗城区供水基础设施大规模设备更新改造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巴林左旗林取水设备更新改造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敖汉旗城区</w:t>
            </w:r>
            <w:r>
              <w:rPr>
                <w:rFonts w:hint="eastAsia" w:ascii="Times New Roman" w:hAnsi="Times New Roman" w:eastAsia="仿宋_GB2312" w:cs="Times New Roman"/>
                <w:b w:val="0"/>
                <w:bCs w:val="0"/>
                <w:highlight w:val="none"/>
                <w:lang w:eastAsia="zh-CN"/>
              </w:rPr>
              <w:t>污水处理厂</w:t>
            </w:r>
            <w:r>
              <w:rPr>
                <w:rFonts w:hint="eastAsia" w:ascii="Times New Roman" w:hAnsi="Times New Roman" w:eastAsia="仿宋_GB2312" w:cs="Times New Roman"/>
                <w:b w:val="0"/>
                <w:bCs w:val="0"/>
                <w:highlight w:val="none"/>
              </w:rPr>
              <w:t>设备更新改造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翁牛特旗乌丹污水处理厂设备更新改造、</w:t>
            </w:r>
            <w:r>
              <w:rPr>
                <w:rFonts w:hint="eastAsia" w:ascii="Times New Roman" w:hAnsi="Times New Roman" w:eastAsia="仿宋_GB2312" w:cs="Times New Roman"/>
                <w:b w:val="0"/>
                <w:bCs w:val="0"/>
                <w:highlight w:val="none"/>
              </w:rPr>
              <w:t>翁牛特旗乌丹城区生活垃圾收集处理老旧设备更新</w:t>
            </w:r>
            <w:r>
              <w:rPr>
                <w:rFonts w:hint="eastAsia" w:ascii="Times New Roman" w:hAnsi="Times New Roman" w:eastAsia="仿宋_GB2312" w:cs="Times New Roman"/>
                <w:b w:val="0"/>
                <w:bCs w:val="0"/>
                <w:highlight w:val="none"/>
                <w:lang w:eastAsia="zh-CN"/>
              </w:rPr>
              <w:t>等</w:t>
            </w:r>
            <w:r>
              <w:rPr>
                <w:rFonts w:hint="eastAsia" w:ascii="Times New Roman" w:hAnsi="Times New Roman" w:eastAsia="仿宋_GB2312" w:cs="Times New Roman"/>
                <w:b w:val="0"/>
                <w:bCs w:val="0"/>
                <w:highlight w:val="none"/>
                <w:lang w:val="en-US" w:eastAsia="zh-CN"/>
              </w:rPr>
              <w:t>工程项目。</w:t>
            </w:r>
          </w:p>
        </w:tc>
      </w:tr>
    </w:tbl>
    <w:p w14:paraId="271A76AF">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4B7B4717">
      <w:pPr>
        <w:pStyle w:val="43"/>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3"/>
        <w:jc w:val="left"/>
        <w:textAlignment w:val="auto"/>
        <w:outlineLvl w:val="3"/>
        <w:rPr>
          <w:rFonts w:hint="eastAsia" w:ascii="Times New Roman" w:hAnsi="Times New Roman" w:eastAsia="方正仿宋_GBK" w:cs="方正仿宋_GBK"/>
          <w:b w:val="0"/>
          <w:bCs w:val="0"/>
          <w:color w:val="auto"/>
          <w:highlight w:val="none"/>
        </w:rPr>
      </w:pPr>
      <w:bookmarkStart w:id="493" w:name="_Toc13174"/>
      <w:r>
        <w:rPr>
          <w:rFonts w:hint="eastAsia" w:ascii="Times New Roman" w:hAnsi="Times New Roman" w:eastAsia="仿宋_GB2312" w:cs="方正仿宋_GBK"/>
          <w:b w:val="0"/>
          <w:bCs w:val="0"/>
          <w:color w:val="auto"/>
          <w:highlight w:val="none"/>
        </w:rPr>
        <w:t>提升城市管理水平</w:t>
      </w:r>
      <w:bookmarkEnd w:id="493"/>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建设城市运行管理服务平台，实现城市管理“</w:t>
      </w:r>
      <w:r>
        <w:rPr>
          <w:rFonts w:hint="eastAsia" w:eastAsia="仿宋_GB2312" w:cs="方正仿宋_GBK"/>
          <w:b w:val="0"/>
          <w:bCs w:val="0"/>
          <w:color w:val="auto"/>
          <w:highlight w:val="none"/>
          <w:lang w:val="en-US" w:eastAsia="zh-CN"/>
        </w:rPr>
        <w:t>一</w:t>
      </w:r>
      <w:r>
        <w:rPr>
          <w:rFonts w:hint="eastAsia" w:ascii="Times New Roman" w:hAnsi="Times New Roman" w:eastAsia="仿宋_GB2312" w:cs="方正仿宋_GBK"/>
          <w:b w:val="0"/>
          <w:bCs w:val="0"/>
          <w:color w:val="auto"/>
          <w:highlight w:val="none"/>
        </w:rPr>
        <w:t>网通办、一网统管”。抓好市容市貌管理和市政设施养护</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开展建筑垃圾、人行道、绿化、</w:t>
      </w:r>
      <w:r>
        <w:rPr>
          <w:rFonts w:hint="eastAsia" w:ascii="Times New Roman" w:hAnsi="Times New Roman" w:eastAsia="仿宋_GB2312" w:cs="方正仿宋_GBK"/>
          <w:b w:val="0"/>
          <w:bCs w:val="0"/>
          <w:color w:val="auto"/>
          <w:highlight w:val="none"/>
          <w:lang w:eastAsia="zh-CN"/>
        </w:rPr>
        <w:t>窨井盖</w:t>
      </w:r>
      <w:r>
        <w:rPr>
          <w:rFonts w:hint="eastAsia" w:ascii="Times New Roman" w:hAnsi="Times New Roman" w:eastAsia="仿宋_GB2312" w:cs="方正仿宋_GBK"/>
          <w:b w:val="0"/>
          <w:bCs w:val="0"/>
          <w:color w:val="auto"/>
          <w:highlight w:val="none"/>
        </w:rPr>
        <w:t>、闲置土地等专项整治行动，加大工地、绿地、闲置土地、背街小巷、</w:t>
      </w:r>
      <w:r>
        <w:rPr>
          <w:rFonts w:hint="eastAsia" w:ascii="Times New Roman" w:hAnsi="Times New Roman" w:eastAsia="仿宋_GB2312" w:cs="方正仿宋_GBK"/>
          <w:b w:val="0"/>
          <w:bCs w:val="0"/>
          <w:color w:val="auto"/>
          <w:highlight w:val="none"/>
          <w:lang w:eastAsia="zh-CN"/>
        </w:rPr>
        <w:t>城乡接合部</w:t>
      </w:r>
      <w:r>
        <w:rPr>
          <w:rFonts w:hint="eastAsia" w:ascii="Times New Roman" w:hAnsi="Times New Roman" w:eastAsia="仿宋_GB2312" w:cs="方正仿宋_GBK"/>
          <w:b w:val="0"/>
          <w:bCs w:val="0"/>
          <w:color w:val="auto"/>
          <w:highlight w:val="none"/>
        </w:rPr>
        <w:t>等重点区域环境整治，实现薄弱区域环境面貌明显改善。因地制宜设置具有文化特色和地域特征的亮化设施，丰富城市夜间景观。加强停车管理</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充分挖掘现有停车位存量，有序扩大停车位增量，强化停车管理。推进住宅小区物业管理服务全覆盖，提升物业服务水平和覆盖率。加强环城水系管理和开发利用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充分利用水资源、沿河绿地、广场等资源，定期举办市集、灯光夜市，增设饮水小屋、骑行驿站等便民设施，全方位提升服务民生水平。</w:t>
      </w:r>
      <w:r>
        <w:rPr>
          <w:rFonts w:hint="eastAsia" w:ascii="Times New Roman" w:hAnsi="Times New Roman" w:eastAsia="仿宋_GB2312" w:cs="方正仿宋_GBK"/>
          <w:b w:val="0"/>
          <w:bCs w:val="0"/>
          <w:color w:val="auto"/>
          <w:highlight w:val="none"/>
          <w:lang w:eastAsia="zh-CN"/>
        </w:rPr>
        <w:t>强化城市自然灾害防治，推动易涝点动态清零，统筹城市防洪体系建设和内涝治理</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eastAsia="zh-CN"/>
        </w:rPr>
        <w:t>严格限制超高层建筑，全面提升房屋安全保障水平，加快建设城市基础设施生命线安全工程。</w:t>
      </w:r>
      <w:r>
        <w:rPr>
          <w:rFonts w:hint="eastAsia" w:ascii="Times New Roman" w:hAnsi="Times New Roman" w:eastAsia="仿宋_GB2312" w:cs="方正仿宋_GBK"/>
          <w:b w:val="0"/>
          <w:bCs w:val="0"/>
          <w:color w:val="auto"/>
          <w:highlight w:val="none"/>
        </w:rPr>
        <w:t>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城市体检</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信息平台，定期对城市运行安全进行监测评估。</w:t>
      </w:r>
      <w:r>
        <w:rPr>
          <w:rFonts w:hint="eastAsia" w:ascii="Times New Roman" w:hAnsi="Times New Roman" w:eastAsia="仿宋_GB2312" w:cs="方正仿宋_GBK"/>
          <w:b w:val="0"/>
          <w:bCs w:val="0"/>
          <w:color w:val="auto"/>
          <w:highlight w:val="none"/>
          <w:lang w:val="en-US" w:eastAsia="zh-CN"/>
        </w:rPr>
        <w:t>推进城市</w:t>
      </w:r>
      <w:r>
        <w:rPr>
          <w:rFonts w:hint="eastAsia" w:eastAsia="仿宋_GB2312" w:cs="方正仿宋_GBK"/>
          <w:b w:val="0"/>
          <w:bCs w:val="0"/>
          <w:color w:val="auto"/>
          <w:highlight w:val="none"/>
          <w:lang w:val="en-US" w:eastAsia="zh-CN"/>
        </w:rPr>
        <w:t>“平急两用”</w:t>
      </w:r>
      <w:r>
        <w:rPr>
          <w:rFonts w:hint="eastAsia" w:ascii="Times New Roman" w:hAnsi="Times New Roman" w:eastAsia="仿宋_GB2312" w:cs="方正仿宋_GBK"/>
          <w:b w:val="0"/>
          <w:bCs w:val="0"/>
          <w:color w:val="auto"/>
          <w:highlight w:val="none"/>
          <w:lang w:val="en-US" w:eastAsia="zh-CN"/>
        </w:rPr>
        <w:t>公共基础设施建设。</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38C6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EE16DF9">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11 城市管理</w:t>
            </w:r>
            <w:r>
              <w:rPr>
                <w:rFonts w:hint="eastAsia" w:ascii="Times New Roman" w:hAnsi="Times New Roman" w:eastAsia="仿宋_GB2312" w:cs="Times New Roman"/>
                <w:b w:val="0"/>
                <w:bCs w:val="0"/>
                <w:sz w:val="24"/>
                <w:highlight w:val="none"/>
              </w:rPr>
              <w:t>重大工程</w:t>
            </w:r>
          </w:p>
        </w:tc>
      </w:tr>
      <w:tr w14:paraId="55EC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2D9DA29">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重点推进</w:t>
            </w:r>
            <w:r>
              <w:rPr>
                <w:rFonts w:hint="eastAsia" w:ascii="Times New Roman" w:hAnsi="Times New Roman" w:eastAsia="仿宋_GB2312" w:cs="Times New Roman"/>
                <w:b w:val="0"/>
                <w:bCs w:val="0"/>
                <w:highlight w:val="none"/>
              </w:rPr>
              <w:t>林西县生活垃圾综合处理增容</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克什克腾旗</w:t>
            </w:r>
            <w:r>
              <w:rPr>
                <w:rFonts w:hint="eastAsia" w:ascii="Times New Roman" w:hAnsi="Times New Roman" w:eastAsia="仿宋_GB2312" w:cs="Times New Roman"/>
                <w:b w:val="0"/>
                <w:bCs w:val="0"/>
                <w:highlight w:val="none"/>
              </w:rPr>
              <w:t>“天眼”工程</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克什克腾旗</w:t>
            </w:r>
            <w:r>
              <w:rPr>
                <w:rFonts w:hint="eastAsia" w:ascii="Times New Roman" w:hAnsi="Times New Roman" w:eastAsia="仿宋_GB2312" w:cs="Times New Roman"/>
                <w:b w:val="0"/>
                <w:bCs w:val="0"/>
                <w:highlight w:val="none"/>
              </w:rPr>
              <w:t>智慧城管平台</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翁牛特旗餐厨垃圾处理</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翁牛特旗垃圾中转站</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翁牛特旗</w:t>
            </w:r>
            <w:r>
              <w:rPr>
                <w:rFonts w:hint="eastAsia" w:ascii="Times New Roman" w:hAnsi="Times New Roman" w:eastAsia="仿宋_GB2312" w:cs="Times New Roman"/>
                <w:b w:val="0"/>
                <w:bCs w:val="0"/>
                <w:highlight w:val="none"/>
              </w:rPr>
              <w:t>建筑垃圾处理场</w:t>
            </w:r>
            <w:r>
              <w:rPr>
                <w:rFonts w:hint="eastAsia" w:ascii="Times New Roman" w:hAnsi="Times New Roman" w:eastAsia="仿宋_GB2312" w:cs="Times New Roman"/>
                <w:b w:val="0"/>
                <w:bCs w:val="0"/>
                <w:highlight w:val="none"/>
                <w:lang w:val="en-US" w:eastAsia="zh-CN"/>
              </w:rPr>
              <w:t>等工程项目。</w:t>
            </w:r>
          </w:p>
        </w:tc>
      </w:tr>
    </w:tbl>
    <w:p w14:paraId="47E537A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494" w:name="_Toc4679"/>
      <w:r>
        <w:rPr>
          <w:rFonts w:hint="eastAsia" w:ascii="Times New Roman" w:hAnsi="Times New Roman" w:eastAsia="仿宋_GB2312" w:cs="方正仿宋_GBK"/>
          <w:b w:val="0"/>
          <w:bCs w:val="0"/>
          <w:color w:val="auto"/>
          <w:highlight w:val="none"/>
        </w:rPr>
        <w:t>提升便民服务水平</w:t>
      </w:r>
      <w:bookmarkEnd w:id="494"/>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加快推进一刻钟便民生活圈建设，建成一批布局合理、业态齐全、功能完善、服务优质、智慧高效、快捷便利、规范有序、商居和谐的便民生活圈。提升基层精细化服务水平</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社区工作者队伍建设。深化基层红色网格治理，推动各类行政管理网格与自治网格“多格合一”。支持引导多元主体参与基层治理，健全党组织与居委会、业委会、物业企业四方共议机制，探索社区“微治理”机制。推广党建引领“街乡吹哨、部门报到”</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“接诉即办”做法，全面推行信访代办制，健全人民建议征集工作制度，推动城市治理向精细管理、主动服务转变。提升城市智治水平</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系统推进智慧城市基础设施、系统平台和应用终端等建设，推进跨部门、跨区域数据共用、业务协同。加快一体化政务大数据体系建设，为城市管理精细化、智能化提供数据支撑。</w:t>
      </w:r>
    </w:p>
    <w:p w14:paraId="6A6F9B82">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495" w:name="_Toc31688"/>
      <w:bookmarkStart w:id="496" w:name="_Toc9853"/>
      <w:bookmarkStart w:id="497" w:name="_Toc24430"/>
      <w:bookmarkStart w:id="498" w:name="_Toc515"/>
      <w:bookmarkStart w:id="499" w:name="_Toc31479"/>
      <w:bookmarkStart w:id="500" w:name="_Toc23524"/>
      <w:bookmarkStart w:id="501" w:name="_Toc9301"/>
      <w:bookmarkStart w:id="502" w:name="_Toc1526"/>
      <w:bookmarkStart w:id="503" w:name="_Toc14895"/>
      <w:bookmarkStart w:id="504" w:name="_Toc14808"/>
      <w:bookmarkStart w:id="505" w:name="_Toc21441"/>
      <w:bookmarkStart w:id="506" w:name="_Toc31372"/>
      <w:bookmarkStart w:id="507" w:name="_Toc28483"/>
      <w:bookmarkStart w:id="508" w:name="_Toc11624"/>
      <w:r>
        <w:rPr>
          <w:rFonts w:hint="eastAsia" w:ascii="楷体_GB2312" w:hAnsi="楷体_GB2312" w:eastAsia="楷体_GB2312" w:cs="楷体_GB2312"/>
          <w:b w:val="0"/>
          <w:bCs w:val="0"/>
          <w:color w:val="auto"/>
          <w:sz w:val="32"/>
          <w:szCs w:val="40"/>
          <w:highlight w:val="none"/>
          <w:lang w:val="en-US" w:eastAsia="zh-CN"/>
        </w:rPr>
        <w:t>推动县域经济高质量发展</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32523ABC">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highlight w:val="none"/>
        </w:rPr>
      </w:pPr>
      <w:r>
        <w:rPr>
          <w:rFonts w:hint="eastAsia" w:ascii="Times New Roman" w:hAnsi="Times New Roman" w:eastAsia="仿宋_GB2312" w:cs="方正仿宋_GBK"/>
          <w:b w:val="0"/>
          <w:bCs w:val="0"/>
          <w:color w:val="auto"/>
          <w:spacing w:val="-6"/>
          <w:highlight w:val="none"/>
        </w:rPr>
        <w:t>遵循县域经济发展规律，立足各旗县区资源禀赋、区位</w:t>
      </w:r>
      <w:r>
        <w:rPr>
          <w:rFonts w:hint="eastAsia" w:ascii="Times New Roman" w:hAnsi="Times New Roman" w:eastAsia="仿宋_GB2312" w:cs="方正仿宋_GBK"/>
          <w:b w:val="0"/>
          <w:bCs w:val="0"/>
          <w:color w:val="auto"/>
          <w:spacing w:val="-6"/>
          <w:highlight w:val="none"/>
          <w:lang w:eastAsia="zh-CN"/>
        </w:rPr>
        <w:t>优势</w:t>
      </w:r>
      <w:r>
        <w:rPr>
          <w:rFonts w:hint="eastAsia" w:ascii="Times New Roman" w:hAnsi="Times New Roman" w:eastAsia="仿宋_GB2312" w:cs="方正仿宋_GBK"/>
          <w:b w:val="0"/>
          <w:bCs w:val="0"/>
          <w:color w:val="auto"/>
          <w:spacing w:val="-6"/>
          <w:highlight w:val="none"/>
        </w:rPr>
        <w:t>和产业基础，明确功能定位，推动特色发展、错位发展、联动发展。</w:t>
      </w:r>
    </w:p>
    <w:p w14:paraId="575905B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509" w:name="_Toc14646"/>
      <w:r>
        <w:rPr>
          <w:rFonts w:hint="eastAsia" w:ascii="Times New Roman" w:hAnsi="Times New Roman" w:eastAsia="仿宋_GB2312" w:cs="方正仿宋_GBK"/>
          <w:b w:val="0"/>
          <w:bCs w:val="0"/>
          <w:color w:val="auto"/>
          <w:highlight w:val="none"/>
        </w:rPr>
        <w:t>明确</w:t>
      </w:r>
      <w:r>
        <w:rPr>
          <w:rFonts w:hint="eastAsia" w:ascii="Times New Roman" w:hAnsi="Times New Roman" w:eastAsia="仿宋_GB2312" w:cs="方正仿宋_GBK"/>
          <w:b w:val="0"/>
          <w:bCs w:val="0"/>
          <w:color w:val="auto"/>
          <w:highlight w:val="none"/>
          <w:lang w:val="en-US" w:eastAsia="zh-CN"/>
        </w:rPr>
        <w:t>各旗县区</w:t>
      </w:r>
      <w:r>
        <w:rPr>
          <w:rFonts w:hint="eastAsia" w:ascii="Times New Roman" w:hAnsi="Times New Roman" w:eastAsia="仿宋_GB2312" w:cs="方正仿宋_GBK"/>
          <w:b w:val="0"/>
          <w:bCs w:val="0"/>
          <w:color w:val="auto"/>
          <w:highlight w:val="none"/>
        </w:rPr>
        <w:t>功能定位</w:t>
      </w:r>
      <w:bookmarkEnd w:id="509"/>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rPr>
        <w:t>自治区和市级国土空间规划</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主体功能区</w:t>
      </w:r>
      <w:r>
        <w:rPr>
          <w:rFonts w:hint="eastAsia" w:ascii="Times New Roman" w:hAnsi="Times New Roman" w:eastAsia="仿宋_GB2312" w:cs="方正仿宋_GBK"/>
          <w:b w:val="0"/>
          <w:bCs w:val="0"/>
          <w:color w:val="auto"/>
          <w:highlight w:val="none"/>
        </w:rPr>
        <w:t>要求，结</w:t>
      </w:r>
      <w:r>
        <w:rPr>
          <w:rFonts w:hint="eastAsia" w:ascii="Times New Roman" w:hAnsi="Times New Roman" w:eastAsia="仿宋_GB2312" w:cs="方正仿宋_GBK"/>
          <w:b w:val="0"/>
          <w:bCs w:val="0"/>
          <w:color w:val="auto"/>
          <w:highlight w:val="none"/>
          <w:lang w:eastAsia="zh-CN"/>
        </w:rPr>
        <w:t>合各</w:t>
      </w:r>
      <w:r>
        <w:rPr>
          <w:rFonts w:hint="eastAsia" w:ascii="Times New Roman" w:hAnsi="Times New Roman" w:eastAsia="仿宋_GB2312" w:cs="方正仿宋_GBK"/>
          <w:b w:val="0"/>
          <w:bCs w:val="0"/>
          <w:color w:val="auto"/>
          <w:highlight w:val="none"/>
          <w:lang w:val="en-US" w:eastAsia="zh-CN"/>
        </w:rPr>
        <w:t>旗县区</w:t>
      </w:r>
      <w:r>
        <w:rPr>
          <w:rFonts w:hint="eastAsia" w:ascii="Times New Roman" w:hAnsi="Times New Roman" w:eastAsia="仿宋_GB2312" w:cs="方正仿宋_GBK"/>
          <w:b w:val="0"/>
          <w:bCs w:val="0"/>
          <w:color w:val="auto"/>
          <w:highlight w:val="none"/>
        </w:rPr>
        <w:t>实际，进一步细化各旗县区的发展重点</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坚持因地制宜、产业支撑、区域协调、强县富民</w:t>
      </w:r>
      <w:r>
        <w:rPr>
          <w:rFonts w:hint="eastAsia" w:eastAsia="仿宋_GB2312" w:cs="方正仿宋_GBK"/>
          <w:b w:val="0"/>
          <w:bCs w:val="0"/>
          <w:color w:val="auto"/>
          <w:highlight w:val="none"/>
          <w:lang w:val="en-US" w:eastAsia="zh-CN"/>
        </w:rPr>
        <w:t>发展</w:t>
      </w:r>
      <w:r>
        <w:rPr>
          <w:rFonts w:hint="eastAsia" w:ascii="Times New Roman" w:hAnsi="Times New Roman" w:eastAsia="仿宋_GB2312" w:cs="方正仿宋_GBK"/>
          <w:b w:val="0"/>
          <w:bCs w:val="0"/>
          <w:color w:val="auto"/>
          <w:highlight w:val="none"/>
          <w:lang w:val="en-US" w:eastAsia="zh-CN"/>
        </w:rPr>
        <w:t>思路，分类引导县域发展特色优势产业，</w:t>
      </w:r>
      <w:r>
        <w:rPr>
          <w:rFonts w:hint="eastAsia" w:eastAsia="仿宋_GB2312" w:cs="方正仿宋_GBK"/>
          <w:b w:val="0"/>
          <w:bCs w:val="0"/>
          <w:color w:val="auto"/>
          <w:highlight w:val="none"/>
          <w:lang w:eastAsia="zh-CN"/>
        </w:rPr>
        <w:t>全力打造现代农牧业强县、工业强县、</w:t>
      </w:r>
      <w:r>
        <w:rPr>
          <w:rFonts w:hint="eastAsia" w:eastAsia="仿宋_GB2312" w:cs="方正仿宋_GBK"/>
          <w:b w:val="0"/>
          <w:bCs w:val="0"/>
          <w:color w:val="auto"/>
          <w:highlight w:val="none"/>
          <w:lang w:val="en-US" w:eastAsia="zh-CN"/>
        </w:rPr>
        <w:t>旅游</w:t>
      </w:r>
      <w:r>
        <w:rPr>
          <w:rFonts w:hint="eastAsia" w:eastAsia="仿宋_GB2312" w:cs="方正仿宋_GBK"/>
          <w:b w:val="0"/>
          <w:bCs w:val="0"/>
          <w:color w:val="auto"/>
          <w:highlight w:val="none"/>
          <w:lang w:eastAsia="zh-CN"/>
        </w:rPr>
        <w:t>强县、</w:t>
      </w:r>
      <w:r>
        <w:rPr>
          <w:rFonts w:hint="eastAsia" w:eastAsia="仿宋_GB2312" w:cs="方正仿宋_GBK"/>
          <w:b w:val="0"/>
          <w:bCs w:val="0"/>
          <w:color w:val="auto"/>
          <w:highlight w:val="none"/>
          <w:lang w:val="en-US" w:eastAsia="zh-CN"/>
        </w:rPr>
        <w:t>商贸物流节点</w:t>
      </w:r>
      <w:r>
        <w:rPr>
          <w:rFonts w:hint="eastAsia" w:eastAsia="仿宋_GB2312" w:cs="方正仿宋_GBK"/>
          <w:b w:val="0"/>
          <w:bCs w:val="0"/>
          <w:color w:val="auto"/>
          <w:highlight w:val="none"/>
          <w:lang w:eastAsia="zh-CN"/>
        </w:rPr>
        <w:t>县，</w:t>
      </w:r>
      <w:r>
        <w:rPr>
          <w:rFonts w:hint="eastAsia" w:ascii="Times New Roman" w:hAnsi="Times New Roman" w:eastAsia="仿宋_GB2312" w:cs="方正仿宋_GBK"/>
          <w:b w:val="0"/>
          <w:bCs w:val="0"/>
          <w:color w:val="auto"/>
          <w:highlight w:val="none"/>
          <w:lang w:val="en-US" w:eastAsia="zh-CN"/>
        </w:rPr>
        <w:t>以产业发展带动县域经济整体提升。</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61CE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72E4233">
            <w:pPr>
              <w:keepNext w:val="0"/>
              <w:keepLines w:val="0"/>
              <w:pageBreakBefore w:val="0"/>
              <w:kinsoku/>
              <w:wordWrap/>
              <w:topLinePunct w:val="0"/>
              <w:autoSpaceDE/>
              <w:autoSpaceDN/>
              <w:bidi w:val="0"/>
              <w:adjustRightInd/>
              <w:spacing w:line="540" w:lineRule="exact"/>
              <w:ind w:firstLine="464" w:firstLineChars="200"/>
              <w:jc w:val="center"/>
              <w:textAlignment w:val="auto"/>
              <w:rPr>
                <w:rFonts w:hint="default" w:ascii="Times New Roman" w:hAnsi="Times New Roman" w:eastAsia="方正仿宋_GBK" w:cs="Times New Roman"/>
                <w:b w:val="0"/>
                <w:bCs w:val="0"/>
                <w:sz w:val="24"/>
                <w:highlight w:val="none"/>
                <w:lang w:val="en-US"/>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12 各旗县区功能定位</w:t>
            </w:r>
          </w:p>
        </w:tc>
      </w:tr>
      <w:tr w14:paraId="1A14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CDC1557">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农业强县：打造以阿鲁科尔沁旗、巴林左旗、林西县、翁牛特旗、敖汉旗、松山区等为重点的玉米优势产业带；发展以阿鲁科尔沁旗、巴林左旗、巴林右旗、林西县、克什克腾旗、翁牛特旗、松山区、敖汉旗为重点的杂粮杂豆生产区，在阿鲁科尔沁旗、巴林左旗、林西县、喀喇沁旗等旗县区重点发展中医（蒙医）药材种植，在巴林左旗重点发展笤帚苗产业。</w:t>
            </w:r>
          </w:p>
          <w:p w14:paraId="34560769">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牧业强县：支持阿鲁科尔沁旗、巴林左旗、巴林右旗、克什克腾旗、翁牛特旗、敖汉旗等旗县区，发挥养殖基础好的优势，重点发展肉牛、肉羊、绒山羊等优势畜牧业，推进标准化规模养殖；以敖汉旗、宁城县、巴林右旗、翁牛特旗、松山区为中心，延伸发展畜产品精深加工和冷链物流，打造畜产品生产加工基地。</w:t>
            </w:r>
          </w:p>
          <w:p w14:paraId="577050DF">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工业强县：支持元宝山区、松山区、红山区、宁城县、敖汉旗、林西县、克什克腾旗等旗县区，依托资源能源优势，聚焦新能源、新材料、有色金属精深加工、化工、农畜产品加工等特色优势产业，承接产业梯度转移，培育产业集群，提升工业发展能级和竞争力。</w:t>
            </w:r>
          </w:p>
          <w:p w14:paraId="63569F2F">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现代旅游强县：支持克什克腾旗、喀喇沁旗、翁牛特旗、宁城县等旗县区，充分发挥自然生态和历史文化遗产优势，完善旅游基础设施和服务体系，打造核心景区和精品线路，发展四季旅游。</w:t>
            </w:r>
          </w:p>
          <w:p w14:paraId="1A5B59AD">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商贸物流节点县：支持松山区、红山区、宁城县、元宝山区、巴林右旗等交通区位优势明显的地区，建设区域性物流枢纽、专业市场、电商集散中心，发展枢纽经济。</w:t>
            </w:r>
          </w:p>
          <w:p w14:paraId="551396E8">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生态功能县：强化克什克腾旗、阿鲁科尔沁旗、巴林右旗、喀喇沁旗、翁牛特旗等生态敏感区域保护职责，重点发展生态旅游、林下经济、清洁能源等绿色产业，守护好绿水青山。</w:t>
            </w:r>
          </w:p>
        </w:tc>
      </w:tr>
    </w:tbl>
    <w:p w14:paraId="2B5CA261">
      <w:pPr>
        <w:keepNext w:val="0"/>
        <w:keepLines w:val="0"/>
        <w:pageBreakBefore w:val="0"/>
        <w:shd w:val="clear" w:color="auto" w:fill="auto"/>
        <w:kinsoku/>
        <w:wordWrap/>
        <w:topLinePunct w:val="0"/>
        <w:autoSpaceDE/>
        <w:autoSpaceDN/>
        <w:bidi w:val="0"/>
        <w:adjustRightInd/>
        <w:spacing w:line="540" w:lineRule="exact"/>
        <w:textAlignment w:val="auto"/>
        <w:rPr>
          <w:rFonts w:hint="eastAsia"/>
          <w:b w:val="0"/>
          <w:bCs w:val="0"/>
          <w:highlight w:val="none"/>
          <w:lang w:eastAsia="zh-CN"/>
        </w:rPr>
      </w:pPr>
    </w:p>
    <w:p w14:paraId="6A48699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10" w:name="_Toc16281"/>
      <w:r>
        <w:rPr>
          <w:rFonts w:hint="eastAsia" w:ascii="Times New Roman" w:hAnsi="Times New Roman" w:eastAsia="仿宋_GB2312" w:cs="方正仿宋_GBK"/>
          <w:b w:val="0"/>
          <w:bCs w:val="0"/>
          <w:color w:val="auto"/>
          <w:highlight w:val="none"/>
        </w:rPr>
        <w:t>激发县域经济发展活力</w:t>
      </w:r>
      <w:bookmarkEnd w:id="510"/>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推动各类开发区、产业园区提档升级，明确主导产业，完善基础设施和配套服务。支持有条件的园区创建国家级、自治区级高新区、经开区。鼓励旗县区之间通过</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飞地经济</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加强合作</w:t>
      </w:r>
      <w:r>
        <w:rPr>
          <w:rFonts w:hint="eastAsia" w:ascii="Times New Roman" w:hAnsi="Times New Roman" w:eastAsia="仿宋_GB2312" w:cs="方正仿宋_GBK"/>
          <w:b w:val="0"/>
          <w:bCs w:val="0"/>
          <w:color w:val="auto"/>
          <w:highlight w:val="none"/>
        </w:rPr>
        <w:t>，优化产业布局。扩大县域经济社会发展自主权，深化</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放管服</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改革，打造一流营商环境。鼓励旗县区大胆探索、改革创新，形成各具特色的发展模式。强化招商引资，吸引社会资本参与县域经济发展。</w:t>
      </w:r>
    </w:p>
    <w:p w14:paraId="55767CC7">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11" w:name="_Toc4234"/>
      <w:bookmarkStart w:id="512" w:name="_Toc16586"/>
      <w:bookmarkStart w:id="513" w:name="_Toc7830"/>
      <w:bookmarkStart w:id="514" w:name="_Toc7115"/>
      <w:bookmarkStart w:id="515" w:name="_Toc21240"/>
      <w:bookmarkStart w:id="516" w:name="_Toc22148"/>
      <w:bookmarkStart w:id="517" w:name="_Toc7063"/>
      <w:bookmarkStart w:id="518" w:name="_Toc6210"/>
      <w:bookmarkStart w:id="519" w:name="_Toc23219"/>
      <w:bookmarkStart w:id="520" w:name="_Toc11760"/>
      <w:bookmarkStart w:id="521" w:name="_Toc12536"/>
      <w:bookmarkStart w:id="522" w:name="_Toc9292"/>
      <w:bookmarkStart w:id="523" w:name="_Toc28681"/>
      <w:bookmarkStart w:id="524" w:name="_Toc10984"/>
      <w:r>
        <w:rPr>
          <w:rFonts w:hint="eastAsia" w:ascii="楷体_GB2312" w:hAnsi="楷体_GB2312" w:eastAsia="楷体_GB2312" w:cs="楷体_GB2312"/>
          <w:b w:val="0"/>
          <w:bCs w:val="0"/>
          <w:color w:val="auto"/>
          <w:sz w:val="32"/>
          <w:szCs w:val="40"/>
          <w:highlight w:val="none"/>
          <w:lang w:val="en-US" w:eastAsia="zh-CN"/>
        </w:rPr>
        <w:t>推动城乡融合发展</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0A8855B6">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坚持以工补农、以城带乡，促进城乡要素平等交换、双向流动和公共资源合理配置，加快形成工农互促、城乡互补、协调发展、共同繁荣的新型工农城乡关系。</w:t>
      </w:r>
    </w:p>
    <w:p w14:paraId="50BB6579">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25" w:name="_Toc9799"/>
      <w:r>
        <w:rPr>
          <w:rFonts w:hint="eastAsia" w:ascii="Times New Roman" w:hAnsi="Times New Roman" w:eastAsia="仿宋_GB2312" w:cs="方正仿宋_GBK"/>
          <w:b w:val="0"/>
          <w:bCs w:val="0"/>
          <w:color w:val="auto"/>
          <w:highlight w:val="none"/>
        </w:rPr>
        <w:t>健全农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业转移人口市民化机制</w:t>
      </w:r>
      <w:bookmarkEnd w:id="525"/>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深入实施新一轮</w:t>
      </w:r>
      <w:r>
        <w:rPr>
          <w:rFonts w:hint="eastAsia" w:eastAsia="仿宋_GB2312" w:cs="方正仿宋_GBK"/>
          <w:b w:val="0"/>
          <w:bCs w:val="0"/>
          <w:color w:val="auto"/>
          <w:highlight w:val="none"/>
          <w:lang w:eastAsia="zh-CN"/>
        </w:rPr>
        <w:t>农牧业转移人口市民化</w:t>
      </w:r>
      <w:r>
        <w:rPr>
          <w:rFonts w:hint="eastAsia" w:ascii="Times New Roman" w:hAnsi="Times New Roman" w:eastAsia="仿宋_GB2312" w:cs="方正仿宋_GBK"/>
          <w:b w:val="0"/>
          <w:bCs w:val="0"/>
          <w:color w:val="auto"/>
          <w:highlight w:val="none"/>
        </w:rPr>
        <w:t>行动，深化户籍制度改革，进一步放宽落户条件，简化落户程序，确保有意愿、有能力在城镇稳定就业和生活的农业转移人口及其随迁家属便捷落户。</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rPr>
        <w:t>常住地提供基本公共服务机制，推动城镇基本公共服务覆盖全部常住人口</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保障未落户常住人口平等享有教育、就业、医疗卫生、社会保障等基本公共服务。促进农业转移人口在城镇稳定就业，保障随迁子女平等享有受教育权利，完善农业转移人口多元化住房保障体系</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完善财政转移支付与</w:t>
      </w:r>
      <w:r>
        <w:rPr>
          <w:rFonts w:hint="eastAsia" w:eastAsia="仿宋_GB2312" w:cs="方正仿宋_GBK"/>
          <w:b w:val="0"/>
          <w:bCs w:val="0"/>
          <w:color w:val="auto"/>
          <w:highlight w:val="none"/>
          <w:lang w:eastAsia="zh-CN"/>
        </w:rPr>
        <w:t>农牧业转移人口市民化</w:t>
      </w:r>
      <w:r>
        <w:rPr>
          <w:rFonts w:hint="eastAsia" w:ascii="Times New Roman" w:hAnsi="Times New Roman" w:eastAsia="仿宋_GB2312" w:cs="方正仿宋_GBK"/>
          <w:b w:val="0"/>
          <w:bCs w:val="0"/>
          <w:color w:val="auto"/>
          <w:highlight w:val="none"/>
        </w:rPr>
        <w:t>挂钩机制。维护进城落户农民的土地承包权、宅基地使用权、集体收益分配权，支持依法自愿有偿转让上述权益，消除农</w:t>
      </w:r>
      <w:r>
        <w:rPr>
          <w:rFonts w:hint="eastAsia" w:ascii="Times New Roman" w:hAnsi="Times New Roman" w:eastAsia="仿宋_GB2312" w:cs="方正仿宋_GBK"/>
          <w:b w:val="0"/>
          <w:bCs w:val="0"/>
          <w:color w:val="auto"/>
          <w:highlight w:val="none"/>
          <w:lang w:eastAsia="zh-CN"/>
        </w:rPr>
        <w:t>牧</w:t>
      </w:r>
      <w:r>
        <w:rPr>
          <w:rFonts w:hint="eastAsia" w:ascii="Times New Roman" w:hAnsi="Times New Roman" w:eastAsia="仿宋_GB2312" w:cs="方正仿宋_GBK"/>
          <w:b w:val="0"/>
          <w:bCs w:val="0"/>
          <w:color w:val="auto"/>
          <w:highlight w:val="none"/>
        </w:rPr>
        <w:t>民进城落户的后顾之忧。</w:t>
      </w:r>
    </w:p>
    <w:p w14:paraId="3352237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26" w:name="_Toc4659"/>
      <w:r>
        <w:rPr>
          <w:rFonts w:hint="eastAsia" w:ascii="Times New Roman" w:hAnsi="Times New Roman" w:eastAsia="仿宋_GB2312" w:cs="方正仿宋_GBK"/>
          <w:b w:val="0"/>
          <w:bCs w:val="0"/>
          <w:color w:val="auto"/>
          <w:highlight w:val="none"/>
          <w:lang w:val="en-US" w:eastAsia="zh-CN"/>
        </w:rPr>
        <w:t>推动城乡基础设施和公共服务统筹发展</w:t>
      </w:r>
      <w:bookmarkEnd w:id="526"/>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推进城乡空间融合，</w:t>
      </w:r>
      <w:r>
        <w:rPr>
          <w:rFonts w:hint="eastAsia" w:eastAsia="仿宋_GB2312" w:cs="方正仿宋_GBK"/>
          <w:b w:val="0"/>
          <w:bCs w:val="0"/>
          <w:color w:val="auto"/>
          <w:highlight w:val="none"/>
          <w:lang w:val="en-US" w:eastAsia="zh-CN"/>
        </w:rPr>
        <w:t>保持</w:t>
      </w:r>
      <w:r>
        <w:rPr>
          <w:rFonts w:hint="eastAsia" w:ascii="Times New Roman" w:hAnsi="Times New Roman" w:eastAsia="仿宋_GB2312" w:cs="方正仿宋_GBK"/>
          <w:b w:val="0"/>
          <w:bCs w:val="0"/>
          <w:color w:val="auto"/>
          <w:highlight w:val="none"/>
        </w:rPr>
        <w:t>城乡发展均衡性与协调性。加强城乡基础设施建设，</w:t>
      </w:r>
      <w:r>
        <w:rPr>
          <w:rFonts w:hint="eastAsia" w:eastAsia="仿宋_GB2312" w:cs="方正仿宋_GBK"/>
          <w:b w:val="0"/>
          <w:bCs w:val="0"/>
          <w:color w:val="auto"/>
          <w:highlight w:val="none"/>
          <w:lang w:val="en-US" w:eastAsia="zh-CN"/>
        </w:rPr>
        <w:t>加快补齐县城和农村牧区基础设施短板，</w:t>
      </w:r>
      <w:r>
        <w:rPr>
          <w:rFonts w:hint="eastAsia" w:ascii="Times New Roman" w:hAnsi="Times New Roman" w:eastAsia="仿宋_GB2312" w:cs="方正仿宋_GBK"/>
          <w:b w:val="0"/>
          <w:bCs w:val="0"/>
          <w:color w:val="auto"/>
          <w:highlight w:val="none"/>
        </w:rPr>
        <w:t>统筹规划城乡道路、供水、供电、通信、垃圾污水处理等基础设施</w:t>
      </w:r>
      <w:r>
        <w:rPr>
          <w:rFonts w:hint="eastAsia" w:ascii="Times New Roman" w:hAnsi="Times New Roman" w:eastAsia="仿宋_GB2312" w:cs="方正仿宋_GBK"/>
          <w:b w:val="0"/>
          <w:bCs w:val="0"/>
          <w:color w:val="auto"/>
          <w:highlight w:val="none"/>
          <w:lang w:eastAsia="zh-CN"/>
        </w:rPr>
        <w:t>建设，</w:t>
      </w:r>
      <w:r>
        <w:rPr>
          <w:rFonts w:hint="eastAsia" w:ascii="Times New Roman" w:hAnsi="Times New Roman" w:eastAsia="仿宋_GB2312" w:cs="方正仿宋_GBK"/>
          <w:b w:val="0"/>
          <w:bCs w:val="0"/>
          <w:color w:val="auto"/>
          <w:highlight w:val="none"/>
        </w:rPr>
        <w:t>打造覆盖城乡、高效运行的基础设施体系。推广政府和社会资本合作模式，吸引社会资本参与农村基础设施建设和管护。建立城乡教育资源均衡配置机制，鼓励城区优质学校与</w:t>
      </w:r>
      <w:r>
        <w:rPr>
          <w:rFonts w:hint="eastAsia" w:eastAsia="仿宋_GB2312" w:cs="方正仿宋_GBK"/>
          <w:b w:val="0"/>
          <w:bCs w:val="0"/>
          <w:color w:val="auto"/>
          <w:highlight w:val="none"/>
          <w:lang w:val="en-US" w:eastAsia="zh-CN"/>
        </w:rPr>
        <w:t>农村牧区</w:t>
      </w:r>
      <w:r>
        <w:rPr>
          <w:rFonts w:hint="eastAsia" w:ascii="Times New Roman" w:hAnsi="Times New Roman" w:eastAsia="仿宋_GB2312" w:cs="方正仿宋_GBK"/>
          <w:b w:val="0"/>
          <w:bCs w:val="0"/>
          <w:color w:val="auto"/>
          <w:highlight w:val="none"/>
        </w:rPr>
        <w:t>学校结对共建，推动教师交流轮岗。健全城乡医疗卫生服务体系，推进紧密型县域医共体建设，提高</w:t>
      </w:r>
      <w:r>
        <w:rPr>
          <w:rFonts w:hint="eastAsia" w:eastAsia="仿宋_GB2312" w:cs="方正仿宋_GBK"/>
          <w:b w:val="0"/>
          <w:bCs w:val="0"/>
          <w:color w:val="auto"/>
          <w:highlight w:val="none"/>
          <w:lang w:val="en-US" w:eastAsia="zh-CN"/>
        </w:rPr>
        <w:t>农村牧区</w:t>
      </w:r>
      <w:r>
        <w:rPr>
          <w:rFonts w:hint="eastAsia" w:ascii="Times New Roman" w:hAnsi="Times New Roman" w:eastAsia="仿宋_GB2312" w:cs="方正仿宋_GBK"/>
          <w:b w:val="0"/>
          <w:bCs w:val="0"/>
          <w:color w:val="auto"/>
          <w:highlight w:val="none"/>
        </w:rPr>
        <w:t>医疗卫生服务能力。完善城乡统一的社会保险制度，提高统筹层次。统筹城乡社会救助体系，做好困难群众基本生活保障。推动养老服务网络向</w:t>
      </w:r>
      <w:r>
        <w:rPr>
          <w:rFonts w:hint="eastAsia" w:eastAsia="仿宋_GB2312" w:cs="方正仿宋_GBK"/>
          <w:b w:val="0"/>
          <w:bCs w:val="0"/>
          <w:color w:val="auto"/>
          <w:highlight w:val="none"/>
          <w:lang w:val="en-US" w:eastAsia="zh-CN"/>
        </w:rPr>
        <w:t>农村牧区</w:t>
      </w:r>
      <w:r>
        <w:rPr>
          <w:rFonts w:hint="eastAsia" w:ascii="Times New Roman" w:hAnsi="Times New Roman" w:eastAsia="仿宋_GB2312" w:cs="方正仿宋_GBK"/>
          <w:b w:val="0"/>
          <w:bCs w:val="0"/>
          <w:color w:val="auto"/>
          <w:highlight w:val="none"/>
        </w:rPr>
        <w:t>延伸。</w:t>
      </w:r>
    </w:p>
    <w:p w14:paraId="3676B2D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27" w:name="_Toc12931"/>
      <w:r>
        <w:rPr>
          <w:rFonts w:hint="eastAsia" w:ascii="Times New Roman" w:hAnsi="Times New Roman" w:eastAsia="仿宋_GB2312" w:cs="方正仿宋_GBK"/>
          <w:b w:val="0"/>
          <w:bCs w:val="0"/>
          <w:color w:val="auto"/>
          <w:highlight w:val="none"/>
        </w:rPr>
        <w:t>畅通城乡要素双向流动通道</w:t>
      </w:r>
      <w:bookmarkEnd w:id="527"/>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打破城乡分割格局，推动土地、劳动力、资本、技术等要素在城乡之间自由流动</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实现要素</w:t>
      </w:r>
      <w:r>
        <w:rPr>
          <w:rFonts w:hint="eastAsia" w:ascii="Times New Roman" w:hAnsi="Times New Roman" w:eastAsia="仿宋_GB2312" w:cs="方正仿宋_GBK"/>
          <w:b w:val="0"/>
          <w:bCs w:val="0"/>
          <w:color w:val="auto"/>
          <w:highlight w:val="none"/>
        </w:rPr>
        <w:t>最优配置。引导城市资本、技术等要素向农村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流动，结合农村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资源</w:t>
      </w:r>
      <w:r>
        <w:rPr>
          <w:rFonts w:hint="eastAsia" w:eastAsia="仿宋_GB2312" w:cs="方正仿宋_GBK"/>
          <w:b w:val="0"/>
          <w:bCs w:val="0"/>
          <w:color w:val="auto"/>
          <w:highlight w:val="none"/>
          <w:lang w:val="en-US" w:eastAsia="zh-CN"/>
        </w:rPr>
        <w:t>优势</w:t>
      </w:r>
      <w:r>
        <w:rPr>
          <w:rFonts w:hint="eastAsia" w:ascii="Times New Roman" w:hAnsi="Times New Roman" w:eastAsia="仿宋_GB2312" w:cs="方正仿宋_GBK"/>
          <w:b w:val="0"/>
          <w:bCs w:val="0"/>
          <w:color w:val="auto"/>
          <w:highlight w:val="none"/>
        </w:rPr>
        <w:t>，发展生态农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业、循环农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业等新型农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业形态，提升</w:t>
      </w:r>
      <w:r>
        <w:rPr>
          <w:rFonts w:hint="eastAsia"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附加值，促进农民增收。打破城乡人才流动壁垒，促进人才双向流动与合理配置，鼓励城市优秀人才下乡服务，为农村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提供教育、医疗、科技等方面的支持，提升农村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公共服务水平</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人才培养与引进，通过提供培训、创业扶持等举措，吸引更多青年返乡创业，为农村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经济发展注入新的动力。建立健全城乡资金流动机制，鼓励农村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利用自身优势资源，通过股份合作等方式拓宽融资渠道，</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基础设施建设和产业发展。建立城乡技术信息共享平台，加强技术信息的交流和传播，推动城市先进技术向农村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转移和扩散。</w:t>
      </w:r>
    </w:p>
    <w:p w14:paraId="014F3C47">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28" w:name="_Toc14443"/>
      <w:bookmarkStart w:id="529" w:name="_Toc384"/>
      <w:bookmarkStart w:id="530" w:name="_Toc22099"/>
      <w:bookmarkStart w:id="531" w:name="_Toc12643"/>
      <w:bookmarkStart w:id="532" w:name="_Toc15293"/>
      <w:bookmarkStart w:id="533" w:name="_Toc11878"/>
      <w:bookmarkStart w:id="534" w:name="_Toc26945"/>
      <w:bookmarkStart w:id="535" w:name="_Toc18897"/>
      <w:bookmarkStart w:id="536" w:name="_Toc12288"/>
      <w:bookmarkStart w:id="537" w:name="_Toc289"/>
      <w:bookmarkStart w:id="538" w:name="_Toc9653"/>
      <w:bookmarkStart w:id="539" w:name="_Toc19718"/>
      <w:bookmarkStart w:id="540" w:name="_Toc23436"/>
      <w:bookmarkStart w:id="541" w:name="_Toc27337"/>
      <w:r>
        <w:rPr>
          <w:rFonts w:hint="eastAsia" w:ascii="楷体_GB2312" w:hAnsi="楷体_GB2312" w:eastAsia="楷体_GB2312" w:cs="楷体_GB2312"/>
          <w:b w:val="0"/>
          <w:bCs w:val="0"/>
          <w:color w:val="auto"/>
          <w:sz w:val="32"/>
          <w:szCs w:val="40"/>
          <w:highlight w:val="none"/>
          <w:lang w:val="en-US" w:eastAsia="zh-CN"/>
        </w:rPr>
        <w:t>构建现代化基础设施体系</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1C704BD5">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围绕构建现代化基础设施体系，实施一批打基础、利长远的重大基础设施项目。</w:t>
      </w:r>
    </w:p>
    <w:p w14:paraId="32F8AB8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42" w:name="_Toc26111"/>
      <w:r>
        <w:rPr>
          <w:rFonts w:hint="eastAsia" w:ascii="Times New Roman" w:hAnsi="Times New Roman" w:eastAsia="仿宋_GB2312" w:cs="方正仿宋_GBK"/>
          <w:b w:val="0"/>
          <w:bCs w:val="0"/>
          <w:color w:val="auto"/>
          <w:highlight w:val="none"/>
          <w:lang w:val="en-US" w:eastAsia="zh-CN"/>
        </w:rPr>
        <w:t>完善现代综合交通体系</w:t>
      </w:r>
      <w:bookmarkEnd w:id="542"/>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加快构建安全、便捷、高效、绿色、经济的综合交通体系，完善综合立体交通网主骨架</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完善“三环四联七横七纵”的公路综合运输通道</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持续推动公路提质增效，推动实施G305</w:t>
      </w:r>
      <w:r>
        <w:rPr>
          <w:rFonts w:hint="eastAsia" w:ascii="Times New Roman" w:hAnsi="Times New Roman" w:eastAsia="仿宋_GB2312" w:cs="方正仿宋_GBK"/>
          <w:b w:val="0"/>
          <w:bCs w:val="0"/>
          <w:color w:val="auto"/>
          <w:highlight w:val="none"/>
          <w:lang w:val="en-US" w:eastAsia="zh-CN"/>
        </w:rPr>
        <w:t>大黑山至羊场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羊场至昆都勒、</w:t>
      </w:r>
      <w:r>
        <w:rPr>
          <w:rFonts w:hint="eastAsia" w:ascii="Times New Roman" w:hAnsi="Times New Roman" w:eastAsia="仿宋_GB2312" w:cs="方正仿宋_GBK"/>
          <w:b w:val="0"/>
          <w:bCs w:val="0"/>
          <w:color w:val="auto"/>
          <w:highlight w:val="none"/>
          <w:lang w:val="en-US" w:eastAsia="zh-CN"/>
        </w:rPr>
        <w:t>宝日勿苏至林东</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G306牛营子至木头沟</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巴林桥至</w:t>
      </w:r>
      <w:r>
        <w:rPr>
          <w:rFonts w:hint="eastAsia" w:eastAsia="仿宋_GB2312" w:cs="方正仿宋_GBK"/>
          <w:b w:val="0"/>
          <w:bCs w:val="0"/>
          <w:color w:val="auto"/>
          <w:highlight w:val="none"/>
          <w:lang w:val="en-US" w:eastAsia="zh-CN"/>
        </w:rPr>
        <w:t>双井、</w:t>
      </w:r>
      <w:r>
        <w:rPr>
          <w:rFonts w:hint="eastAsia" w:ascii="Times New Roman" w:hAnsi="Times New Roman" w:eastAsia="仿宋_GB2312" w:cs="方正仿宋_GBK"/>
          <w:b w:val="0"/>
          <w:bCs w:val="0"/>
          <w:color w:val="auto"/>
          <w:highlight w:val="none"/>
          <w:lang w:val="en-US" w:eastAsia="zh-CN"/>
        </w:rPr>
        <w:t>G111木头沟至安庆、G614十家至东六家、G16丹锡高速东方红互通、G303经棚至阿其乌拉、省道206新立营子至大板段、S28乌丹至天山高速公路、省道210线格日朝鲁（赤通界）至巴彦温都段等</w:t>
      </w:r>
      <w:r>
        <w:rPr>
          <w:rFonts w:hint="eastAsia" w:ascii="Times New Roman" w:hAnsi="Times New Roman" w:eastAsia="仿宋_GB2312" w:cs="方正仿宋_GBK"/>
          <w:b w:val="0"/>
          <w:bCs w:val="0"/>
          <w:color w:val="auto"/>
          <w:highlight w:val="none"/>
        </w:rPr>
        <w:t>重点公路项目。加快完善铁路网布局，推动林白铁路、巴新铁路等重大项目建设。织密航空运输网络，重点推动新建林西</w:t>
      </w:r>
      <w:r>
        <w:rPr>
          <w:rFonts w:hint="eastAsia" w:ascii="Times New Roman" w:hAnsi="Times New Roman" w:eastAsia="仿宋_GB2312" w:cs="方正仿宋_GBK"/>
          <w:b w:val="0"/>
          <w:bCs w:val="0"/>
          <w:color w:val="auto"/>
          <w:highlight w:val="none"/>
          <w:lang w:val="en-US" w:eastAsia="zh-CN"/>
        </w:rPr>
        <w:t>支线</w:t>
      </w:r>
      <w:r>
        <w:rPr>
          <w:rFonts w:hint="eastAsia" w:ascii="Times New Roman" w:hAnsi="Times New Roman" w:eastAsia="仿宋_GB2312" w:cs="方正仿宋_GBK"/>
          <w:b w:val="0"/>
          <w:bCs w:val="0"/>
          <w:color w:val="auto"/>
          <w:highlight w:val="none"/>
        </w:rPr>
        <w:t>机场</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构建“干支通”功能互补的多层级机场体系。</w:t>
      </w:r>
    </w:p>
    <w:p w14:paraId="13F70AC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43" w:name="_Toc31032"/>
      <w:r>
        <w:rPr>
          <w:rFonts w:hint="eastAsia" w:ascii="Times New Roman" w:hAnsi="Times New Roman" w:eastAsia="仿宋_GB2312" w:cs="方正仿宋_GBK"/>
          <w:b w:val="0"/>
          <w:bCs w:val="0"/>
          <w:color w:val="auto"/>
          <w:highlight w:val="none"/>
          <w:lang w:val="en-US" w:eastAsia="zh-CN"/>
        </w:rPr>
        <w:t>提升能源基础设施保障水平</w:t>
      </w:r>
      <w:bookmarkEnd w:id="543"/>
      <w:r>
        <w:rPr>
          <w:rFonts w:hint="eastAsia" w:eastAsia="仿宋_GB2312" w:cs="方正仿宋_GBK"/>
          <w:b w:val="0"/>
          <w:bCs w:val="0"/>
          <w:color w:val="auto"/>
          <w:highlight w:val="none"/>
          <w:lang w:val="en-US" w:eastAsia="zh-CN"/>
        </w:rPr>
        <w:t>。坚持</w:t>
      </w:r>
      <w:r>
        <w:rPr>
          <w:rFonts w:hint="eastAsia" w:ascii="Times New Roman" w:hAnsi="Times New Roman" w:eastAsia="仿宋_GB2312" w:cs="方正仿宋_GBK"/>
          <w:b w:val="0"/>
          <w:bCs w:val="0"/>
          <w:color w:val="auto"/>
          <w:highlight w:val="none"/>
        </w:rPr>
        <w:t>外送通道与内部联网、地上电网与地下管网协同推进，构建区域复合型智能化输用能体系。争取赤峰市浑善达克和科尔沁沙地±800千伏直流特高压电力外送通道工程纳规并落地建设，推动宁城500千伏和敖汉500千伏输变电工程建成投运、松山500千伏输变电工程获批实施，着力构建以500千伏为主网架、220千伏为支撑的“一主双环四通道”骨干网架结构。争取赤峰至锦州港、赤峰至京津冀绿氢（绿氨、绿醇）长输管道工程纳规并建成完工，推动赤峰市绿氢管道内部联网工程全面启动并建成投运，加速构建对内绿氢联通12个旗县区、对外绿氢绿氨绿醇“出区达海”</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“进京入沪”大输送管网体系。推动长春至石家庄天然气长输管道赤峰段干线工程及盘锦至赤峰联络线工程、赤北开口门站天然气直供赤峰大工业用户管道工程、通辽至赤峰天然气长输管道联网工程建成投运，</w:t>
      </w:r>
      <w:r>
        <w:rPr>
          <w:rFonts w:hint="eastAsia" w:eastAsia="仿宋_GB2312" w:cs="方正仿宋_GBK"/>
          <w:b w:val="0"/>
          <w:bCs w:val="0"/>
          <w:color w:val="auto"/>
          <w:highlight w:val="none"/>
          <w:lang w:val="en-US" w:eastAsia="zh-CN"/>
        </w:rPr>
        <w:t>力争</w:t>
      </w:r>
      <w:r>
        <w:rPr>
          <w:rFonts w:hint="eastAsia" w:ascii="Times New Roman" w:hAnsi="Times New Roman" w:eastAsia="仿宋_GB2312" w:cs="方正仿宋_GBK"/>
          <w:b w:val="0"/>
          <w:bCs w:val="0"/>
          <w:color w:val="auto"/>
          <w:highlight w:val="none"/>
        </w:rPr>
        <w:t>全市新增天然气年输气能力10亿立方米。</w:t>
      </w:r>
    </w:p>
    <w:p w14:paraId="71A8F99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44" w:name="_Toc7728"/>
      <w:r>
        <w:rPr>
          <w:rFonts w:hint="eastAsia" w:ascii="Times New Roman" w:hAnsi="Times New Roman" w:eastAsia="仿宋_GB2312" w:cs="方正仿宋_GBK"/>
          <w:b w:val="0"/>
          <w:bCs w:val="0"/>
          <w:color w:val="auto"/>
          <w:highlight w:val="none"/>
          <w:lang w:val="en-US" w:eastAsia="zh-CN"/>
        </w:rPr>
        <w:t>构建水安全保障体系</w:t>
      </w:r>
      <w:bookmarkEnd w:id="544"/>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深入践行习近平总书记“节水优先、空间均衡、系统治理、两手发力”治水思路，以提升水旱灾害防御能力、水资源节约集约利用能力、水资源优化配置能力为目标，加快建设现代化水网，增强水资源统筹调配、城乡供水保障</w:t>
      </w:r>
      <w:r>
        <w:rPr>
          <w:rFonts w:hint="eastAsia"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lang w:val="en-US" w:eastAsia="zh-CN"/>
        </w:rPr>
        <w:t>洪涝灾害防御能力。</w:t>
      </w:r>
      <w:r>
        <w:rPr>
          <w:rFonts w:hint="eastAsia" w:ascii="Times New Roman" w:hAnsi="Times New Roman" w:eastAsia="仿宋_GB2312" w:cs="方正仿宋_GBK"/>
          <w:b w:val="0"/>
          <w:bCs w:val="0"/>
          <w:color w:val="auto"/>
          <w:highlight w:val="none"/>
        </w:rPr>
        <w:t>加快重点水利工程建设，实施好LXB供水支线等重点工程，争取东台子水库赤峰中心城区引供水工程、克旗同兴水库工程前期工作取得积极进展，推动工程尽快落地实施。</w:t>
      </w:r>
      <w:r>
        <w:rPr>
          <w:rFonts w:hint="eastAsia" w:ascii="Times New Roman" w:hAnsi="Times New Roman" w:eastAsia="仿宋_GB2312" w:cs="方正仿宋_GBK"/>
          <w:b w:val="0"/>
          <w:bCs w:val="0"/>
          <w:color w:val="auto"/>
          <w:highlight w:val="none"/>
          <w:lang w:val="en-US" w:eastAsia="zh-CN"/>
        </w:rPr>
        <w:t>配合推进BSND工程前期工作</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实施</w:t>
      </w:r>
      <w:r>
        <w:rPr>
          <w:rFonts w:hint="eastAsia" w:ascii="Times New Roman" w:hAnsi="Times New Roman" w:eastAsia="仿宋_GB2312" w:cs="方正仿宋_GBK"/>
          <w:b w:val="0"/>
          <w:bCs w:val="0"/>
          <w:color w:val="auto"/>
          <w:highlight w:val="none"/>
        </w:rPr>
        <w:t>饮水安全保障工程，推进城乡供水一体化、农村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供水规模化发展及小型供水工程标准化改造，增强农村牧区供水保障能力。</w:t>
      </w:r>
      <w:r>
        <w:rPr>
          <w:rFonts w:hint="eastAsia" w:ascii="Times New Roman" w:hAnsi="Times New Roman" w:eastAsia="仿宋_GB2312" w:cs="方正仿宋_GBK"/>
          <w:b w:val="0"/>
          <w:bCs w:val="0"/>
          <w:color w:val="auto"/>
          <w:highlight w:val="none"/>
          <w:lang w:val="en-US" w:eastAsia="zh-CN"/>
        </w:rPr>
        <w:t>加强防洪抗旱减灾能力建设</w:t>
      </w:r>
      <w:r>
        <w:rPr>
          <w:rFonts w:hint="eastAsia" w:ascii="Times New Roman" w:hAnsi="Times New Roman" w:eastAsia="仿宋_GB2312" w:cs="方正仿宋_GBK"/>
          <w:b w:val="0"/>
          <w:bCs w:val="0"/>
          <w:color w:val="auto"/>
          <w:highlight w:val="none"/>
        </w:rPr>
        <w:t>，持续实施一批河道治理、山洪沟治理、水库水闸除险加固项目。</w:t>
      </w:r>
    </w:p>
    <w:p w14:paraId="5F2AB66B">
      <w:pPr>
        <w:pStyle w:val="43"/>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643"/>
        <w:jc w:val="left"/>
        <w:textAlignment w:val="auto"/>
        <w:outlineLvl w:val="3"/>
        <w:rPr>
          <w:rFonts w:hint="eastAsia" w:ascii="Times New Roman" w:hAnsi="Times New Roman" w:eastAsia="方正仿宋_GBK" w:cs="方正仿宋_GBK"/>
          <w:b w:val="0"/>
          <w:bCs w:val="0"/>
          <w:color w:val="auto"/>
          <w:highlight w:val="none"/>
        </w:rPr>
      </w:pPr>
      <w:bookmarkStart w:id="545" w:name="_Toc3023"/>
      <w:r>
        <w:rPr>
          <w:rFonts w:hint="eastAsia" w:ascii="Times New Roman" w:hAnsi="Times New Roman" w:eastAsia="仿宋_GB2312" w:cs="方正仿宋_GBK"/>
          <w:b w:val="0"/>
          <w:bCs w:val="0"/>
          <w:color w:val="auto"/>
          <w:highlight w:val="none"/>
          <w:lang w:val="en-US" w:eastAsia="zh-CN"/>
        </w:rPr>
        <w:t>建设新型基础设施</w:t>
      </w:r>
      <w:bookmarkEnd w:id="545"/>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坚持适度超前、按需部署、有序推进、建用并重原则，加强全局性谋划、战略性部署、整体性推进，加速布局信息基础设施，稳步发展融合基础设施，构建面向未来的新型基础设施体系。</w:t>
      </w:r>
      <w:r>
        <w:rPr>
          <w:rFonts w:hint="eastAsia" w:eastAsia="仿宋_GB2312" w:cs="方正仿宋_GBK"/>
          <w:b w:val="0"/>
          <w:bCs w:val="0"/>
          <w:color w:val="auto"/>
          <w:highlight w:val="none"/>
          <w:lang w:val="en-US" w:eastAsia="zh-CN"/>
        </w:rPr>
        <w:t>完善</w:t>
      </w:r>
      <w:r>
        <w:rPr>
          <w:rFonts w:hint="eastAsia" w:ascii="Times New Roman" w:hAnsi="Times New Roman" w:eastAsia="仿宋_GB2312" w:cs="方正仿宋_GBK"/>
          <w:b w:val="0"/>
          <w:bCs w:val="0"/>
          <w:color w:val="auto"/>
          <w:highlight w:val="none"/>
          <w:lang w:val="en-US" w:eastAsia="zh-CN"/>
        </w:rPr>
        <w:t>信息基础设施，</w:t>
      </w:r>
      <w:r>
        <w:rPr>
          <w:rFonts w:hint="eastAsia" w:ascii="Times New Roman" w:hAnsi="Times New Roman" w:eastAsia="仿宋_GB2312" w:cs="方正仿宋_GBK"/>
          <w:b w:val="0"/>
          <w:bCs w:val="0"/>
          <w:color w:val="auto"/>
          <w:highlight w:val="none"/>
        </w:rPr>
        <w:t>体系化推进5G、千兆光纤网规模部署，深入推动5G规模化应用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推动物联网深度覆盖，面向工业制造、农业生产、应急管理、产业园区等重点领域，加大物联网感知设施规模部署和应用场景开放建设力度，</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行业（区域）级工业互联网平台部署云化IT资源</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推进信息化与工业化融合发展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布局算力网络，</w:t>
      </w:r>
      <w:r>
        <w:rPr>
          <w:rFonts w:hint="eastAsia" w:ascii="Times New Roman" w:hAnsi="Times New Roman" w:eastAsia="仿宋_GB2312" w:cs="方正仿宋_GBK"/>
          <w:b w:val="0"/>
          <w:bCs w:val="0"/>
          <w:color w:val="auto"/>
          <w:highlight w:val="none"/>
        </w:rPr>
        <w:t>加快推进赤峰市算力中心项目建设，</w:t>
      </w:r>
      <w:r>
        <w:rPr>
          <w:rFonts w:hint="eastAsia" w:eastAsia="仿宋_GB2312" w:cs="方正仿宋_GBK"/>
          <w:b w:val="0"/>
          <w:bCs w:val="0"/>
          <w:color w:val="auto"/>
          <w:highlight w:val="none"/>
          <w:lang w:val="en-US" w:eastAsia="zh-CN"/>
        </w:rPr>
        <w:t>积极推进算电协同</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建设算力监测体系、建设公共传输通道、打造算力应用场景、落实“数据要素×”行动，构建技术先进、布局合理、供需匹配、安全可靠、绿色低碳的算力基础设施高质量发展格局</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推动融入全国一体化算力网。</w:t>
      </w:r>
      <w:r>
        <w:rPr>
          <w:rFonts w:hint="eastAsia"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lang w:val="en-US" w:eastAsia="zh-CN"/>
        </w:rPr>
        <w:t>融合基础设施，推动传统基础设施智能化改造，加快电网在线监测终端全覆盖，夯实电源侧、电网侧、用电侧的全域全程在线感知、数据采集、网络传输、数据中台等基础；实施智慧交通工程，推动主要城市道路、公路重点路段和枢纽等重要节点的交通感知网络覆盖；实施智慧水利工程，开展数字孪生工程、数字孪生流域和数字孪生水网建设，完善空天地一体化水利感知网。</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96E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BFD939F">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13 基础设施</w:t>
            </w:r>
            <w:r>
              <w:rPr>
                <w:rFonts w:hint="eastAsia" w:ascii="Times New Roman" w:hAnsi="Times New Roman" w:eastAsia="仿宋_GB2312" w:cs="Times New Roman"/>
                <w:b w:val="0"/>
                <w:bCs w:val="0"/>
                <w:sz w:val="24"/>
                <w:highlight w:val="none"/>
              </w:rPr>
              <w:t>重大工程</w:t>
            </w:r>
          </w:p>
        </w:tc>
      </w:tr>
      <w:tr w14:paraId="2300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453E306E">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交通基础设施重点工程：重点推进G305大黑山至羊场、羊场至昆都勒、G306牛营子至木头沟、G111木头沟至安庆、G614十家至东六家、S206新立营子至大板段、S210线格日朝鲁（赤通界）至巴彦温都公路、林西支线机场、宁城县通用机场等工程项目。</w:t>
            </w:r>
          </w:p>
          <w:p w14:paraId="183A1F3E">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能源基础设施重点工程：重点推进赤峰市浑善达克和科尔沁沙地±800千伏直流特高压电力外送通道工程、宁城500千伏和敖汉500千伏及松山500千伏输变电工程、赤峰市至锦州港和赤峰市至京津冀绿色氢氨醇长输管道工程、赤峰市绿氢管道内部联网工程、长春至石家庄天然气长输管道赤峰段干线工程及盘锦至赤峰联络线工程、赤北开口门站天然气直供赤峰大工业用户管道工程、通辽至赤峰天然气长输管道联网工程等重大工程项目。</w:t>
            </w:r>
          </w:p>
          <w:p w14:paraId="4802BCFE">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水利基础设施重点工程：重点推进</w:t>
            </w:r>
            <w:r>
              <w:rPr>
                <w:rFonts w:hint="eastAsia" w:ascii="Times New Roman" w:hAnsi="Times New Roman" w:eastAsia="仿宋_GB2312" w:cs="Times New Roman"/>
                <w:b w:val="0"/>
                <w:bCs w:val="0"/>
                <w:highlight w:val="none"/>
              </w:rPr>
              <w:t>LXB供水</w:t>
            </w:r>
            <w:r>
              <w:rPr>
                <w:rFonts w:hint="eastAsia" w:ascii="Times New Roman" w:hAnsi="Times New Roman" w:eastAsia="仿宋_GB2312" w:cs="Times New Roman"/>
                <w:b w:val="0"/>
                <w:bCs w:val="0"/>
                <w:highlight w:val="none"/>
                <w:lang w:val="en-US" w:eastAsia="zh-CN"/>
              </w:rPr>
              <w:t>工程</w:t>
            </w:r>
            <w:r>
              <w:rPr>
                <w:rFonts w:hint="eastAsia" w:ascii="Times New Roman" w:hAnsi="Times New Roman" w:eastAsia="仿宋_GB2312" w:cs="Times New Roman"/>
                <w:b w:val="0"/>
                <w:bCs w:val="0"/>
                <w:highlight w:val="none"/>
              </w:rPr>
              <w:t>赤峰线</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琥珀沟水利枢纽工程</w:t>
            </w:r>
            <w:r>
              <w:rPr>
                <w:rFonts w:hint="eastAsia" w:ascii="Times New Roman" w:hAnsi="Times New Roman" w:eastAsia="仿宋_GB2312" w:cs="Times New Roman"/>
                <w:b w:val="0"/>
                <w:bCs w:val="0"/>
                <w:highlight w:val="none"/>
                <w:lang w:val="en-US" w:eastAsia="zh-CN"/>
              </w:rPr>
              <w:t>等工程项目。</w:t>
            </w:r>
          </w:p>
          <w:p w14:paraId="15F13DD8">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通信基础设施重点工程：重点推进巴林左旗通信基站建设、克什克腾旗重点场所5G通信基站建设等工程项目。</w:t>
            </w:r>
          </w:p>
        </w:tc>
      </w:tr>
    </w:tbl>
    <w:p w14:paraId="507E4344">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rPr>
      </w:pPr>
    </w:p>
    <w:p w14:paraId="3C89A19D">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rPr>
      </w:pPr>
      <w:bookmarkStart w:id="546" w:name="_Toc10180"/>
      <w:bookmarkStart w:id="547" w:name="_Toc14296"/>
      <w:bookmarkStart w:id="548" w:name="_Toc31009"/>
      <w:bookmarkStart w:id="549" w:name="_Toc32267"/>
      <w:bookmarkStart w:id="550" w:name="_Toc7573"/>
      <w:bookmarkStart w:id="551" w:name="_Toc1040"/>
      <w:bookmarkStart w:id="552" w:name="_Toc13833"/>
      <w:bookmarkStart w:id="553" w:name="_Toc32486"/>
      <w:bookmarkStart w:id="554" w:name="_Toc1707"/>
      <w:bookmarkStart w:id="555" w:name="_Toc20092"/>
      <w:bookmarkStart w:id="556" w:name="_Toc14522"/>
      <w:bookmarkStart w:id="557" w:name="_Toc10577"/>
      <w:bookmarkStart w:id="558" w:name="_Toc8910"/>
      <w:bookmarkStart w:id="559" w:name="_Toc9440"/>
      <w:r>
        <w:rPr>
          <w:rFonts w:hint="eastAsia" w:ascii="黑体" w:hAnsi="黑体" w:eastAsia="黑体" w:cs="黑体"/>
          <w:b w:val="0"/>
          <w:bCs w:val="0"/>
          <w:sz w:val="32"/>
          <w:szCs w:val="32"/>
          <w:highlight w:val="none"/>
          <w:lang w:eastAsia="zh-CN"/>
        </w:rPr>
        <w:t>推进乡村全面振兴，建设</w:t>
      </w:r>
      <w:r>
        <w:rPr>
          <w:rFonts w:hint="eastAsia" w:ascii="黑体" w:hAnsi="黑体" w:eastAsia="黑体" w:cs="黑体"/>
          <w:b w:val="0"/>
          <w:bCs w:val="0"/>
          <w:sz w:val="32"/>
          <w:szCs w:val="32"/>
          <w:highlight w:val="none"/>
          <w:lang w:val="en-US" w:eastAsia="zh-CN"/>
        </w:rPr>
        <w:t>现代化</w:t>
      </w:r>
      <w:r>
        <w:rPr>
          <w:rFonts w:hint="eastAsia" w:ascii="黑体" w:hAnsi="黑体" w:eastAsia="黑体" w:cs="黑体"/>
          <w:b w:val="0"/>
          <w:bCs w:val="0"/>
          <w:sz w:val="32"/>
          <w:szCs w:val="32"/>
          <w:highlight w:val="none"/>
          <w:lang w:eastAsia="zh-CN"/>
        </w:rPr>
        <w:t>新农村新牧区</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5FAF3374">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color w:val="auto"/>
          <w:spacing w:val="0"/>
          <w:kern w:val="2"/>
          <w:highlight w:val="none"/>
          <w:lang w:val="en-US" w:eastAsia="zh-CN"/>
        </w:rPr>
      </w:pPr>
      <w:r>
        <w:rPr>
          <w:rFonts w:hint="eastAsia" w:ascii="Times New Roman" w:hAnsi="Times New Roman" w:eastAsia="仿宋_GB2312" w:cs="方正仿宋_GBK"/>
          <w:b w:val="0"/>
          <w:bCs w:val="0"/>
          <w:color w:val="auto"/>
          <w:spacing w:val="0"/>
          <w:kern w:val="2"/>
          <w:highlight w:val="none"/>
          <w:lang w:val="en-US" w:eastAsia="zh-CN"/>
        </w:rPr>
        <w:t>立足农牧业大市、农村牧区人口大市实际，</w:t>
      </w:r>
      <w:r>
        <w:rPr>
          <w:rFonts w:hint="eastAsia" w:ascii="Times New Roman" w:hAnsi="Times New Roman" w:eastAsia="仿宋_GB2312" w:cs="方正仿宋_GBK"/>
          <w:b w:val="0"/>
          <w:bCs w:val="0"/>
          <w:color w:val="auto"/>
          <w:spacing w:val="0"/>
          <w:kern w:val="2"/>
          <w:highlight w:val="none"/>
        </w:rPr>
        <w:t>把解决好“三农”问题作为重中之重，</w:t>
      </w:r>
      <w:r>
        <w:rPr>
          <w:rFonts w:hint="eastAsia" w:ascii="Times New Roman" w:hAnsi="Times New Roman" w:eastAsia="仿宋_GB2312" w:cs="方正仿宋_GBK"/>
          <w:b w:val="0"/>
          <w:bCs w:val="0"/>
          <w:color w:val="auto"/>
          <w:spacing w:val="0"/>
          <w:kern w:val="2"/>
          <w:highlight w:val="none"/>
          <w:lang w:val="en-US" w:eastAsia="zh-CN"/>
        </w:rPr>
        <w:t>以振兴乡村行动为抓手，持续巩固拓展脱贫攻坚成果，分类有序、片区化推进乡村振兴，逐步提高农村牧区基础设施完备度、公共服务便利度、人居环境舒适度</w:t>
      </w:r>
      <w:r>
        <w:rPr>
          <w:rFonts w:hint="eastAsia" w:eastAsia="仿宋_GB2312" w:cs="方正仿宋_GBK"/>
          <w:b w:val="0"/>
          <w:bCs w:val="0"/>
          <w:color w:val="auto"/>
          <w:spacing w:val="0"/>
          <w:kern w:val="2"/>
          <w:highlight w:val="none"/>
          <w:lang w:val="en-US" w:eastAsia="zh-CN"/>
        </w:rPr>
        <w:t>，</w:t>
      </w:r>
      <w:r>
        <w:rPr>
          <w:rFonts w:hint="eastAsia" w:ascii="Times New Roman" w:hAnsi="Times New Roman" w:eastAsia="仿宋_GB2312" w:cs="方正仿宋_GBK"/>
          <w:b w:val="0"/>
          <w:bCs w:val="0"/>
          <w:color w:val="auto"/>
          <w:spacing w:val="0"/>
          <w:kern w:val="2"/>
          <w:highlight w:val="none"/>
        </w:rPr>
        <w:t>实现农牧区宜居宜业、农牧民富裕富足</w:t>
      </w:r>
      <w:r>
        <w:rPr>
          <w:rFonts w:hint="eastAsia" w:ascii="Times New Roman" w:hAnsi="Times New Roman" w:eastAsia="仿宋_GB2312" w:cs="方正仿宋_GBK"/>
          <w:b w:val="0"/>
          <w:bCs w:val="0"/>
          <w:color w:val="auto"/>
          <w:spacing w:val="0"/>
          <w:kern w:val="2"/>
          <w:highlight w:val="none"/>
          <w:lang w:val="en-US" w:eastAsia="zh-CN"/>
        </w:rPr>
        <w:t>，夯实农村牧区现代化基本盘</w:t>
      </w:r>
      <w:r>
        <w:rPr>
          <w:rFonts w:hint="eastAsia" w:eastAsia="仿宋_GB2312" w:cs="方正仿宋_GBK"/>
          <w:b w:val="0"/>
          <w:bCs w:val="0"/>
          <w:color w:val="auto"/>
          <w:spacing w:val="0"/>
          <w:kern w:val="2"/>
          <w:highlight w:val="none"/>
          <w:lang w:val="en-US" w:eastAsia="zh-CN"/>
        </w:rPr>
        <w:t>。</w:t>
      </w:r>
    </w:p>
    <w:p w14:paraId="7DBC43E4">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60" w:name="_Toc25895"/>
      <w:bookmarkStart w:id="561" w:name="_Toc18551"/>
      <w:bookmarkStart w:id="562" w:name="_Toc86"/>
      <w:bookmarkStart w:id="563" w:name="_Toc16690"/>
      <w:bookmarkStart w:id="564" w:name="_Toc19371"/>
      <w:bookmarkStart w:id="565" w:name="_Toc11305"/>
      <w:bookmarkStart w:id="566" w:name="_Toc24132"/>
      <w:bookmarkStart w:id="567" w:name="_Toc21845"/>
      <w:bookmarkStart w:id="568" w:name="_Toc10834"/>
      <w:bookmarkStart w:id="569" w:name="_Toc14118"/>
      <w:bookmarkStart w:id="570" w:name="_Toc26078"/>
      <w:bookmarkStart w:id="571" w:name="_Toc6100"/>
      <w:bookmarkStart w:id="572" w:name="_Toc6315"/>
      <w:bookmarkStart w:id="573" w:name="_Toc16710"/>
      <w:bookmarkStart w:id="574" w:name="_Toc13836"/>
      <w:bookmarkStart w:id="575" w:name="_Toc16681"/>
      <w:bookmarkStart w:id="576" w:name="_Toc17204"/>
      <w:bookmarkStart w:id="577" w:name="_Toc14041"/>
      <w:bookmarkStart w:id="578" w:name="_Toc13373"/>
      <w:bookmarkStart w:id="579" w:name="_Toc17915"/>
      <w:bookmarkStart w:id="580" w:name="_Toc17854"/>
      <w:bookmarkStart w:id="581" w:name="_Toc5284"/>
      <w:bookmarkStart w:id="582" w:name="_Toc17214"/>
      <w:r>
        <w:rPr>
          <w:rFonts w:hint="eastAsia" w:ascii="楷体_GB2312" w:hAnsi="楷体_GB2312" w:eastAsia="楷体_GB2312" w:cs="楷体_GB2312"/>
          <w:b w:val="0"/>
          <w:bCs w:val="0"/>
          <w:color w:val="auto"/>
          <w:sz w:val="32"/>
          <w:szCs w:val="40"/>
          <w:highlight w:val="none"/>
          <w:lang w:val="en-US" w:eastAsia="zh-CN"/>
        </w:rPr>
        <w:t>建设宜居宜业和美乡村</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4796535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spacing w:val="0"/>
          <w:kern w:val="2"/>
          <w:highlight w:val="none"/>
        </w:rPr>
        <w:t>学习运用“千万工程”经验，</w:t>
      </w:r>
      <w:r>
        <w:rPr>
          <w:rFonts w:hint="eastAsia" w:ascii="Times New Roman" w:hAnsi="Times New Roman" w:eastAsia="仿宋_GB2312" w:cs="方正仿宋_GBK"/>
          <w:b w:val="0"/>
          <w:bCs w:val="0"/>
          <w:spacing w:val="0"/>
          <w:kern w:val="2"/>
          <w:highlight w:val="none"/>
          <w:lang w:val="en-US" w:eastAsia="zh-CN"/>
        </w:rPr>
        <w:t>提高农村牧区基础设施完备度、公共服务便利度、人居环境舒适度，推动农村牧区基本具备现代化生活条件，</w:t>
      </w:r>
      <w:r>
        <w:rPr>
          <w:rFonts w:hint="eastAsia" w:ascii="Times New Roman" w:hAnsi="Times New Roman" w:eastAsia="仿宋_GB2312" w:cs="方正仿宋_GBK"/>
          <w:b w:val="0"/>
          <w:bCs w:val="0"/>
          <w:spacing w:val="0"/>
          <w:kern w:val="2"/>
          <w:highlight w:val="none"/>
        </w:rPr>
        <w:t>建设彰显塞北风情的宜居宜业和美乡村。</w:t>
      </w:r>
    </w:p>
    <w:p w14:paraId="29768F0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rPr>
      </w:pPr>
      <w:bookmarkStart w:id="583" w:name="_Toc28082"/>
      <w:r>
        <w:rPr>
          <w:rFonts w:hint="eastAsia" w:ascii="Times New Roman" w:hAnsi="Times New Roman" w:eastAsia="仿宋_GB2312" w:cs="方正仿宋_GBK"/>
          <w:b w:val="0"/>
          <w:bCs w:val="0"/>
          <w:color w:val="auto"/>
          <w:spacing w:val="0"/>
          <w:kern w:val="2"/>
          <w:highlight w:val="none"/>
          <w:lang w:val="en-US" w:eastAsia="zh-CN"/>
        </w:rPr>
        <w:t>持续</w:t>
      </w:r>
      <w:r>
        <w:rPr>
          <w:rFonts w:hint="eastAsia" w:eastAsia="仿宋_GB2312" w:cs="方正仿宋_GBK"/>
          <w:b w:val="0"/>
          <w:bCs w:val="0"/>
          <w:color w:val="auto"/>
          <w:spacing w:val="0"/>
          <w:kern w:val="2"/>
          <w:highlight w:val="none"/>
          <w:lang w:val="en-US" w:eastAsia="zh-CN"/>
        </w:rPr>
        <w:t>提升</w:t>
      </w:r>
      <w:r>
        <w:rPr>
          <w:rFonts w:hint="eastAsia" w:ascii="Times New Roman" w:hAnsi="Times New Roman" w:eastAsia="仿宋_GB2312" w:cs="方正仿宋_GBK"/>
          <w:b w:val="0"/>
          <w:bCs w:val="0"/>
          <w:color w:val="auto"/>
          <w:spacing w:val="0"/>
          <w:kern w:val="2"/>
          <w:highlight w:val="none"/>
          <w:lang w:val="en-US" w:eastAsia="zh-CN"/>
        </w:rPr>
        <w:t>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lang w:val="en-US" w:eastAsia="zh-CN"/>
        </w:rPr>
        <w:t>人居环境</w:t>
      </w:r>
      <w:bookmarkEnd w:id="583"/>
      <w:r>
        <w:rPr>
          <w:rFonts w:hint="eastAsia" w:eastAsia="仿宋_GB2312" w:cs="方正仿宋_GBK"/>
          <w:b w:val="0"/>
          <w:bCs w:val="0"/>
          <w:color w:val="auto"/>
          <w:spacing w:val="0"/>
          <w:kern w:val="2"/>
          <w:highlight w:val="none"/>
          <w:lang w:val="en-US" w:eastAsia="zh-CN"/>
        </w:rPr>
        <w:t>。</w:t>
      </w:r>
      <w:r>
        <w:rPr>
          <w:rFonts w:hint="eastAsia" w:ascii="Times New Roman" w:hAnsi="Times New Roman" w:eastAsia="仿宋_GB2312" w:cs="方正仿宋_GBK"/>
          <w:b w:val="0"/>
          <w:bCs w:val="0"/>
          <w:spacing w:val="0"/>
          <w:kern w:val="2"/>
          <w:highlight w:val="none"/>
        </w:rPr>
        <w:t>扎实推进厕所革命，坚持宜水则水、宜旱则旱，统筹考虑卫生厕所建设和后续管护工作，稳步扩大农村牧区卫生厕所普及范围。梯次推进农村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生活污水治理，加强农村牧区污水、黑臭水体治理，优先治理人口聚集、环境敏感的重点区域，推广低成本、低能耗、易维护、高效率的污水处理技术和模式</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因地制宜建设污水处理设施。健全农村</w:t>
      </w:r>
      <w:r>
        <w:rPr>
          <w:rFonts w:hint="eastAsia" w:ascii="Times New Roman" w:hAnsi="Times New Roman"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生活垃圾收运处置体系，推行农村牧区生活垃圾源头分类减量和末端处理相结合的治理模式，完善“户分类、村收集、镇转运、区域处理”机制。整体提升村容村貌，深入实施村庄清洁行动，整治公共空间和庭院环境，消除私搭乱建、乱堆乱放，推动村庄从干净整洁向美丽宜居升级。全力推进乡村绿化美化建设，加快实施乡村绿化行动。不断健全完善农村牧区人居环境长效管护机制。</w:t>
      </w:r>
    </w:p>
    <w:p w14:paraId="15B7039A">
      <w:pPr>
        <w:pStyle w:val="43"/>
        <w:keepNext w:val="0"/>
        <w:keepLines w:val="0"/>
        <w:pageBreakBefore w:val="0"/>
        <w:shd w:val="clear" w:color="auto" w:fill="auto"/>
        <w:kinsoku/>
        <w:wordWrap/>
        <w:topLinePunct w:val="0"/>
        <w:autoSpaceDE/>
        <w:autoSpaceDN/>
        <w:bidi w:val="0"/>
        <w:adjustRightInd/>
        <w:spacing w:line="540" w:lineRule="exact"/>
        <w:jc w:val="left"/>
        <w:textAlignment w:val="auto"/>
        <w:outlineLvl w:val="3"/>
        <w:rPr>
          <w:rFonts w:hint="eastAsia" w:ascii="Times New Roman" w:hAnsi="Times New Roman" w:eastAsia="仿宋_GB2312" w:cs="方正仿宋_GBK"/>
          <w:b w:val="0"/>
          <w:bCs w:val="0"/>
          <w:spacing w:val="0"/>
          <w:kern w:val="2"/>
          <w:highlight w:val="none"/>
        </w:rPr>
      </w:pPr>
      <w:bookmarkStart w:id="584" w:name="_Toc3032"/>
      <w:r>
        <w:rPr>
          <w:rFonts w:hint="eastAsia" w:eastAsia="仿宋_GB2312" w:cs="方正仿宋_GBK"/>
          <w:b w:val="0"/>
          <w:bCs w:val="0"/>
          <w:color w:val="auto"/>
          <w:spacing w:val="0"/>
          <w:kern w:val="2"/>
          <w:highlight w:val="none"/>
          <w:lang w:val="en-US" w:eastAsia="zh-CN"/>
        </w:rPr>
        <w:t>完善</w:t>
      </w:r>
      <w:r>
        <w:rPr>
          <w:rFonts w:hint="eastAsia" w:ascii="Times New Roman" w:hAnsi="Times New Roman" w:eastAsia="仿宋_GB2312" w:cs="方正仿宋_GBK"/>
          <w:b w:val="0"/>
          <w:bCs w:val="0"/>
          <w:color w:val="auto"/>
          <w:spacing w:val="0"/>
          <w:kern w:val="2"/>
          <w:highlight w:val="none"/>
        </w:rPr>
        <w:t>基础设施和公共服务</w:t>
      </w:r>
      <w:bookmarkEnd w:id="584"/>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推动城乡基础设施互联互通</w:t>
      </w:r>
      <w:r>
        <w:rPr>
          <w:rFonts w:hint="eastAsia" w:ascii="Times New Roman" w:hAnsi="Times New Roman" w:eastAsia="仿宋_GB2312" w:cs="方正仿宋_GBK"/>
          <w:b w:val="0"/>
          <w:bCs w:val="0"/>
          <w:spacing w:val="0"/>
          <w:kern w:val="2"/>
          <w:highlight w:val="none"/>
          <w:lang w:val="en-US" w:eastAsia="zh-CN"/>
        </w:rPr>
        <w:t>和公共服务优质共享。进一步畅通</w:t>
      </w:r>
      <w:r>
        <w:rPr>
          <w:rFonts w:hint="eastAsia" w:ascii="Times New Roman" w:hAnsi="Times New Roman" w:eastAsia="仿宋_GB2312" w:cs="方正仿宋_GBK"/>
          <w:b w:val="0"/>
          <w:bCs w:val="0"/>
          <w:spacing w:val="0"/>
          <w:kern w:val="2"/>
          <w:highlight w:val="none"/>
        </w:rPr>
        <w:t>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道路</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持续抓好“四好农村路”建设，推进较大人口规模自然村（组）通硬化路建设，深入推进农村公路“安全生命防护工程”</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强化农村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防汛抗旱和供水保障</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加强防汛抗旱基础设施建设，实施规模化供水工程建设和小型供水工程标准化改造，稳步推进农村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饮水安全向供水保障转变。</w:t>
      </w:r>
      <w:r>
        <w:rPr>
          <w:rFonts w:hint="eastAsia" w:ascii="Times New Roman" w:hAnsi="Times New Roman" w:eastAsia="仿宋_GB2312" w:cs="方正仿宋_GBK"/>
          <w:b w:val="0"/>
          <w:bCs w:val="0"/>
          <w:spacing w:val="0"/>
          <w:kern w:val="2"/>
          <w:highlight w:val="none"/>
          <w:lang w:val="en-US" w:eastAsia="zh-CN"/>
        </w:rPr>
        <w:t>推进</w:t>
      </w:r>
      <w:r>
        <w:rPr>
          <w:rFonts w:hint="eastAsia" w:ascii="Times New Roman" w:hAnsi="Times New Roman" w:eastAsia="仿宋_GB2312" w:cs="方正仿宋_GBK"/>
          <w:b w:val="0"/>
          <w:bCs w:val="0"/>
          <w:spacing w:val="0"/>
          <w:kern w:val="2"/>
          <w:highlight w:val="none"/>
        </w:rPr>
        <w:t>清洁能源建设</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巩固提升农村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电力保障水平，推进城乡配电网建设，提高边远地区供电保障能力</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发展太阳能、风能、水能、地热能、生物质能等清洁能源，稳妥有序推进农村</w:t>
      </w:r>
      <w:r>
        <w:rPr>
          <w:rFonts w:hint="eastAsia" w:ascii="Times New Roman" w:hAnsi="Times New Roman" w:eastAsia="仿宋_GB2312" w:cs="方正仿宋_GBK"/>
          <w:b w:val="0"/>
          <w:bCs w:val="0"/>
          <w:spacing w:val="0"/>
          <w:kern w:val="2"/>
          <w:highlight w:val="none"/>
          <w:lang w:eastAsia="zh-CN"/>
        </w:rPr>
        <w:t>牧区</w:t>
      </w:r>
      <w:r>
        <w:rPr>
          <w:rFonts w:hint="eastAsia" w:ascii="Times New Roman" w:hAnsi="Times New Roman" w:eastAsia="仿宋_GB2312" w:cs="方正仿宋_GBK"/>
          <w:b w:val="0"/>
          <w:bCs w:val="0"/>
          <w:spacing w:val="0"/>
          <w:kern w:val="2"/>
          <w:highlight w:val="none"/>
        </w:rPr>
        <w:t>清洁取暖。</w:t>
      </w:r>
      <w:r>
        <w:rPr>
          <w:rFonts w:hint="eastAsia" w:ascii="Times New Roman" w:hAnsi="Times New Roman" w:eastAsia="仿宋_GB2312" w:cs="方正仿宋_GBK"/>
          <w:b w:val="0"/>
          <w:bCs w:val="0"/>
          <w:spacing w:val="0"/>
          <w:kern w:val="2"/>
          <w:highlight w:val="none"/>
          <w:lang w:val="en-US" w:eastAsia="zh-CN"/>
        </w:rPr>
        <w:t>建设</w:t>
      </w:r>
      <w:r>
        <w:rPr>
          <w:rFonts w:hint="eastAsia" w:ascii="Times New Roman" w:hAnsi="Times New Roman" w:eastAsia="仿宋_GB2312" w:cs="方正仿宋_GBK"/>
          <w:b w:val="0"/>
          <w:bCs w:val="0"/>
          <w:spacing w:val="0"/>
          <w:kern w:val="2"/>
          <w:highlight w:val="none"/>
        </w:rPr>
        <w:t>数字乡村</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推进数字技术与农村生产生活深度融合，持续开展</w:t>
      </w:r>
      <w:r>
        <w:rPr>
          <w:rFonts w:hint="eastAsia" w:eastAsia="仿宋_GB2312" w:cs="方正仿宋_GBK"/>
          <w:b w:val="0"/>
          <w:bCs w:val="0"/>
          <w:spacing w:val="0"/>
          <w:kern w:val="2"/>
          <w:highlight w:val="none"/>
          <w:lang w:val="en-US" w:eastAsia="zh-CN"/>
        </w:rPr>
        <w:t>自治区</w:t>
      </w:r>
      <w:r>
        <w:rPr>
          <w:rFonts w:hint="eastAsia" w:ascii="Times New Roman" w:hAnsi="Times New Roman" w:eastAsia="仿宋_GB2312" w:cs="方正仿宋_GBK"/>
          <w:b w:val="0"/>
          <w:bCs w:val="0"/>
          <w:spacing w:val="0"/>
          <w:kern w:val="2"/>
          <w:highlight w:val="none"/>
        </w:rPr>
        <w:t>数字乡村试点</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加强农村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信息基础设施建设，深化光纤网络、移动通信网络、数字电视覆盖，进一步提升农村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通信网络质量和覆盖水平。</w:t>
      </w:r>
      <w:r>
        <w:rPr>
          <w:rFonts w:hint="eastAsia" w:ascii="Times New Roman" w:hAnsi="Times New Roman" w:eastAsia="仿宋_GB2312" w:cs="方正仿宋_GBK"/>
          <w:b w:val="0"/>
          <w:bCs w:val="0"/>
          <w:spacing w:val="0"/>
          <w:kern w:val="2"/>
          <w:highlight w:val="none"/>
          <w:lang w:val="en-US" w:eastAsia="zh-CN"/>
        </w:rPr>
        <w:t>提升</w:t>
      </w:r>
      <w:r>
        <w:rPr>
          <w:rFonts w:hint="eastAsia" w:ascii="Times New Roman" w:hAnsi="Times New Roman" w:eastAsia="仿宋_GB2312" w:cs="方正仿宋_GBK"/>
          <w:b w:val="0"/>
          <w:bCs w:val="0"/>
          <w:spacing w:val="0"/>
          <w:kern w:val="2"/>
          <w:highlight w:val="none"/>
        </w:rPr>
        <w:t>农房质量安全</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推进农村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低收入群体等重点对象危房改造和地震高烈度设防地区农房抗震改造，逐步建立健全农村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低收入群体住房安全保障长效机制。推动基本公共服务资源下沉，提高农村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教育、医疗、养老、文化等公共服务供给质量，推进城乡基本公共服务标准统一、制度并轨。加强</w:t>
      </w:r>
      <w:r>
        <w:rPr>
          <w:rFonts w:hint="eastAsia" w:eastAsia="仿宋_GB2312" w:cs="方正仿宋_GBK"/>
          <w:b w:val="0"/>
          <w:bCs w:val="0"/>
          <w:spacing w:val="0"/>
          <w:kern w:val="2"/>
          <w:highlight w:val="none"/>
          <w:lang w:val="en-US" w:eastAsia="zh-CN"/>
        </w:rPr>
        <w:t>苏木</w:t>
      </w:r>
      <w:r>
        <w:rPr>
          <w:rFonts w:hint="eastAsia" w:ascii="Times New Roman" w:hAnsi="Times New Roman" w:eastAsia="仿宋_GB2312" w:cs="方正仿宋_GBK"/>
          <w:b w:val="0"/>
          <w:bCs w:val="0"/>
          <w:spacing w:val="0"/>
          <w:kern w:val="2"/>
          <w:highlight w:val="none"/>
        </w:rPr>
        <w:t>乡镇卫生院和</w:t>
      </w:r>
      <w:r>
        <w:rPr>
          <w:rFonts w:hint="eastAsia" w:eastAsia="仿宋_GB2312" w:cs="方正仿宋_GBK"/>
          <w:b w:val="0"/>
          <w:bCs w:val="0"/>
          <w:spacing w:val="0"/>
          <w:kern w:val="2"/>
          <w:highlight w:val="none"/>
          <w:lang w:val="en-US" w:eastAsia="zh-CN"/>
        </w:rPr>
        <w:t>嘎查</w:t>
      </w:r>
      <w:r>
        <w:rPr>
          <w:rFonts w:hint="eastAsia" w:ascii="Times New Roman" w:hAnsi="Times New Roman" w:eastAsia="仿宋_GB2312" w:cs="方正仿宋_GBK"/>
          <w:b w:val="0"/>
          <w:bCs w:val="0"/>
          <w:spacing w:val="0"/>
          <w:kern w:val="2"/>
          <w:highlight w:val="none"/>
        </w:rPr>
        <w:t>村卫生室服务能力建设，完善农村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养老服务体系，发展农村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互助式养老。</w:t>
      </w:r>
    </w:p>
    <w:p w14:paraId="6AFCA57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方正仿宋_GBK" w:cs="方正仿宋_GBK"/>
          <w:b w:val="0"/>
          <w:bCs w:val="0"/>
          <w:spacing w:val="0"/>
          <w:kern w:val="2"/>
          <w:highlight w:val="none"/>
          <w:lang w:val="en-US"/>
        </w:rPr>
      </w:pPr>
      <w:bookmarkStart w:id="585" w:name="_Toc16070"/>
      <w:r>
        <w:rPr>
          <w:rFonts w:hint="eastAsia" w:ascii="Times New Roman" w:hAnsi="Times New Roman" w:eastAsia="仿宋_GB2312" w:cs="方正仿宋_GBK"/>
          <w:b w:val="0"/>
          <w:bCs w:val="0"/>
          <w:color w:val="auto"/>
          <w:spacing w:val="0"/>
          <w:kern w:val="2"/>
          <w:highlight w:val="none"/>
        </w:rPr>
        <w:t>强化乡村风貌</w:t>
      </w:r>
      <w:r>
        <w:rPr>
          <w:rFonts w:hint="eastAsia" w:ascii="Times New Roman" w:hAnsi="Times New Roman" w:eastAsia="仿宋_GB2312" w:cs="方正仿宋_GBK"/>
          <w:b w:val="0"/>
          <w:bCs w:val="0"/>
          <w:color w:val="auto"/>
          <w:spacing w:val="0"/>
          <w:kern w:val="2"/>
          <w:highlight w:val="none"/>
          <w:lang w:val="en-US" w:eastAsia="zh-CN"/>
        </w:rPr>
        <w:t>管控</w:t>
      </w:r>
      <w:r>
        <w:rPr>
          <w:rFonts w:hint="eastAsia" w:ascii="Times New Roman" w:hAnsi="Times New Roman" w:eastAsia="仿宋_GB2312" w:cs="方正仿宋_GBK"/>
          <w:b w:val="0"/>
          <w:bCs w:val="0"/>
          <w:color w:val="auto"/>
          <w:spacing w:val="0"/>
          <w:kern w:val="2"/>
          <w:highlight w:val="none"/>
        </w:rPr>
        <w:t>和建设管理</w:t>
      </w:r>
      <w:bookmarkEnd w:id="585"/>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进一步修改完善</w:t>
      </w:r>
      <w:r>
        <w:rPr>
          <w:rFonts w:hint="eastAsia" w:ascii="Times New Roman" w:hAnsi="Times New Roman" w:eastAsia="仿宋_GB2312" w:cs="方正仿宋_GBK"/>
          <w:b w:val="0"/>
          <w:bCs w:val="0"/>
          <w:spacing w:val="0"/>
          <w:kern w:val="2"/>
          <w:highlight w:val="none"/>
          <w:lang w:eastAsia="zh-CN"/>
        </w:rPr>
        <w:t>村庄</w:t>
      </w:r>
      <w:r>
        <w:rPr>
          <w:rFonts w:hint="eastAsia" w:ascii="Times New Roman" w:hAnsi="Times New Roman" w:eastAsia="仿宋_GB2312" w:cs="方正仿宋_GBK"/>
          <w:b w:val="0"/>
          <w:bCs w:val="0"/>
          <w:spacing w:val="0"/>
          <w:kern w:val="2"/>
          <w:highlight w:val="none"/>
        </w:rPr>
        <w:t>建设规划，优化村庄布局，</w:t>
      </w:r>
      <w:r>
        <w:rPr>
          <w:rFonts w:hint="eastAsia" w:ascii="Times New Roman" w:hAnsi="Times New Roman" w:eastAsia="仿宋_GB2312" w:cs="方正仿宋_GBK"/>
          <w:b w:val="0"/>
          <w:bCs w:val="0"/>
          <w:spacing w:val="0"/>
          <w:kern w:val="2"/>
          <w:highlight w:val="none"/>
          <w:lang w:eastAsia="zh-CN"/>
        </w:rPr>
        <w:t>严守耕地红线，</w:t>
      </w:r>
      <w:r>
        <w:rPr>
          <w:rFonts w:hint="eastAsia" w:ascii="Times New Roman" w:hAnsi="Times New Roman" w:eastAsia="仿宋_GB2312" w:cs="方正仿宋_GBK"/>
          <w:b w:val="0"/>
          <w:bCs w:val="0"/>
          <w:spacing w:val="0"/>
          <w:kern w:val="2"/>
          <w:highlight w:val="none"/>
        </w:rPr>
        <w:t>有序推进“多规合一”实用性村庄规划编制工作</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尊重农牧民意愿，突出乡村特色，注重保护保留乡村风貌，慎砍树、不填湖、少拆房，防止大拆大建、千村一面。加强传统村落、民族特色村镇和历史文化名村名镇保护利用。建立农村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住房建设质量安全管理制度，提高农房设计水平和建造质量。建立健全村庄环境长效管护机制，明确管护主体、管护责任、管护经费、管护标准，确保建得好、管得住、长受益。</w:t>
      </w:r>
      <w:r>
        <w:rPr>
          <w:rFonts w:hint="eastAsia" w:ascii="Times New Roman" w:hAnsi="Times New Roman" w:eastAsia="仿宋_GB2312" w:cs="方正仿宋_GBK"/>
          <w:b w:val="0"/>
          <w:bCs w:val="0"/>
          <w:spacing w:val="0"/>
          <w:kern w:val="2"/>
          <w:highlight w:val="none"/>
          <w:lang w:val="en-US" w:eastAsia="zh-CN"/>
        </w:rPr>
        <w:t>大力推动乡村振兴产业带和片区建设，围绕城市城镇周边、主干公路两侧和主要河流两岸，打造一批和美乡村建设典型。</w:t>
      </w:r>
    </w:p>
    <w:p w14:paraId="2BC686B3">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86" w:name="_Toc13527"/>
      <w:bookmarkStart w:id="587" w:name="_Toc11279"/>
      <w:bookmarkStart w:id="588" w:name="_Toc8141"/>
      <w:bookmarkStart w:id="589" w:name="_Toc15826"/>
      <w:bookmarkStart w:id="590" w:name="_Toc31481"/>
      <w:bookmarkStart w:id="591" w:name="_Toc18431"/>
      <w:bookmarkStart w:id="592" w:name="_Toc10297"/>
      <w:bookmarkStart w:id="593" w:name="_Toc11995"/>
      <w:bookmarkStart w:id="594" w:name="_Toc14174"/>
      <w:bookmarkStart w:id="595" w:name="_Toc10944"/>
      <w:bookmarkStart w:id="596" w:name="_Toc7348"/>
      <w:bookmarkStart w:id="597" w:name="_Toc2250"/>
      <w:bookmarkStart w:id="598" w:name="_Toc17795"/>
      <w:bookmarkStart w:id="599" w:name="_Toc433"/>
      <w:r>
        <w:rPr>
          <w:rFonts w:hint="eastAsia" w:ascii="楷体_GB2312" w:hAnsi="楷体_GB2312" w:eastAsia="楷体_GB2312" w:cs="楷体_GB2312"/>
          <w:b w:val="0"/>
          <w:bCs w:val="0"/>
          <w:color w:val="auto"/>
          <w:sz w:val="32"/>
          <w:szCs w:val="40"/>
          <w:highlight w:val="none"/>
          <w:lang w:val="en-US" w:eastAsia="zh-CN"/>
        </w:rPr>
        <w:t>激发农村牧区内生发展动力</w:t>
      </w:r>
      <w:bookmarkEnd w:id="574"/>
      <w:bookmarkEnd w:id="575"/>
      <w:bookmarkEnd w:id="576"/>
      <w:bookmarkEnd w:id="577"/>
      <w:bookmarkEnd w:id="578"/>
      <w:bookmarkEnd w:id="579"/>
      <w:bookmarkEnd w:id="580"/>
      <w:bookmarkEnd w:id="581"/>
      <w:bookmarkEnd w:id="582"/>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2C3BEED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spacing w:val="0"/>
          <w:kern w:val="2"/>
          <w:highlight w:val="none"/>
        </w:rPr>
        <w:t>扎实推进农村牧区重点领域和关键环节改革，破除体制机制弊端，激发资源要素活力，为乡村全面振兴注入强大动力。</w:t>
      </w:r>
    </w:p>
    <w:p w14:paraId="12DDBD3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spacing w:val="0"/>
          <w:kern w:val="2"/>
          <w:highlight w:val="none"/>
          <w:lang w:val="en-US" w:eastAsia="zh-CN"/>
        </w:rPr>
      </w:pPr>
      <w:bookmarkStart w:id="600" w:name="_Toc26996"/>
      <w:r>
        <w:rPr>
          <w:rFonts w:hint="eastAsia" w:ascii="Times New Roman" w:hAnsi="Times New Roman" w:eastAsia="仿宋_GB2312" w:cs="方正仿宋_GBK"/>
          <w:b w:val="0"/>
          <w:bCs w:val="0"/>
          <w:color w:val="auto"/>
          <w:spacing w:val="0"/>
          <w:kern w:val="2"/>
          <w:highlight w:val="none"/>
        </w:rPr>
        <w:t>巩固完善农村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rPr>
        <w:t>基本经营制度</w:t>
      </w:r>
      <w:bookmarkEnd w:id="600"/>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持续深化</w:t>
      </w:r>
      <w:r>
        <w:rPr>
          <w:rFonts w:hint="eastAsia" w:eastAsia="仿宋_GB2312" w:cs="方正仿宋_GBK"/>
          <w:b w:val="0"/>
          <w:bCs w:val="0"/>
          <w:spacing w:val="0"/>
          <w:kern w:val="2"/>
          <w:highlight w:val="none"/>
          <w:lang w:val="en-US" w:eastAsia="zh-CN"/>
        </w:rPr>
        <w:t>承包地“三权”分置、</w:t>
      </w:r>
      <w:r>
        <w:rPr>
          <w:rFonts w:hint="eastAsia" w:ascii="Times New Roman" w:hAnsi="Times New Roman" w:eastAsia="仿宋_GB2312" w:cs="方正仿宋_GBK"/>
          <w:b w:val="0"/>
          <w:bCs w:val="0"/>
          <w:spacing w:val="0"/>
          <w:kern w:val="2"/>
          <w:highlight w:val="none"/>
          <w:lang w:val="en-US" w:eastAsia="zh-CN"/>
        </w:rPr>
        <w:t>“三位一体”、</w:t>
      </w:r>
      <w:r>
        <w:rPr>
          <w:rFonts w:hint="eastAsia" w:eastAsia="仿宋_GB2312" w:cs="方正仿宋_GBK"/>
          <w:b w:val="0"/>
          <w:bCs w:val="0"/>
          <w:spacing w:val="0"/>
          <w:kern w:val="2"/>
          <w:highlight w:val="none"/>
          <w:lang w:val="en-US" w:eastAsia="zh-CN"/>
        </w:rPr>
        <w:t>农业社会化服务</w:t>
      </w:r>
      <w:r>
        <w:rPr>
          <w:rFonts w:hint="eastAsia" w:ascii="Times New Roman" w:hAnsi="Times New Roman" w:eastAsia="仿宋_GB2312" w:cs="方正仿宋_GBK"/>
          <w:b w:val="0"/>
          <w:bCs w:val="0"/>
          <w:spacing w:val="0"/>
          <w:kern w:val="2"/>
          <w:highlight w:val="none"/>
          <w:lang w:val="en-US" w:eastAsia="zh-CN"/>
        </w:rPr>
        <w:t>等方面改革，稳步扩大推广范围</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提升完善</w:t>
      </w:r>
      <w:r>
        <w:rPr>
          <w:rFonts w:hint="eastAsia" w:eastAsia="仿宋_GB2312" w:cs="方正仿宋_GBK"/>
          <w:b w:val="0"/>
          <w:bCs w:val="0"/>
          <w:spacing w:val="0"/>
          <w:kern w:val="2"/>
          <w:highlight w:val="none"/>
          <w:lang w:val="en-US" w:eastAsia="zh-CN"/>
        </w:rPr>
        <w:t>农村牧区集体</w:t>
      </w:r>
      <w:r>
        <w:rPr>
          <w:rFonts w:hint="eastAsia" w:ascii="Times New Roman" w:hAnsi="Times New Roman" w:eastAsia="仿宋_GB2312" w:cs="方正仿宋_GBK"/>
          <w:b w:val="0"/>
          <w:bCs w:val="0"/>
          <w:spacing w:val="0"/>
          <w:kern w:val="2"/>
          <w:highlight w:val="none"/>
          <w:lang w:val="en-US" w:eastAsia="zh-CN"/>
        </w:rPr>
        <w:t>产权交易</w:t>
      </w:r>
      <w:r>
        <w:rPr>
          <w:rFonts w:hint="eastAsia" w:eastAsia="仿宋_GB2312" w:cs="方正仿宋_GBK"/>
          <w:b w:val="0"/>
          <w:bCs w:val="0"/>
          <w:spacing w:val="0"/>
          <w:kern w:val="2"/>
          <w:highlight w:val="none"/>
          <w:lang w:val="en-US" w:eastAsia="zh-CN"/>
        </w:rPr>
        <w:t>服务</w:t>
      </w:r>
      <w:r>
        <w:rPr>
          <w:rFonts w:hint="eastAsia" w:ascii="Times New Roman" w:hAnsi="Times New Roman" w:eastAsia="仿宋_GB2312" w:cs="方正仿宋_GBK"/>
          <w:b w:val="0"/>
          <w:bCs w:val="0"/>
          <w:spacing w:val="0"/>
          <w:kern w:val="2"/>
          <w:highlight w:val="none"/>
          <w:lang w:val="en-US" w:eastAsia="zh-CN"/>
        </w:rPr>
        <w:t>中心功能</w:t>
      </w:r>
      <w:r>
        <w:rPr>
          <w:rFonts w:hint="eastAsia" w:eastAsia="仿宋_GB2312" w:cs="方正仿宋_GBK"/>
          <w:b w:val="0"/>
          <w:bCs w:val="0"/>
          <w:spacing w:val="0"/>
          <w:kern w:val="2"/>
          <w:highlight w:val="none"/>
          <w:lang w:val="en-US" w:eastAsia="zh-CN"/>
        </w:rPr>
        <w:t>和</w:t>
      </w:r>
      <w:r>
        <w:rPr>
          <w:rFonts w:hint="eastAsia" w:ascii="Times New Roman" w:hAnsi="Times New Roman" w:eastAsia="仿宋_GB2312" w:cs="方正仿宋_GBK"/>
          <w:b w:val="0"/>
          <w:bCs w:val="0"/>
          <w:spacing w:val="0"/>
          <w:kern w:val="2"/>
          <w:highlight w:val="none"/>
          <w:lang w:val="en-US" w:eastAsia="zh-CN"/>
        </w:rPr>
        <w:t>服务，推进土地经营权依法有序规范流转，完成第二轮土地、草场承包到期后再延长</w:t>
      </w:r>
      <w:r>
        <w:rPr>
          <w:rFonts w:hint="eastAsia" w:eastAsia="仿宋_GB2312" w:cs="方正仿宋_GBK"/>
          <w:b w:val="0"/>
          <w:bCs w:val="0"/>
          <w:spacing w:val="0"/>
          <w:kern w:val="2"/>
          <w:highlight w:val="none"/>
          <w:lang w:val="en-US" w:eastAsia="zh-CN"/>
        </w:rPr>
        <w:t>三十</w:t>
      </w:r>
      <w:r>
        <w:rPr>
          <w:rFonts w:hint="eastAsia" w:ascii="Times New Roman" w:hAnsi="Times New Roman" w:eastAsia="仿宋_GB2312" w:cs="方正仿宋_GBK"/>
          <w:b w:val="0"/>
          <w:bCs w:val="0"/>
          <w:spacing w:val="0"/>
          <w:kern w:val="2"/>
          <w:highlight w:val="none"/>
          <w:lang w:val="en-US" w:eastAsia="zh-CN"/>
        </w:rPr>
        <w:t>年试点工作。</w:t>
      </w:r>
      <w:r>
        <w:rPr>
          <w:rFonts w:hint="eastAsia" w:ascii="Times New Roman" w:hAnsi="Times New Roman" w:eastAsia="仿宋_GB2312" w:cs="方正仿宋_GBK"/>
          <w:b w:val="0"/>
          <w:bCs w:val="0"/>
          <w:color w:val="auto"/>
          <w:highlight w:val="none"/>
          <w:lang w:val="en-US" w:eastAsia="zh-CN"/>
        </w:rPr>
        <w:t>发展</w:t>
      </w:r>
      <w:r>
        <w:rPr>
          <w:rFonts w:hint="eastAsia" w:ascii="Times New Roman" w:hAnsi="Times New Roman" w:eastAsia="仿宋_GB2312" w:cs="方正仿宋_GBK"/>
          <w:b w:val="0"/>
          <w:bCs w:val="0"/>
          <w:color w:val="auto"/>
          <w:highlight w:val="none"/>
        </w:rPr>
        <w:t>农业适度规模经营</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推广“统种共富”</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“统养共富”</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“统产共富”等模式</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spacing w:val="0"/>
          <w:kern w:val="2"/>
          <w:highlight w:val="none"/>
          <w:lang w:val="en-US" w:eastAsia="zh-CN"/>
        </w:rPr>
        <w:t>支持整村、整乡依托集体经济组织、农牧民专业合作社、家庭农牧场、乡级“三位一体”综合合作组织等各类社会化服务组织，集中连片开展以全程托管为主的社会化服务，构建便捷高效的社会化服务体系。推动服务主体创新服务模式和组织形式，加强现代农（牧）事综合服务中心建设，促进服务范围从产中向产前、产后等环节和金融保险等配套服务延伸。做好“土特产”文章，推进特色种养、庭院经济、林下经济、休闲农业等产业多元协同发展。</w:t>
      </w:r>
    </w:p>
    <w:p w14:paraId="280A859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eastAsia="zh-CN"/>
        </w:rPr>
      </w:pPr>
      <w:bookmarkStart w:id="601" w:name="_Toc30646"/>
      <w:r>
        <w:rPr>
          <w:rFonts w:hint="eastAsia" w:ascii="Times New Roman" w:hAnsi="Times New Roman" w:eastAsia="仿宋_GB2312" w:cs="方正仿宋_GBK"/>
          <w:b w:val="0"/>
          <w:bCs w:val="0"/>
          <w:color w:val="auto"/>
          <w:spacing w:val="0"/>
          <w:kern w:val="2"/>
          <w:highlight w:val="none"/>
        </w:rPr>
        <w:t>稳慎推进农村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rPr>
        <w:t>宅基地制度改革</w:t>
      </w:r>
      <w:bookmarkEnd w:id="601"/>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在落实好</w:t>
      </w:r>
      <w:r>
        <w:rPr>
          <w:rFonts w:hint="eastAsia" w:eastAsia="仿宋_GB2312" w:cs="方正仿宋_GBK"/>
          <w:b w:val="0"/>
          <w:bCs w:val="0"/>
          <w:spacing w:val="0"/>
          <w:kern w:val="2"/>
          <w:highlight w:val="none"/>
          <w:lang w:val="en-US" w:eastAsia="zh-CN"/>
        </w:rPr>
        <w:t>宅基地“三权”分置</w:t>
      </w:r>
      <w:r>
        <w:rPr>
          <w:rFonts w:hint="eastAsia" w:ascii="Times New Roman" w:hAnsi="Times New Roman" w:eastAsia="仿宋_GB2312" w:cs="方正仿宋_GBK"/>
          <w:b w:val="0"/>
          <w:bCs w:val="0"/>
          <w:spacing w:val="0"/>
          <w:kern w:val="2"/>
          <w:highlight w:val="none"/>
        </w:rPr>
        <w:t>的基础上，探索宅基地所有权、资格权、使用权分置有效实现形式</w:t>
      </w:r>
      <w:r>
        <w:rPr>
          <w:rFonts w:hint="eastAsia" w:ascii="Times New Roman" w:hAnsi="Times New Roman" w:eastAsia="仿宋_GB2312" w:cs="方正仿宋_GBK"/>
          <w:b w:val="0"/>
          <w:bCs w:val="0"/>
          <w:spacing w:val="0"/>
          <w:kern w:val="2"/>
          <w:highlight w:val="none"/>
          <w:lang w:eastAsia="zh-CN"/>
        </w:rPr>
        <w:t>。在符合规划、用途管制和尊重农民意愿的前提下，探索宅基地自愿有偿退出机制，鼓励农民依法将合法拥有的闲置住房通过出租、入股、合作等方式盘活利用，用于发展乡村旅游、休闲农业、餐饮民宿、文化体验等新产业新业态。</w:t>
      </w:r>
    </w:p>
    <w:p w14:paraId="026D49E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spacing w:val="0"/>
          <w:kern w:val="2"/>
          <w:highlight w:val="none"/>
        </w:rPr>
      </w:pPr>
      <w:bookmarkStart w:id="602" w:name="_Toc14076"/>
      <w:r>
        <w:rPr>
          <w:rFonts w:hint="eastAsia" w:ascii="Times New Roman" w:hAnsi="Times New Roman" w:eastAsia="仿宋_GB2312" w:cs="方正仿宋_GBK"/>
          <w:b w:val="0"/>
          <w:bCs w:val="0"/>
          <w:color w:val="auto"/>
          <w:spacing w:val="0"/>
          <w:kern w:val="2"/>
          <w:highlight w:val="none"/>
        </w:rPr>
        <w:t>深化农村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rPr>
        <w:t>集体产权制度改革</w:t>
      </w:r>
      <w:bookmarkEnd w:id="602"/>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lang w:eastAsia="zh-CN"/>
        </w:rPr>
        <w:t>指导集体经济组织构建产权明晰、分配合理的运行机制</w:t>
      </w:r>
      <w:r>
        <w:rPr>
          <w:rFonts w:hint="eastAsia" w:ascii="Times New Roman" w:hAnsi="Times New Roman" w:eastAsia="仿宋_GB2312" w:cs="方正仿宋_GBK"/>
          <w:b w:val="0"/>
          <w:bCs w:val="0"/>
          <w:spacing w:val="0"/>
          <w:kern w:val="2"/>
          <w:highlight w:val="none"/>
        </w:rPr>
        <w:t>，</w:t>
      </w:r>
      <w:r>
        <w:rPr>
          <w:rFonts w:hint="eastAsia" w:ascii="Times New Roman" w:hAnsi="Times New Roman" w:eastAsia="仿宋_GB2312" w:cs="方正仿宋_GBK"/>
          <w:b w:val="0"/>
          <w:bCs w:val="0"/>
          <w:spacing w:val="0"/>
          <w:kern w:val="2"/>
          <w:highlight w:val="none"/>
          <w:lang w:eastAsia="zh-CN"/>
        </w:rPr>
        <w:t>推动村集体经济组织采取“资源发包、物业出租、民间服务、经营性财产参股”等多途径发展壮大新型农村集体经济</w:t>
      </w:r>
      <w:r>
        <w:rPr>
          <w:rFonts w:hint="eastAsia" w:ascii="Times New Roman" w:hAnsi="Times New Roman" w:eastAsia="仿宋_GB2312" w:cs="方正仿宋_GBK"/>
          <w:b w:val="0"/>
          <w:bCs w:val="0"/>
          <w:spacing w:val="0"/>
          <w:kern w:val="2"/>
          <w:highlight w:val="none"/>
        </w:rPr>
        <w:t>。探索赋予农民更加充分的财产权益。</w:t>
      </w:r>
      <w:r>
        <w:rPr>
          <w:rFonts w:hint="eastAsia" w:ascii="Times New Roman" w:hAnsi="Times New Roman" w:eastAsia="仿宋_GB2312" w:cs="方正仿宋_GBK"/>
          <w:b w:val="0"/>
          <w:bCs w:val="0"/>
          <w:spacing w:val="0"/>
          <w:kern w:val="2"/>
          <w:highlight w:val="none"/>
          <w:lang w:eastAsia="zh-CN"/>
        </w:rPr>
        <w:t>持续优化赤峰市农村牧区产权流转交易平台功能</w:t>
      </w:r>
      <w:r>
        <w:rPr>
          <w:rFonts w:hint="eastAsia" w:ascii="Times New Roman" w:hAnsi="Times New Roman" w:eastAsia="仿宋_GB2312" w:cs="方正仿宋_GBK"/>
          <w:b w:val="0"/>
          <w:bCs w:val="0"/>
          <w:spacing w:val="0"/>
          <w:kern w:val="2"/>
          <w:highlight w:val="none"/>
        </w:rPr>
        <w:t>、拓展服务，以数字化赋能推动农村牧区资源高效配置。</w:t>
      </w:r>
      <w:r>
        <w:rPr>
          <w:rFonts w:hint="eastAsia" w:ascii="Times New Roman" w:hAnsi="Times New Roman" w:eastAsia="仿宋_GB2312" w:cs="方正仿宋_GBK"/>
          <w:b w:val="0"/>
          <w:bCs w:val="0"/>
          <w:spacing w:val="0"/>
          <w:kern w:val="2"/>
          <w:highlight w:val="none"/>
          <w:lang w:val="en-US" w:eastAsia="zh-CN"/>
        </w:rPr>
        <w:t>有序推进农村牧区集体经营性建设用地入市，稳妥盘活利用农村牧区闲置建设用地。</w:t>
      </w:r>
      <w:r>
        <w:rPr>
          <w:rFonts w:hint="eastAsia" w:ascii="Times New Roman" w:hAnsi="Times New Roman" w:eastAsia="仿宋_GB2312" w:cs="方正仿宋_GBK"/>
          <w:b w:val="0"/>
          <w:bCs w:val="0"/>
          <w:spacing w:val="0"/>
          <w:kern w:val="2"/>
          <w:highlight w:val="none"/>
        </w:rPr>
        <w:t>健全农村集体经济组织运行机制，规范组织登记、成员管理、机构设置、章程制定和收益分配等。</w:t>
      </w:r>
    </w:p>
    <w:p w14:paraId="7D932AAF">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603" w:name="_Toc6098"/>
      <w:bookmarkStart w:id="604" w:name="_Toc22856"/>
      <w:bookmarkStart w:id="605" w:name="_Toc2049"/>
      <w:bookmarkStart w:id="606" w:name="_Toc7975"/>
      <w:bookmarkStart w:id="607" w:name="_Toc250"/>
      <w:bookmarkStart w:id="608" w:name="_Toc13944"/>
      <w:bookmarkStart w:id="609" w:name="_Toc31642"/>
      <w:bookmarkStart w:id="610" w:name="_Toc10793"/>
      <w:bookmarkStart w:id="611" w:name="_Toc3145"/>
      <w:bookmarkStart w:id="612" w:name="_Toc31781"/>
      <w:bookmarkStart w:id="613" w:name="_Toc11888"/>
      <w:bookmarkStart w:id="614" w:name="_Toc12444"/>
      <w:bookmarkStart w:id="615" w:name="_Toc20861"/>
      <w:bookmarkStart w:id="616" w:name="_Toc22295"/>
      <w:bookmarkStart w:id="617" w:name="_Toc27074"/>
      <w:bookmarkStart w:id="618" w:name="_Toc23544"/>
      <w:bookmarkStart w:id="619" w:name="_Toc16826"/>
      <w:bookmarkStart w:id="620" w:name="_Toc22061"/>
      <w:bookmarkStart w:id="621" w:name="_Toc4725"/>
      <w:bookmarkStart w:id="622" w:name="_Toc7023"/>
      <w:bookmarkStart w:id="623" w:name="_Toc30373"/>
      <w:bookmarkStart w:id="624" w:name="_Toc30139"/>
      <w:bookmarkStart w:id="625" w:name="_Toc5385"/>
      <w:r>
        <w:rPr>
          <w:rFonts w:hint="eastAsia" w:ascii="楷体_GB2312" w:hAnsi="楷体_GB2312" w:eastAsia="楷体_GB2312" w:cs="楷体_GB2312"/>
          <w:b w:val="0"/>
          <w:bCs w:val="0"/>
          <w:color w:val="auto"/>
          <w:sz w:val="32"/>
          <w:szCs w:val="40"/>
          <w:highlight w:val="none"/>
          <w:lang w:val="en-US" w:eastAsia="zh-CN"/>
        </w:rPr>
        <w:t>提高强农惠农富农政策效能</w:t>
      </w:r>
      <w:bookmarkEnd w:id="603"/>
      <w:bookmarkEnd w:id="604"/>
      <w:bookmarkEnd w:id="605"/>
      <w:bookmarkEnd w:id="606"/>
      <w:bookmarkEnd w:id="607"/>
      <w:bookmarkEnd w:id="608"/>
      <w:bookmarkEnd w:id="609"/>
      <w:bookmarkEnd w:id="610"/>
    </w:p>
    <w:p w14:paraId="5272572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color w:val="auto"/>
          <w:spacing w:val="0"/>
          <w:kern w:val="2"/>
          <w:highlight w:val="none"/>
        </w:rPr>
      </w:pPr>
      <w:r>
        <w:rPr>
          <w:rFonts w:hint="eastAsia" w:ascii="Times New Roman" w:hAnsi="Times New Roman" w:eastAsia="仿宋_GB2312" w:cs="方正仿宋_GBK"/>
          <w:b w:val="0"/>
          <w:bCs w:val="0"/>
          <w:color w:val="auto"/>
          <w:spacing w:val="0"/>
          <w:kern w:val="2"/>
          <w:highlight w:val="none"/>
        </w:rPr>
        <w:t>加快完善财政优先保障、金融重点倾斜、社会积极参与的多元投入格局，强化价格、补贴、保险等政策支持，提高强农惠农富农政策效能。</w:t>
      </w:r>
    </w:p>
    <w:p w14:paraId="0B2A03A9">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color w:val="auto"/>
          <w:spacing w:val="0"/>
          <w:kern w:val="2"/>
          <w:highlight w:val="none"/>
        </w:rPr>
        <w:t>完善乡村振兴投入保障机制</w:t>
      </w:r>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color w:val="auto"/>
          <w:spacing w:val="0"/>
          <w:kern w:val="2"/>
          <w:highlight w:val="none"/>
        </w:rPr>
        <w:t>完善多元投入机制，优先保障农牧业农村牧区领域一般公共预算投入，引导金融机构和民间资本加大对乡村振兴资金投放，确保农牧业农村牧区领域投入力度不断增强。</w:t>
      </w:r>
      <w:r>
        <w:rPr>
          <w:rFonts w:hint="eastAsia" w:ascii="Times New Roman" w:hAnsi="Times New Roman" w:eastAsia="仿宋_GB2312" w:cs="方正仿宋_GBK"/>
          <w:b w:val="0"/>
          <w:bCs w:val="0"/>
          <w:spacing w:val="0"/>
          <w:kern w:val="2"/>
          <w:highlight w:val="none"/>
        </w:rPr>
        <w:t>强化财政支持，坚持财政优先保障农业农村发展的基本导向，合理增加涉农财政资金，重点保障关键领域和关键环节的资金需求。落实提高土地出让收益用于</w:t>
      </w:r>
      <w:r>
        <w:rPr>
          <w:rFonts w:hint="eastAsia" w:eastAsia="仿宋_GB2312" w:cs="方正仿宋_GBK"/>
          <w:b w:val="0"/>
          <w:bCs w:val="0"/>
          <w:spacing w:val="0"/>
          <w:kern w:val="2"/>
          <w:highlight w:val="none"/>
          <w:lang w:val="en-US" w:eastAsia="zh-CN"/>
        </w:rPr>
        <w:t>农牧业农村牧区</w:t>
      </w:r>
      <w:r>
        <w:rPr>
          <w:rFonts w:hint="eastAsia" w:ascii="Times New Roman" w:hAnsi="Times New Roman" w:eastAsia="仿宋_GB2312" w:cs="方正仿宋_GBK"/>
          <w:b w:val="0"/>
          <w:bCs w:val="0"/>
          <w:spacing w:val="0"/>
          <w:kern w:val="2"/>
          <w:highlight w:val="none"/>
        </w:rPr>
        <w:t>比例政策</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用好投融资政策，</w:t>
      </w:r>
      <w:r>
        <w:rPr>
          <w:rFonts w:hint="eastAsia" w:eastAsia="仿宋_GB2312" w:cs="方正仿宋_GBK"/>
          <w:b w:val="0"/>
          <w:bCs w:val="0"/>
          <w:spacing w:val="0"/>
          <w:kern w:val="2"/>
          <w:highlight w:val="none"/>
          <w:lang w:val="en-US" w:eastAsia="zh-CN"/>
        </w:rPr>
        <w:t>积极争取</w:t>
      </w:r>
      <w:r>
        <w:rPr>
          <w:rFonts w:hint="eastAsia" w:ascii="Times New Roman" w:hAnsi="Times New Roman" w:eastAsia="仿宋_GB2312" w:cs="方正仿宋_GBK"/>
          <w:b w:val="0"/>
          <w:bCs w:val="0"/>
          <w:spacing w:val="0"/>
          <w:kern w:val="2"/>
          <w:highlight w:val="none"/>
        </w:rPr>
        <w:t>中央预算内投资、超长期特别国债和地方政府专项债券对</w:t>
      </w:r>
      <w:r>
        <w:rPr>
          <w:rFonts w:hint="eastAsia" w:eastAsia="仿宋_GB2312" w:cs="方正仿宋_GBK"/>
          <w:b w:val="0"/>
          <w:bCs w:val="0"/>
          <w:spacing w:val="0"/>
          <w:kern w:val="2"/>
          <w:highlight w:val="none"/>
          <w:lang w:val="en-US" w:eastAsia="zh-CN"/>
        </w:rPr>
        <w:t>农牧业农村牧区</w:t>
      </w:r>
      <w:r>
        <w:rPr>
          <w:rFonts w:hint="eastAsia" w:ascii="Times New Roman" w:hAnsi="Times New Roman" w:eastAsia="仿宋_GB2312" w:cs="方正仿宋_GBK"/>
          <w:b w:val="0"/>
          <w:bCs w:val="0"/>
          <w:spacing w:val="0"/>
          <w:kern w:val="2"/>
          <w:highlight w:val="none"/>
        </w:rPr>
        <w:t>领域重大项目建设的支持力度。</w:t>
      </w:r>
      <w:r>
        <w:rPr>
          <w:rFonts w:hint="eastAsia" w:ascii="Times New Roman" w:hAnsi="Times New Roman" w:eastAsia="仿宋_GB2312" w:cs="方正仿宋_GBK"/>
          <w:b w:val="0"/>
          <w:bCs w:val="0"/>
          <w:color w:val="auto"/>
          <w:spacing w:val="0"/>
          <w:kern w:val="2"/>
          <w:highlight w:val="none"/>
        </w:rPr>
        <w:t>加强政策协同配合，强化规划、项目、资金、要素间有效衔接</w:t>
      </w:r>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color w:val="auto"/>
          <w:spacing w:val="0"/>
          <w:kern w:val="2"/>
          <w:highlight w:val="none"/>
        </w:rPr>
        <w:t>促进城乡要素平等交换、双向流动，引导资金、技术、人才等生产要素投入农村牧区。</w:t>
      </w:r>
      <w:r>
        <w:rPr>
          <w:rFonts w:hint="eastAsia" w:ascii="Times New Roman" w:hAnsi="Times New Roman" w:eastAsia="仿宋_GB2312" w:cs="方正仿宋_GBK"/>
          <w:b w:val="0"/>
          <w:bCs w:val="0"/>
          <w:spacing w:val="0"/>
          <w:kern w:val="2"/>
          <w:highlight w:val="none"/>
        </w:rPr>
        <w:t>完善涉农金融服务体系，</w:t>
      </w:r>
      <w:r>
        <w:rPr>
          <w:rFonts w:hint="eastAsia" w:eastAsia="仿宋_GB2312" w:cs="方正仿宋_GBK"/>
          <w:b w:val="0"/>
          <w:bCs w:val="0"/>
          <w:spacing w:val="0"/>
          <w:kern w:val="2"/>
          <w:highlight w:val="none"/>
          <w:lang w:val="en-US" w:eastAsia="zh-CN"/>
        </w:rPr>
        <w:t>推动</w:t>
      </w:r>
      <w:r>
        <w:rPr>
          <w:rFonts w:hint="eastAsia" w:ascii="Times New Roman" w:hAnsi="Times New Roman" w:eastAsia="仿宋_GB2312" w:cs="方正仿宋_GBK"/>
          <w:b w:val="0"/>
          <w:bCs w:val="0"/>
          <w:spacing w:val="0"/>
          <w:kern w:val="2"/>
          <w:highlight w:val="none"/>
        </w:rPr>
        <w:t>构建覆盖商业银行、政策性银行、农村中小金融机构和数字普惠金融的多层次涉农金融服务网络。</w:t>
      </w:r>
    </w:p>
    <w:p w14:paraId="3D94394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val="en-US" w:eastAsia="zh-CN"/>
        </w:rPr>
      </w:pPr>
      <w:r>
        <w:rPr>
          <w:rFonts w:hint="eastAsia" w:eastAsia="仿宋_GB2312" w:cs="方正仿宋_GBK"/>
          <w:b w:val="0"/>
          <w:bCs w:val="0"/>
          <w:color w:val="auto"/>
          <w:spacing w:val="0"/>
          <w:kern w:val="2"/>
          <w:highlight w:val="none"/>
          <w:lang w:val="en-US" w:eastAsia="zh-CN"/>
        </w:rPr>
        <w:t>持续巩固拓展脱贫攻坚成果。</w:t>
      </w:r>
      <w:r>
        <w:rPr>
          <w:rFonts w:hint="eastAsia" w:ascii="Times New Roman" w:hAnsi="Times New Roman" w:eastAsia="仿宋_GB2312" w:cs="方正仿宋_GBK"/>
          <w:b w:val="0"/>
          <w:bCs w:val="0"/>
          <w:color w:val="auto"/>
          <w:spacing w:val="0"/>
          <w:kern w:val="2"/>
          <w:highlight w:val="none"/>
        </w:rPr>
        <w:t>建立健全常态化</w:t>
      </w:r>
      <w:r>
        <w:rPr>
          <w:rFonts w:hint="eastAsia" w:eastAsia="仿宋_GB2312" w:cs="方正仿宋_GBK"/>
          <w:b w:val="0"/>
          <w:bCs w:val="0"/>
          <w:color w:val="auto"/>
          <w:spacing w:val="0"/>
          <w:kern w:val="2"/>
          <w:highlight w:val="none"/>
          <w:lang w:val="en-US" w:eastAsia="zh-CN"/>
        </w:rPr>
        <w:t>防止返贫致贫</w:t>
      </w:r>
      <w:r>
        <w:rPr>
          <w:rFonts w:hint="eastAsia" w:ascii="Times New Roman" w:hAnsi="Times New Roman" w:eastAsia="仿宋_GB2312" w:cs="方正仿宋_GBK"/>
          <w:b w:val="0"/>
          <w:bCs w:val="0"/>
          <w:color w:val="auto"/>
          <w:spacing w:val="0"/>
          <w:kern w:val="2"/>
          <w:highlight w:val="none"/>
        </w:rPr>
        <w:t>监测</w:t>
      </w:r>
      <w:r>
        <w:rPr>
          <w:rFonts w:hint="eastAsia" w:eastAsia="仿宋_GB2312" w:cs="方正仿宋_GBK"/>
          <w:b w:val="0"/>
          <w:bCs w:val="0"/>
          <w:color w:val="auto"/>
          <w:spacing w:val="0"/>
          <w:kern w:val="2"/>
          <w:highlight w:val="none"/>
          <w:lang w:val="en-US" w:eastAsia="zh-CN"/>
        </w:rPr>
        <w:t>帮</w:t>
      </w:r>
      <w:r>
        <w:rPr>
          <w:rFonts w:hint="eastAsia" w:ascii="Times New Roman" w:hAnsi="Times New Roman" w:eastAsia="仿宋_GB2312" w:cs="方正仿宋_GBK"/>
          <w:b w:val="0"/>
          <w:bCs w:val="0"/>
          <w:color w:val="auto"/>
          <w:spacing w:val="0"/>
          <w:kern w:val="2"/>
          <w:highlight w:val="none"/>
        </w:rPr>
        <w:t>扶机制，推动脱贫地区更多依靠发展来巩固拓展脱贫攻坚成果，让脱贫基础更加稳固、成效更可持续。健全防返贫</w:t>
      </w:r>
      <w:r>
        <w:rPr>
          <w:rFonts w:hint="eastAsia" w:eastAsia="仿宋_GB2312" w:cs="方正仿宋_GBK"/>
          <w:b w:val="0"/>
          <w:bCs w:val="0"/>
          <w:color w:val="auto"/>
          <w:spacing w:val="0"/>
          <w:kern w:val="2"/>
          <w:highlight w:val="none"/>
          <w:lang w:val="en-US" w:eastAsia="zh-CN"/>
        </w:rPr>
        <w:t>致贫</w:t>
      </w:r>
      <w:r>
        <w:rPr>
          <w:rFonts w:hint="eastAsia" w:ascii="Times New Roman" w:hAnsi="Times New Roman" w:eastAsia="仿宋_GB2312" w:cs="方正仿宋_GBK"/>
          <w:b w:val="0"/>
          <w:bCs w:val="0"/>
          <w:color w:val="auto"/>
          <w:spacing w:val="0"/>
          <w:kern w:val="2"/>
          <w:highlight w:val="none"/>
        </w:rPr>
        <w:t>动态监测体系</w:t>
      </w:r>
      <w:r>
        <w:rPr>
          <w:rFonts w:hint="eastAsia" w:eastAsia="仿宋_GB2312" w:cs="方正仿宋_GBK"/>
          <w:b w:val="0"/>
          <w:bCs w:val="0"/>
          <w:spacing w:val="0"/>
          <w:kern w:val="2"/>
          <w:highlight w:val="none"/>
          <w:lang w:eastAsia="zh-CN"/>
        </w:rPr>
        <w:t>，科学精准确定防返贫致贫对象，</w:t>
      </w:r>
      <w:r>
        <w:rPr>
          <w:rFonts w:hint="eastAsia" w:ascii="Times New Roman" w:hAnsi="Times New Roman" w:eastAsia="仿宋_GB2312" w:cs="方正仿宋_GBK"/>
          <w:b w:val="0"/>
          <w:bCs w:val="0"/>
          <w:spacing w:val="0"/>
          <w:kern w:val="2"/>
          <w:highlight w:val="none"/>
          <w:lang w:eastAsia="zh-CN"/>
        </w:rPr>
        <w:t>坚持动态管理、精准帮扶，构建覆盖全面、处置高效的监测预警和帮扶机制，形成“发现－核查－干预－帮扶－消除”的管理闭环，切实筑牢防返贫堤坝。</w:t>
      </w:r>
      <w:r>
        <w:rPr>
          <w:rFonts w:hint="eastAsia" w:ascii="Times New Roman" w:hAnsi="Times New Roman" w:eastAsia="仿宋_GB2312" w:cs="方正仿宋_GBK"/>
          <w:b w:val="0"/>
          <w:bCs w:val="0"/>
          <w:spacing w:val="0"/>
          <w:kern w:val="2"/>
          <w:highlight w:val="none"/>
          <w:lang w:val="en-US" w:eastAsia="zh-CN"/>
        </w:rPr>
        <w:t>强化产业帮扶，规范高效管理帮扶项目资产，将常态化帮扶资金重点用于支持延伸帮扶产业链条，健全帮扶项目收益分配制度，持续推进脱贫乡村经济发展。加强防止返贫致贫对象就业帮扶，常态化提供政策咨询、职业指导、岗位推荐等一站式服务，加大公益性就业岗位开发力度，激励有劳动能力的防止返贫致贫对象勤劳致富，增强脱贫地区和脱贫群众内生发展动力。</w:t>
      </w:r>
    </w:p>
    <w:p w14:paraId="6B7A1EB7">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626" w:name="_Toc16090"/>
      <w:bookmarkStart w:id="627" w:name="_Toc18263"/>
      <w:bookmarkStart w:id="628" w:name="_Toc32290"/>
      <w:bookmarkStart w:id="629" w:name="_Toc19361"/>
      <w:bookmarkStart w:id="630" w:name="_Toc4718"/>
      <w:bookmarkStart w:id="631" w:name="_Toc1605"/>
      <w:bookmarkStart w:id="632" w:name="_Toc104"/>
      <w:bookmarkStart w:id="633" w:name="_Toc8279"/>
      <w:r>
        <w:rPr>
          <w:rFonts w:hint="eastAsia" w:ascii="楷体_GB2312" w:hAnsi="楷体_GB2312" w:eastAsia="楷体_GB2312" w:cs="楷体_GB2312"/>
          <w:b w:val="0"/>
          <w:bCs w:val="0"/>
          <w:color w:val="auto"/>
          <w:sz w:val="32"/>
          <w:szCs w:val="40"/>
          <w:highlight w:val="none"/>
          <w:lang w:val="en-US" w:eastAsia="zh-CN"/>
        </w:rPr>
        <w:t>提升乡村治理效能</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362DEB7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spacing w:val="0"/>
          <w:kern w:val="2"/>
          <w:highlight w:val="none"/>
        </w:rPr>
        <w:t>健全党组织领导的自治、法治、德治相结合的乡村治理体系，让农村牧区既充满活力又和谐有序。</w:t>
      </w:r>
    </w:p>
    <w:p w14:paraId="685CA1C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eastAsia="zh-CN"/>
        </w:rPr>
      </w:pPr>
      <w:bookmarkStart w:id="634" w:name="_Toc25268"/>
      <w:r>
        <w:rPr>
          <w:rFonts w:hint="eastAsia" w:ascii="Times New Roman" w:hAnsi="Times New Roman" w:eastAsia="仿宋_GB2312" w:cs="方正仿宋_GBK"/>
          <w:b w:val="0"/>
          <w:bCs w:val="0"/>
          <w:color w:val="auto"/>
          <w:spacing w:val="0"/>
          <w:kern w:val="2"/>
          <w:highlight w:val="none"/>
          <w:lang w:val="en-US" w:eastAsia="zh-CN"/>
        </w:rPr>
        <w:t>提升乡村治理能力水平</w:t>
      </w:r>
      <w:bookmarkEnd w:id="634"/>
      <w:r>
        <w:rPr>
          <w:rFonts w:hint="eastAsia" w:eastAsia="仿宋_GB2312" w:cs="方正仿宋_GBK"/>
          <w:b w:val="0"/>
          <w:bCs w:val="0"/>
          <w:color w:val="auto"/>
          <w:spacing w:val="0"/>
          <w:kern w:val="2"/>
          <w:highlight w:val="none"/>
          <w:lang w:val="en-US" w:eastAsia="zh-CN"/>
        </w:rPr>
        <w:t>。</w:t>
      </w:r>
      <w:r>
        <w:rPr>
          <w:rFonts w:hint="eastAsia" w:ascii="Times New Roman" w:hAnsi="Times New Roman" w:eastAsia="仿宋_GB2312" w:cs="方正仿宋_GBK"/>
          <w:b w:val="0"/>
          <w:bCs w:val="0"/>
          <w:spacing w:val="0"/>
          <w:kern w:val="2"/>
          <w:highlight w:val="none"/>
        </w:rPr>
        <w:t>强化</w:t>
      </w:r>
      <w:r>
        <w:rPr>
          <w:rFonts w:hint="eastAsia" w:eastAsia="仿宋_GB2312" w:cs="方正仿宋_GBK"/>
          <w:b w:val="0"/>
          <w:bCs w:val="0"/>
          <w:spacing w:val="0"/>
          <w:kern w:val="2"/>
          <w:highlight w:val="none"/>
          <w:lang w:val="en-US" w:eastAsia="zh-CN"/>
        </w:rPr>
        <w:t>苏木</w:t>
      </w:r>
      <w:r>
        <w:rPr>
          <w:rFonts w:hint="eastAsia" w:ascii="Times New Roman" w:hAnsi="Times New Roman" w:eastAsia="仿宋_GB2312" w:cs="方正仿宋_GBK"/>
          <w:b w:val="0"/>
          <w:bCs w:val="0"/>
          <w:spacing w:val="0"/>
          <w:kern w:val="2"/>
          <w:highlight w:val="none"/>
        </w:rPr>
        <w:t>乡镇、</w:t>
      </w:r>
      <w:r>
        <w:rPr>
          <w:rFonts w:hint="eastAsia" w:eastAsia="仿宋_GB2312" w:cs="方正仿宋_GBK"/>
          <w:b w:val="0"/>
          <w:bCs w:val="0"/>
          <w:spacing w:val="0"/>
          <w:kern w:val="2"/>
          <w:highlight w:val="none"/>
          <w:lang w:val="en-US" w:eastAsia="zh-CN"/>
        </w:rPr>
        <w:t>嘎查</w:t>
      </w:r>
      <w:r>
        <w:rPr>
          <w:rFonts w:hint="eastAsia" w:ascii="Times New Roman" w:hAnsi="Times New Roman" w:eastAsia="仿宋_GB2312" w:cs="方正仿宋_GBK"/>
          <w:b w:val="0"/>
          <w:bCs w:val="0"/>
          <w:spacing w:val="0"/>
          <w:kern w:val="2"/>
          <w:highlight w:val="none"/>
        </w:rPr>
        <w:t>村党组织的领导地位，全面推行村党组织书记通过法定程序担任村委会主任和村级集体经济组织、合作经济组织负责人。持续排查整顿软弱涣散村党组织</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派强用好驻村第一书记和工作队</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加强对村干部的监督管理。健全村级议事协商制度，创新协商形式，落实“四议两公开”制度。规范村务公开，丰富公开内容，完善公开程序。全面实施村级事务阳光工程，持续推广清单制乡村治理方式</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推广村级事务“阳光公开”监管平台。修订完善村规民约，发挥其在乡村治理中的积极作用。大力推行积分制乡村治理</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营造共建共享的良好氛围</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深入开展“法律进乡村”活动，提高农牧民法治素养。健全农村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公共法律服务体系，加强对农民的法律援助和司法救助。积极推广“村民说事”制度</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做到“小事不出村、大事不出镇、矛盾不上交”。健全农村牧区社会治安防控体系，规范做实</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基层微治理</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机制</w:t>
      </w:r>
      <w:r>
        <w:rPr>
          <w:rFonts w:hint="eastAsia" w:eastAsia="仿宋_GB2312" w:cs="方正仿宋_GBK"/>
          <w:b w:val="0"/>
          <w:bCs w:val="0"/>
          <w:spacing w:val="0"/>
          <w:kern w:val="2"/>
          <w:highlight w:val="none"/>
          <w:lang w:eastAsia="zh-CN"/>
        </w:rPr>
        <w:t>。</w:t>
      </w:r>
    </w:p>
    <w:p w14:paraId="5A4B6AA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val="en-US" w:eastAsia="zh-CN"/>
        </w:rPr>
      </w:pPr>
      <w:bookmarkStart w:id="635" w:name="_Toc22487"/>
      <w:r>
        <w:rPr>
          <w:rFonts w:hint="eastAsia" w:ascii="Times New Roman" w:hAnsi="Times New Roman" w:eastAsia="仿宋_GB2312" w:cs="方正仿宋_GBK"/>
          <w:b w:val="0"/>
          <w:bCs w:val="0"/>
          <w:color w:val="auto"/>
          <w:spacing w:val="0"/>
          <w:kern w:val="2"/>
          <w:highlight w:val="none"/>
        </w:rPr>
        <w:t>深化</w:t>
      </w:r>
      <w:r>
        <w:rPr>
          <w:rFonts w:hint="eastAsia" w:eastAsia="仿宋_GB2312" w:cs="方正仿宋_GBK"/>
          <w:b w:val="0"/>
          <w:bCs w:val="0"/>
          <w:color w:val="auto"/>
          <w:spacing w:val="0"/>
          <w:kern w:val="2"/>
          <w:highlight w:val="none"/>
          <w:lang w:val="en-US" w:eastAsia="zh-CN"/>
        </w:rPr>
        <w:t>乡村</w:t>
      </w:r>
      <w:r>
        <w:rPr>
          <w:rFonts w:hint="eastAsia" w:ascii="Times New Roman" w:hAnsi="Times New Roman" w:eastAsia="仿宋_GB2312" w:cs="方正仿宋_GBK"/>
          <w:b w:val="0"/>
          <w:bCs w:val="0"/>
          <w:color w:val="auto"/>
          <w:spacing w:val="0"/>
          <w:kern w:val="2"/>
          <w:highlight w:val="none"/>
        </w:rPr>
        <w:t>精神文明建设</w:t>
      </w:r>
      <w:bookmarkEnd w:id="635"/>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加强文明培育、文明实践、文明创建工作，推动新时代文明实践中心（站</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所）联动高效运转，广泛开展群众性精神文明创建活动。引导苏木乡镇</w:t>
      </w:r>
      <w:r>
        <w:rPr>
          <w:rFonts w:hint="eastAsia" w:ascii="Times New Roman" w:hAnsi="Times New Roman" w:eastAsia="仿宋_GB2312" w:cs="方正仿宋_GBK"/>
          <w:b w:val="0"/>
          <w:bCs w:val="0"/>
          <w:spacing w:val="0"/>
          <w:kern w:val="2"/>
          <w:highlight w:val="none"/>
          <w:lang w:val="en-US" w:eastAsia="zh-CN"/>
        </w:rPr>
        <w:t>制定完善</w:t>
      </w:r>
      <w:r>
        <w:rPr>
          <w:rFonts w:hint="eastAsia" w:ascii="Times New Roman" w:hAnsi="Times New Roman" w:eastAsia="仿宋_GB2312" w:cs="方正仿宋_GBK"/>
          <w:b w:val="0"/>
          <w:bCs w:val="0"/>
          <w:spacing w:val="0"/>
          <w:kern w:val="2"/>
          <w:highlight w:val="none"/>
        </w:rPr>
        <w:t>村规民约，建立规范的村民议事会、道德评议会、红白理事会等群众组织。持续推进移风易俗，</w:t>
      </w:r>
      <w:r>
        <w:rPr>
          <w:rFonts w:hint="eastAsia" w:ascii="Times New Roman" w:hAnsi="Times New Roman" w:eastAsia="仿宋_GB2312" w:cs="方正仿宋_GBK"/>
          <w:b w:val="0"/>
          <w:bCs w:val="0"/>
          <w:spacing w:val="0"/>
          <w:kern w:val="2"/>
          <w:highlight w:val="none"/>
          <w:lang w:val="en-US" w:eastAsia="zh-CN"/>
        </w:rPr>
        <w:t>整治</w:t>
      </w:r>
      <w:r>
        <w:rPr>
          <w:rFonts w:hint="eastAsia" w:ascii="Times New Roman" w:hAnsi="Times New Roman" w:eastAsia="仿宋_GB2312" w:cs="方正仿宋_GBK"/>
          <w:b w:val="0"/>
          <w:bCs w:val="0"/>
          <w:spacing w:val="0"/>
          <w:kern w:val="2"/>
          <w:highlight w:val="none"/>
        </w:rPr>
        <w:t>农村牧区高价彩礼、婚丧大操大办、薄养厚葬等陈规陋习，培育文明乡风、良好家风、淳朴民风。推进中国传统节日振兴，依托“大地流彩”系列活动，持续办好以农牧民为主体的文化节、丰收节、那达慕等文化活动。实施农耕文化传承保护工程，加强敖汉</w:t>
      </w:r>
      <w:r>
        <w:rPr>
          <w:rFonts w:hint="eastAsia" w:ascii="Times New Roman" w:hAnsi="Times New Roman" w:eastAsia="仿宋_GB2312" w:cs="方正仿宋_GBK"/>
          <w:b w:val="0"/>
          <w:bCs w:val="0"/>
          <w:spacing w:val="0"/>
          <w:kern w:val="2"/>
          <w:highlight w:val="none"/>
          <w:lang w:eastAsia="zh-CN"/>
        </w:rPr>
        <w:t>旗</w:t>
      </w:r>
      <w:r>
        <w:rPr>
          <w:rFonts w:hint="eastAsia" w:ascii="Times New Roman" w:hAnsi="Times New Roman" w:eastAsia="仿宋_GB2312" w:cs="方正仿宋_GBK"/>
          <w:b w:val="0"/>
          <w:bCs w:val="0"/>
          <w:spacing w:val="0"/>
          <w:kern w:val="2"/>
          <w:highlight w:val="none"/>
        </w:rPr>
        <w:t>旱作农业系统和</w:t>
      </w:r>
      <w:r>
        <w:rPr>
          <w:rFonts w:hint="eastAsia" w:ascii="Times New Roman" w:hAnsi="Times New Roman" w:eastAsia="仿宋_GB2312" w:cs="方正仿宋_GBK"/>
          <w:b w:val="0"/>
          <w:bCs w:val="0"/>
          <w:spacing w:val="0"/>
          <w:kern w:val="2"/>
          <w:highlight w:val="none"/>
          <w:lang w:eastAsia="zh-CN"/>
        </w:rPr>
        <w:t>阿鲁科尔沁旗</w:t>
      </w:r>
      <w:r>
        <w:rPr>
          <w:rFonts w:hint="eastAsia" w:ascii="Times New Roman" w:hAnsi="Times New Roman" w:eastAsia="仿宋_GB2312" w:cs="方正仿宋_GBK"/>
          <w:b w:val="0"/>
          <w:bCs w:val="0"/>
          <w:spacing w:val="0"/>
          <w:kern w:val="2"/>
          <w:highlight w:val="none"/>
        </w:rPr>
        <w:t>草原游牧系统的宣传和保护，做好其他地区农耕文化的挖掘整</w:t>
      </w:r>
      <w:r>
        <w:rPr>
          <w:rFonts w:hint="eastAsia" w:eastAsia="仿宋_GB2312" w:cs="方正仿宋_GBK"/>
          <w:b w:val="0"/>
          <w:bCs w:val="0"/>
          <w:spacing w:val="0"/>
          <w:kern w:val="2"/>
          <w:highlight w:val="none"/>
          <w:lang w:eastAsia="zh-CN"/>
        </w:rPr>
        <w:t>理和</w:t>
      </w:r>
      <w:r>
        <w:rPr>
          <w:rFonts w:hint="eastAsia" w:ascii="Times New Roman" w:hAnsi="Times New Roman" w:eastAsia="仿宋_GB2312" w:cs="方正仿宋_GBK"/>
          <w:b w:val="0"/>
          <w:bCs w:val="0"/>
          <w:spacing w:val="0"/>
          <w:kern w:val="2"/>
          <w:highlight w:val="none"/>
        </w:rPr>
        <w:t>申报工作。</w:t>
      </w:r>
    </w:p>
    <w:p w14:paraId="46DFAFE0">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1"/>
        <w:rPr>
          <w:rFonts w:hint="eastAsia" w:ascii="黑体" w:hAnsi="黑体" w:eastAsia="黑体" w:cs="黑体"/>
          <w:b w:val="0"/>
          <w:bCs w:val="0"/>
          <w:sz w:val="32"/>
          <w:szCs w:val="32"/>
          <w:highlight w:val="none"/>
          <w:u w:val="none" w:color="auto"/>
          <w:lang w:val="en-US" w:eastAsia="zh-CN"/>
        </w:rPr>
      </w:pPr>
      <w:bookmarkStart w:id="636" w:name="_Toc11589"/>
      <w:bookmarkStart w:id="637" w:name="_Toc30197"/>
      <w:bookmarkStart w:id="638" w:name="_Toc305"/>
      <w:bookmarkStart w:id="639" w:name="_Toc29209"/>
      <w:bookmarkStart w:id="640" w:name="_Toc16151"/>
      <w:bookmarkStart w:id="641" w:name="_Toc3173"/>
      <w:bookmarkStart w:id="642" w:name="_Toc13756"/>
      <w:bookmarkStart w:id="643" w:name="_Toc14944"/>
      <w:bookmarkStart w:id="644" w:name="_Toc23534"/>
      <w:bookmarkStart w:id="645" w:name="_Toc14326"/>
      <w:bookmarkStart w:id="646" w:name="_Toc29245"/>
      <w:bookmarkStart w:id="647" w:name="_Toc28611"/>
      <w:bookmarkStart w:id="648" w:name="_Toc14378"/>
      <w:bookmarkStart w:id="649" w:name="_Toc25612"/>
      <w:r>
        <w:rPr>
          <w:rFonts w:hint="eastAsia" w:ascii="黑体" w:hAnsi="黑体" w:eastAsia="黑体" w:cs="黑体"/>
          <w:b w:val="0"/>
          <w:bCs w:val="0"/>
          <w:sz w:val="32"/>
          <w:szCs w:val="32"/>
          <w:highlight w:val="none"/>
          <w:u w:val="none" w:color="auto"/>
          <w:lang w:val="en-US" w:eastAsia="zh-CN"/>
        </w:rPr>
        <w:t>扩大高水平开放，全面融入新发展格局</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6916E57F">
      <w:pPr>
        <w:keepNext w:val="0"/>
        <w:keepLines w:val="0"/>
        <w:pageBreakBefore w:val="0"/>
        <w:widowControl w:val="0"/>
        <w:kinsoku/>
        <w:wordWrap/>
        <w:overflowPunct w:val="0"/>
        <w:topLinePunct w:val="0"/>
        <w:autoSpaceDE/>
        <w:autoSpaceDN/>
        <w:bidi w:val="0"/>
        <w:adjustRightInd/>
        <w:snapToGrid/>
        <w:spacing w:line="540" w:lineRule="exact"/>
        <w:ind w:firstLine="624" w:firstLineChars="200"/>
        <w:textAlignment w:val="auto"/>
        <w:rPr>
          <w:rFonts w:hint="eastAsia" w:ascii="仿宋_GB2312" w:hAnsi="仿宋_GB2312" w:eastAsia="仿宋_GB2312" w:cs="仿宋_GB2312"/>
          <w:b w:val="0"/>
          <w:bCs w:val="0"/>
          <w:sz w:val="32"/>
          <w:szCs w:val="32"/>
          <w:highlight w:val="none"/>
          <w:u w:val="none" w:color="auto"/>
          <w:lang w:val="en-US" w:eastAsia="zh-CN"/>
        </w:rPr>
      </w:pPr>
      <w:r>
        <w:rPr>
          <w:rFonts w:hint="eastAsia" w:ascii="仿宋_GB2312" w:hAnsi="仿宋_GB2312" w:eastAsia="仿宋_GB2312" w:cs="仿宋_GB2312"/>
          <w:b w:val="0"/>
          <w:bCs w:val="0"/>
          <w:sz w:val="32"/>
          <w:szCs w:val="32"/>
          <w:highlight w:val="none"/>
          <w:u w:val="none" w:color="auto"/>
          <w:lang w:val="en-US" w:eastAsia="zh-CN"/>
        </w:rPr>
        <w:t>扭住扩大内需这一战略基点，坚持惠民生和促消费、投资于物和投资于人紧密结合，充分发挥投资的关键作用和消费的基础作用，拓展对外开放广度和深度，在融入和服务构建新发展格局中展现新作为。</w:t>
      </w:r>
    </w:p>
    <w:p w14:paraId="64EC7A8F">
      <w:pPr>
        <w:keepNext w:val="0"/>
        <w:keepLines w:val="0"/>
        <w:pageBreakBefore w:val="0"/>
        <w:widowControl/>
        <w:numPr>
          <w:ilvl w:val="0"/>
          <w:numId w:val="8"/>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650" w:name="_Toc11347"/>
      <w:bookmarkStart w:id="651" w:name="_Toc3133"/>
      <w:bookmarkStart w:id="652" w:name="_Toc24998"/>
      <w:bookmarkStart w:id="653" w:name="_Toc22733"/>
      <w:bookmarkStart w:id="654" w:name="_Toc31243"/>
      <w:bookmarkStart w:id="655" w:name="_Toc21825"/>
      <w:bookmarkStart w:id="656" w:name="_Toc16429"/>
      <w:bookmarkStart w:id="657" w:name="_Toc29651"/>
      <w:bookmarkStart w:id="658" w:name="_Toc14592"/>
      <w:bookmarkStart w:id="659" w:name="_Toc17498"/>
      <w:bookmarkStart w:id="660" w:name="_Toc25469"/>
      <w:bookmarkStart w:id="661" w:name="_Toc24465"/>
      <w:bookmarkStart w:id="662" w:name="_Toc10448"/>
      <w:bookmarkStart w:id="663" w:name="_Toc1032"/>
      <w:r>
        <w:rPr>
          <w:rFonts w:hint="eastAsia" w:ascii="楷体_GB2312" w:hAnsi="楷体_GB2312" w:eastAsia="楷体_GB2312" w:cs="楷体_GB2312"/>
          <w:b w:val="0"/>
          <w:bCs w:val="0"/>
          <w:color w:val="auto"/>
          <w:sz w:val="32"/>
          <w:szCs w:val="40"/>
          <w:highlight w:val="none"/>
          <w:u w:val="none" w:color="auto"/>
          <w:lang w:val="en-US" w:eastAsia="zh-CN"/>
        </w:rPr>
        <w:t>积极扩大有效投资</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291CD947">
      <w:pPr>
        <w:keepNext w:val="0"/>
        <w:keepLines w:val="0"/>
        <w:pageBreakBefore w:val="0"/>
        <w:widowControl w:val="0"/>
        <w:numPr>
          <w:ilvl w:val="-1"/>
          <w:numId w:val="0"/>
        </w:numPr>
        <w:kinsoku/>
        <w:wordWrap/>
        <w:overflowPunct w:val="0"/>
        <w:topLinePunct w:val="0"/>
        <w:autoSpaceDE/>
        <w:autoSpaceDN/>
        <w:bidi w:val="0"/>
        <w:adjustRightInd/>
        <w:snapToGrid/>
        <w:spacing w:line="540" w:lineRule="exact"/>
        <w:ind w:firstLine="624" w:firstLineChars="200"/>
        <w:jc w:val="both"/>
        <w:textAlignment w:val="auto"/>
        <w:rPr>
          <w:rFonts w:hint="eastAsia" w:ascii="仿宋_GB2312" w:hAnsi="仿宋_GB2312" w:eastAsia="仿宋_GB2312" w:cs="仿宋_GB2312"/>
          <w:b w:val="0"/>
          <w:bCs w:val="0"/>
          <w:sz w:val="32"/>
          <w:szCs w:val="32"/>
          <w:highlight w:val="none"/>
          <w:u w:val="none" w:color="auto"/>
          <w:lang w:val="en-US" w:eastAsia="zh-CN"/>
        </w:rPr>
      </w:pPr>
      <w:r>
        <w:rPr>
          <w:rFonts w:hint="eastAsia" w:ascii="仿宋_GB2312" w:hAnsi="仿宋_GB2312" w:eastAsia="仿宋_GB2312" w:cs="仿宋_GB2312"/>
          <w:b w:val="0"/>
          <w:bCs w:val="0"/>
          <w:sz w:val="32"/>
          <w:szCs w:val="32"/>
          <w:highlight w:val="none"/>
          <w:u w:val="none" w:color="auto"/>
          <w:lang w:val="en-US" w:eastAsia="zh-CN"/>
        </w:rPr>
        <w:t>高位推进招商引资拓展行动和重大项目牵引行动，谋划实施一批补短板、强弱项、增后劲的重大工程项目，构建“实施一批、前期一批、储备一批、谋划一批”滚动接续机制，保持投资合理增长，实现供需更高水平动态平衡。</w:t>
      </w:r>
    </w:p>
    <w:p w14:paraId="5F5DA19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sz w:val="32"/>
          <w:szCs w:val="32"/>
          <w:highlight w:val="none"/>
          <w:u w:val="none" w:color="auto"/>
          <w:lang w:val="en-US" w:eastAsia="zh-CN"/>
        </w:rPr>
      </w:pPr>
      <w:bookmarkStart w:id="664" w:name="_Toc13473"/>
      <w:r>
        <w:rPr>
          <w:rFonts w:hint="eastAsia" w:ascii="Times New Roman" w:hAnsi="Times New Roman" w:eastAsia="仿宋_GB2312" w:cs="方正仿宋_GBK"/>
          <w:b w:val="0"/>
          <w:bCs w:val="0"/>
          <w:color w:val="auto"/>
          <w:sz w:val="32"/>
          <w:szCs w:val="32"/>
          <w:highlight w:val="none"/>
          <w:lang w:val="en-US" w:eastAsia="zh-CN"/>
        </w:rPr>
        <w:t>加强重大项目谋划实施</w:t>
      </w:r>
      <w:bookmarkEnd w:id="664"/>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围绕“重大战略、重大规划、重点政策、产业布局”，在重大基础设施建设、重要民生和公共服务、重点领域安全保障、城乡区域协调发展、新质生产力、绿色低碳转型等领域，谋划实施一批具有牵引带动作用的重大工程。</w:t>
      </w:r>
      <w:bookmarkStart w:id="665" w:name="OLE_LINK110"/>
      <w:bookmarkStart w:id="666" w:name="OLE_LINK111"/>
      <w:r>
        <w:rPr>
          <w:rFonts w:hint="eastAsia" w:ascii="仿宋_GB2312" w:hAnsi="仿宋_GB2312" w:eastAsia="仿宋_GB2312" w:cs="仿宋_GB2312"/>
          <w:b w:val="0"/>
          <w:bCs w:val="0"/>
          <w:sz w:val="32"/>
          <w:szCs w:val="32"/>
          <w:highlight w:val="none"/>
          <w:u w:val="none" w:color="auto"/>
          <w:lang w:val="en-US" w:eastAsia="zh-CN"/>
        </w:rPr>
        <w:t>强化重大项目市级统筹，深入实施重点项目“争先进位、赛马比拼”工作机制。</w:t>
      </w:r>
      <w:r>
        <w:rPr>
          <w:rFonts w:hint="eastAsia" w:ascii="仿宋_GB2312" w:hAnsi="仿宋_GB2312" w:eastAsia="仿宋_GB2312" w:cs="仿宋_GB2312"/>
          <w:b w:val="0"/>
          <w:bCs w:val="0"/>
          <w:i w:val="0"/>
          <w:iCs w:val="0"/>
          <w:caps w:val="0"/>
          <w:color w:val="auto"/>
          <w:spacing w:val="8"/>
          <w:kern w:val="0"/>
          <w:sz w:val="32"/>
          <w:szCs w:val="32"/>
          <w:highlight w:val="none"/>
          <w:u w:val="none" w:color="auto"/>
          <w:shd w:val="clear" w:color="auto" w:fill="FFFFFF"/>
          <w:lang w:val="en-US" w:eastAsia="zh-CN" w:bidi="ar"/>
        </w:rPr>
        <w:t>面向重点地区开展精准招商、靶向招商、以商招商、产业链招商，提升招商引资质效</w:t>
      </w:r>
      <w:bookmarkStart w:id="667" w:name="OLE_LINK113"/>
      <w:bookmarkStart w:id="668" w:name="OLE_LINK112"/>
      <w:r>
        <w:rPr>
          <w:rFonts w:hint="eastAsia" w:ascii="仿宋_GB2312" w:hAnsi="仿宋_GB2312" w:eastAsia="仿宋_GB2312" w:cs="仿宋_GB2312"/>
          <w:b w:val="0"/>
          <w:bCs w:val="0"/>
          <w:sz w:val="32"/>
          <w:szCs w:val="32"/>
          <w:highlight w:val="none"/>
          <w:u w:val="none" w:color="auto"/>
          <w:lang w:val="en-US" w:eastAsia="zh-CN"/>
        </w:rPr>
        <w:t>。</w:t>
      </w:r>
      <w:bookmarkEnd w:id="665"/>
      <w:bookmarkEnd w:id="666"/>
      <w:bookmarkEnd w:id="667"/>
      <w:bookmarkEnd w:id="668"/>
      <w:r>
        <w:rPr>
          <w:rFonts w:hint="eastAsia" w:ascii="仿宋_GB2312" w:hAnsi="仿宋_GB2312" w:eastAsia="仿宋_GB2312" w:cs="仿宋_GB2312"/>
          <w:b w:val="0"/>
          <w:bCs w:val="0"/>
          <w:sz w:val="32"/>
          <w:szCs w:val="32"/>
          <w:highlight w:val="none"/>
          <w:u w:val="none" w:color="auto"/>
          <w:lang w:val="en-US" w:eastAsia="zh-CN"/>
        </w:rPr>
        <w:t>完善招商引资服务机制，</w:t>
      </w:r>
      <w:bookmarkStart w:id="669" w:name="OLE_LINK118"/>
      <w:bookmarkStart w:id="670" w:name="OLE_LINK119"/>
      <w:r>
        <w:rPr>
          <w:rFonts w:hint="eastAsia" w:ascii="仿宋_GB2312" w:hAnsi="仿宋_GB2312" w:eastAsia="仿宋_GB2312" w:cs="仿宋_GB2312"/>
          <w:b w:val="0"/>
          <w:bCs w:val="0"/>
          <w:sz w:val="32"/>
          <w:szCs w:val="32"/>
          <w:highlight w:val="none"/>
          <w:u w:val="none" w:color="auto"/>
          <w:lang w:val="en-US" w:eastAsia="zh-CN"/>
        </w:rPr>
        <w:t>推动要素供给与招商对象需求精准匹配</w:t>
      </w:r>
      <w:bookmarkEnd w:id="669"/>
      <w:bookmarkEnd w:id="670"/>
      <w:r>
        <w:rPr>
          <w:rFonts w:hint="eastAsia" w:ascii="仿宋_GB2312" w:hAnsi="仿宋_GB2312" w:eastAsia="仿宋_GB2312" w:cs="仿宋_GB2312"/>
          <w:b w:val="0"/>
          <w:bCs w:val="0"/>
          <w:sz w:val="32"/>
          <w:szCs w:val="32"/>
          <w:highlight w:val="none"/>
          <w:u w:val="none" w:color="auto"/>
          <w:lang w:val="en-US" w:eastAsia="zh-CN"/>
        </w:rPr>
        <w:t>。</w:t>
      </w:r>
    </w:p>
    <w:p w14:paraId="6701F7B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sz w:val="32"/>
          <w:szCs w:val="32"/>
          <w:highlight w:val="none"/>
          <w:u w:val="none" w:color="auto"/>
          <w:lang w:val="en-US" w:eastAsia="zh-CN"/>
        </w:rPr>
      </w:pPr>
      <w:bookmarkStart w:id="671" w:name="_Toc7488"/>
      <w:r>
        <w:rPr>
          <w:rFonts w:hint="eastAsia" w:ascii="Times New Roman" w:hAnsi="Times New Roman" w:eastAsia="仿宋_GB2312" w:cs="方正仿宋_GBK"/>
          <w:b w:val="0"/>
          <w:bCs w:val="0"/>
          <w:color w:val="auto"/>
          <w:sz w:val="32"/>
          <w:szCs w:val="32"/>
          <w:highlight w:val="none"/>
          <w:lang w:val="en-US" w:eastAsia="zh-CN"/>
        </w:rPr>
        <w:t>全面拓展有效投资空间</w:t>
      </w:r>
      <w:bookmarkEnd w:id="671"/>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优化政府投资结构，提高民生类政府投资比重。深化政府投资决策论证，强化项目建设运营管理。实施好“两重”、“两新”和中央预算内投资项目，加大地方政府专项债、一般债争取力度并更多用于项目建设。用好新型政策性金融工具，发挥新型政策性金融工具撬动效应，引导更多资金精准投向重点领域。发挥好重大项目牵引和政府投资撬动作用，引导民营企业参与重大项目建设，发挥政府投资基金引导带动作用，持续优化投资环境，增强市场主导的有效投资增长动力。盘活存量资产，力争发行基础设施REITs项目。实施好政府和社会资本合作（PPP）新机制，形成政府引导、市场运作、全社会参与的可持续投资模式。</w:t>
      </w:r>
    </w:p>
    <w:p w14:paraId="7A216A7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sz w:val="32"/>
          <w:szCs w:val="32"/>
          <w:highlight w:val="none"/>
          <w:u w:val="none" w:color="auto"/>
          <w:lang w:val="en-US" w:eastAsia="zh-CN"/>
        </w:rPr>
      </w:pPr>
      <w:bookmarkStart w:id="672" w:name="_Toc11302"/>
      <w:r>
        <w:rPr>
          <w:rFonts w:hint="eastAsia" w:ascii="Times New Roman" w:hAnsi="Times New Roman" w:eastAsia="仿宋_GB2312" w:cs="方正仿宋_GBK"/>
          <w:b w:val="0"/>
          <w:bCs w:val="0"/>
          <w:color w:val="auto"/>
          <w:sz w:val="32"/>
          <w:szCs w:val="32"/>
          <w:highlight w:val="none"/>
          <w:lang w:val="en-US" w:eastAsia="zh-CN"/>
        </w:rPr>
        <w:t>深化投资体制改革</w:t>
      </w:r>
      <w:bookmarkEnd w:id="672"/>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纵深推进重大项目前期手续联审联批，优化内外部流程，推行简政放权。用好投资项目在线审批系统，实现前期手续审批全过程、数字化、智能化、协同化管理。推动重大项目全生命周期管理，构建投资项目事前统筹、事中监管、事后评价等机制，精准识别和有效管控投资风险。完善项目用能、用地、用水、园区承载、矿产资源等要素保障机制，健全市场主导型投资增长机制，以单位产出为导向配置资源要素，实现高效精准匹配。</w:t>
      </w:r>
    </w:p>
    <w:p w14:paraId="0107FE3C">
      <w:pPr>
        <w:keepNext w:val="0"/>
        <w:keepLines w:val="0"/>
        <w:pageBreakBefore w:val="0"/>
        <w:widowControl/>
        <w:numPr>
          <w:ilvl w:val="0"/>
          <w:numId w:val="8"/>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673" w:name="_Toc18255"/>
      <w:bookmarkStart w:id="674" w:name="_Toc30369"/>
      <w:bookmarkStart w:id="675" w:name="_Toc4263"/>
      <w:bookmarkStart w:id="676" w:name="_Toc16512"/>
      <w:bookmarkStart w:id="677" w:name="_Toc23879"/>
      <w:bookmarkStart w:id="678" w:name="_Toc31465"/>
      <w:bookmarkStart w:id="679" w:name="_Toc19393"/>
      <w:bookmarkStart w:id="680" w:name="_Toc9993"/>
      <w:bookmarkStart w:id="681" w:name="_Toc14921"/>
      <w:bookmarkStart w:id="682" w:name="_Toc22375"/>
      <w:bookmarkStart w:id="683" w:name="_Toc21588"/>
      <w:bookmarkStart w:id="684" w:name="_Toc11418"/>
      <w:bookmarkStart w:id="685" w:name="_Toc23692"/>
      <w:bookmarkStart w:id="686" w:name="_Toc16183"/>
      <w:r>
        <w:rPr>
          <w:rFonts w:hint="eastAsia" w:ascii="楷体_GB2312" w:hAnsi="楷体_GB2312" w:eastAsia="楷体_GB2312" w:cs="楷体_GB2312"/>
          <w:b w:val="0"/>
          <w:bCs w:val="0"/>
          <w:color w:val="auto"/>
          <w:sz w:val="32"/>
          <w:szCs w:val="40"/>
          <w:highlight w:val="none"/>
          <w:u w:val="none" w:color="auto"/>
          <w:lang w:val="en-US" w:eastAsia="zh-CN"/>
        </w:rPr>
        <w:t>促进消费扩容提质</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1B768677">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sz w:val="32"/>
          <w:szCs w:val="32"/>
          <w:highlight w:val="none"/>
          <w:lang w:val="en-US" w:eastAsia="zh-CN"/>
        </w:rPr>
      </w:pPr>
      <w:r>
        <w:rPr>
          <w:rFonts w:hint="eastAsia" w:ascii="仿宋_GB2312" w:hAnsi="仿宋_GB2312" w:eastAsia="仿宋_GB2312" w:cs="仿宋_GB2312"/>
          <w:b w:val="0"/>
          <w:bCs w:val="0"/>
          <w:sz w:val="32"/>
          <w:szCs w:val="32"/>
          <w:highlight w:val="none"/>
          <w:u w:val="none" w:color="auto"/>
          <w:lang w:val="en-US" w:eastAsia="zh-CN"/>
        </w:rPr>
        <w:t>深入实施提振消费专项行动，提升传统消费，培育新型消费，</w:t>
      </w:r>
      <w:r>
        <w:rPr>
          <w:rFonts w:hint="eastAsia" w:ascii="仿宋_GB2312" w:hAnsi="仿宋_GB2312" w:eastAsia="仿宋_GB2312" w:cs="仿宋_GB2312"/>
          <w:b w:val="0"/>
          <w:bCs w:val="0"/>
          <w:spacing w:val="-6"/>
          <w:sz w:val="32"/>
          <w:szCs w:val="32"/>
          <w:highlight w:val="none"/>
          <w:u w:val="none" w:color="auto"/>
          <w:lang w:val="en-US" w:eastAsia="zh-CN"/>
        </w:rPr>
        <w:t>提升服务消费，扩大优质消费品和服务供给，打造区域性消费中心。</w:t>
      </w:r>
    </w:p>
    <w:p w14:paraId="6928323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687" w:name="_Toc31676"/>
      <w:r>
        <w:rPr>
          <w:rFonts w:hint="eastAsia" w:ascii="Times New Roman" w:hAnsi="Times New Roman" w:eastAsia="仿宋_GB2312" w:cs="方正仿宋_GBK"/>
          <w:b w:val="0"/>
          <w:bCs w:val="0"/>
          <w:color w:val="auto"/>
          <w:sz w:val="32"/>
          <w:szCs w:val="32"/>
          <w:highlight w:val="none"/>
        </w:rPr>
        <w:t>深入挖掘基础型消费潜力</w:t>
      </w:r>
      <w:bookmarkEnd w:id="687"/>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提高餐饮住宿等基本消费品质，引导餐饮企业提质升档，满足个性化、品质化、多元化消费需求；挖掘赤峰多元饮食文化内涵，打造地域特色美食名片；提升住宿服务品质，培育一批中高端酒店品牌和民宿品牌，打造高品质乡村民宿、乡村主题酒店。扩大家政服务消费，健全家政人才培训体系，发展员工制家政服务企业，支持家政劳务输出基地建设，增加家政服务供给，推进家政服务品牌建设。大力发展养老托育消费，推进公共空间、消费场所等无障碍建设，提高</w:t>
      </w:r>
      <w:r>
        <w:rPr>
          <w:rFonts w:hint="eastAsia" w:ascii="Times New Roman" w:hAnsi="Times New Roman" w:eastAsia="仿宋_GB2312" w:cs="方正仿宋_GBK"/>
          <w:b w:val="0"/>
          <w:bCs w:val="0"/>
          <w:color w:val="auto"/>
          <w:sz w:val="32"/>
          <w:szCs w:val="32"/>
          <w:highlight w:val="none"/>
          <w:lang w:eastAsia="zh-CN"/>
        </w:rPr>
        <w:t>居家</w:t>
      </w:r>
      <w:r>
        <w:rPr>
          <w:rFonts w:hint="eastAsia" w:ascii="Times New Roman" w:hAnsi="Times New Roman" w:eastAsia="仿宋_GB2312" w:cs="方正仿宋_GBK"/>
          <w:b w:val="0"/>
          <w:bCs w:val="0"/>
          <w:color w:val="auto"/>
          <w:sz w:val="32"/>
          <w:szCs w:val="32"/>
          <w:highlight w:val="none"/>
        </w:rPr>
        <w:t>适老化水平；加快健全养老服务体系，开展居家和社区基本养老服务；多渠道增加养老托育服务供给；结合老旧小区改造、完整社区建设、社区生活圈建设、城市社区嵌入式服务设施建设，优化家政、养老、托育、助餐等服务设施布局。</w:t>
      </w:r>
    </w:p>
    <w:p w14:paraId="20C263C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688" w:name="_Toc4112"/>
      <w:r>
        <w:rPr>
          <w:rFonts w:hint="eastAsia" w:ascii="Times New Roman" w:hAnsi="Times New Roman" w:eastAsia="仿宋_GB2312" w:cs="方正仿宋_GBK"/>
          <w:b w:val="0"/>
          <w:bCs w:val="0"/>
          <w:color w:val="auto"/>
          <w:sz w:val="32"/>
          <w:szCs w:val="32"/>
          <w:highlight w:val="none"/>
        </w:rPr>
        <w:t>着力激发改善型消费活力</w:t>
      </w:r>
      <w:bookmarkEnd w:id="688"/>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激发文化娱乐消费活力，实施文化和旅游消费促进活动，提升文化娱乐服务消费体验；激发旅游消费活力，实施美好生活度假休闲工程和乡村旅游提质增效行动</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激发体育消费活力，大力发展体育赛事和冰雪运动，培育赤峰本土特色品牌赛事</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激发教育和培训消费活力，推动高等院校、科研机构、社会组织开放优质教育资源，推动职业教育提质增效，推动社会培训机构面向公众需求提高服务质量</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激发居住服务消费活力，鼓励有条件的物业服务企业与养老、托育、餐饮、家政等企业开展合作，发展“物业服务+生活服务”模式，提升社区服务水平和居住体验，鼓励支持居民开展房屋装修和局部改造。</w:t>
      </w:r>
    </w:p>
    <w:p w14:paraId="07C0D10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689" w:name="_Toc22494"/>
      <w:r>
        <w:rPr>
          <w:rFonts w:hint="eastAsia" w:ascii="Times New Roman" w:hAnsi="Times New Roman" w:eastAsia="仿宋_GB2312" w:cs="方正仿宋_GBK"/>
          <w:b w:val="0"/>
          <w:bCs w:val="0"/>
          <w:color w:val="auto"/>
          <w:sz w:val="32"/>
          <w:szCs w:val="32"/>
          <w:highlight w:val="none"/>
          <w:lang w:val="en-US" w:eastAsia="zh-CN"/>
        </w:rPr>
        <w:t>加快培育发展新消费业态</w:t>
      </w:r>
      <w:bookmarkEnd w:id="689"/>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积极培育消费新业态新模式新场景，发展首店经济、首发经济、首秀经济、夜间经济。</w:t>
      </w:r>
      <w:r>
        <w:rPr>
          <w:rFonts w:hint="eastAsia" w:ascii="Times New Roman" w:hAnsi="Times New Roman" w:eastAsia="仿宋_GB2312" w:cs="方正仿宋_GBK"/>
          <w:b w:val="0"/>
          <w:bCs w:val="0"/>
          <w:color w:val="auto"/>
          <w:sz w:val="32"/>
          <w:szCs w:val="32"/>
          <w:highlight w:val="none"/>
        </w:rPr>
        <w:t>培育壮大数字消费，扩大信息消费能力</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支持线上线下商品消费融合发展</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加快传统线下业态数字化改造和转型升级。构建智慧商圈、智慧街区、智慧门店等消费新载体，在社区、商超、车站等场所加快无人零售店、自提柜、云柜等新业态布局。持续完善生活服务平台与消费者之间的良性互动，推进数字消费券应用，参与开展各类惠民补贴、消费优惠活动，进一步深化平台服务能力，提供更全面的服务消费资讯。普及绿色低碳消费观念，健全绿色低碳产品生产和推广机制，促进居民消费品质升级。依法规范平台经济发展，提升新业态监管能力。促进共享经济等消费新业态发展。大力发展医美消费、城市漫游、个性化健康管理、一对一咨询等定制消费模式。</w:t>
      </w:r>
    </w:p>
    <w:p w14:paraId="1EAC34A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color w:val="auto"/>
          <w:sz w:val="32"/>
          <w:szCs w:val="32"/>
          <w:highlight w:val="none"/>
          <w:u w:val="none" w:color="auto"/>
          <w:lang w:val="en-US" w:eastAsia="zh-CN"/>
        </w:rPr>
      </w:pPr>
      <w:bookmarkStart w:id="690" w:name="_Toc20739"/>
      <w:r>
        <w:rPr>
          <w:rFonts w:hint="eastAsia" w:ascii="Times New Roman" w:hAnsi="Times New Roman" w:eastAsia="仿宋_GB2312" w:cs="方正仿宋_GBK"/>
          <w:b w:val="0"/>
          <w:bCs w:val="0"/>
          <w:color w:val="auto"/>
          <w:sz w:val="32"/>
          <w:szCs w:val="32"/>
          <w:highlight w:val="none"/>
          <w:lang w:val="en-US" w:eastAsia="zh-CN"/>
        </w:rPr>
        <w:t>持续完善促消费长效机制</w:t>
      </w:r>
      <w:bookmarkEnd w:id="690"/>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完善提振和扩大消费长效机制，加大直达消费者的普惠政策力度，挖掘房地产、汽车、家电等大宗消费潜力。</w:t>
      </w:r>
      <w:r>
        <w:rPr>
          <w:rFonts w:hint="eastAsia" w:ascii="Times New Roman" w:hAnsi="Times New Roman" w:eastAsia="仿宋_GB2312" w:cs="方正仿宋_GBK"/>
          <w:b w:val="0"/>
          <w:bCs w:val="0"/>
          <w:color w:val="auto"/>
          <w:sz w:val="32"/>
          <w:szCs w:val="32"/>
          <w:highlight w:val="none"/>
        </w:rPr>
        <w:t>强化促进消费政策协同落实，</w:t>
      </w:r>
      <w:r>
        <w:rPr>
          <w:rFonts w:hint="eastAsia" w:ascii="Times New Roman" w:hAnsi="Times New Roman" w:eastAsia="仿宋_GB2312" w:cs="方正仿宋_GBK"/>
          <w:b w:val="0"/>
          <w:bCs w:val="0"/>
          <w:color w:val="auto"/>
          <w:sz w:val="32"/>
          <w:szCs w:val="32"/>
          <w:highlight w:val="none"/>
          <w:lang w:val="en-US" w:eastAsia="zh-CN"/>
        </w:rPr>
        <w:t>优化实施大规模设备更新和消费品以旧换新</w:t>
      </w:r>
      <w:r>
        <w:rPr>
          <w:rFonts w:hint="eastAsia" w:ascii="Times New Roman" w:hAnsi="Times New Roman" w:eastAsia="仿宋_GB2312" w:cs="方正仿宋_GBK"/>
          <w:b w:val="0"/>
          <w:bCs w:val="0"/>
          <w:color w:val="auto"/>
          <w:sz w:val="32"/>
          <w:szCs w:val="32"/>
          <w:highlight w:val="none"/>
        </w:rPr>
        <w:t>，推动消费升级。</w:t>
      </w:r>
      <w:r>
        <w:rPr>
          <w:rFonts w:hint="eastAsia" w:ascii="仿宋_GB2312" w:hAnsi="仿宋_GB2312" w:eastAsia="仿宋_GB2312" w:cs="仿宋_GB2312"/>
          <w:b w:val="0"/>
          <w:bCs w:val="0"/>
          <w:sz w:val="32"/>
          <w:szCs w:val="32"/>
          <w:highlight w:val="none"/>
          <w:u w:val="none" w:color="auto"/>
          <w:lang w:val="en-US" w:eastAsia="zh-CN"/>
        </w:rPr>
        <w:t>强化消费者权益保护，</w:t>
      </w:r>
      <w:r>
        <w:rPr>
          <w:rFonts w:hint="eastAsia" w:ascii="Times New Roman" w:hAnsi="Times New Roman" w:eastAsia="仿宋_GB2312" w:cs="方正仿宋_GBK"/>
          <w:b w:val="0"/>
          <w:bCs w:val="0"/>
          <w:color w:val="auto"/>
          <w:sz w:val="32"/>
          <w:szCs w:val="32"/>
          <w:highlight w:val="none"/>
        </w:rPr>
        <w:t>加强消费领域信用体系建设，健全消费争议多元化解机制，依法打击虚假广告、网络敲诈、恶意投诉索赔等违法行为，营造放心消费环境。</w:t>
      </w:r>
      <w:r>
        <w:rPr>
          <w:rFonts w:hint="eastAsia" w:ascii="Times New Roman" w:hAnsi="Times New Roman" w:eastAsia="仿宋_GB2312" w:cs="方正仿宋_GBK"/>
          <w:b w:val="0"/>
          <w:bCs w:val="0"/>
          <w:color w:val="auto"/>
          <w:sz w:val="32"/>
          <w:szCs w:val="32"/>
          <w:highlight w:val="none"/>
          <w:lang w:val="en-US" w:eastAsia="zh-CN"/>
        </w:rPr>
        <w:t>落实带薪错峰休假，扩大节假日消费。</w:t>
      </w:r>
    </w:p>
    <w:p w14:paraId="0A7CBE2B">
      <w:pPr>
        <w:keepNext w:val="0"/>
        <w:keepLines w:val="0"/>
        <w:pageBreakBefore w:val="0"/>
        <w:widowControl/>
        <w:numPr>
          <w:ilvl w:val="0"/>
          <w:numId w:val="8"/>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691" w:name="_Toc8287"/>
      <w:bookmarkStart w:id="692" w:name="_Toc2455"/>
      <w:bookmarkStart w:id="693" w:name="_Toc17533"/>
      <w:bookmarkStart w:id="694" w:name="_Toc20588"/>
      <w:bookmarkStart w:id="695" w:name="_Toc28356"/>
      <w:bookmarkStart w:id="696" w:name="_Toc19559"/>
      <w:bookmarkStart w:id="697" w:name="_Toc15915"/>
      <w:bookmarkStart w:id="698" w:name="_Toc30316"/>
      <w:bookmarkStart w:id="699" w:name="_Toc28732"/>
      <w:bookmarkStart w:id="700" w:name="_Toc2783"/>
      <w:bookmarkStart w:id="701" w:name="_Toc13666"/>
      <w:bookmarkStart w:id="702" w:name="_Toc14160"/>
      <w:bookmarkStart w:id="703" w:name="_Toc13682"/>
      <w:bookmarkStart w:id="704" w:name="_Toc13736"/>
      <w:bookmarkStart w:id="705" w:name="_Toc27234"/>
      <w:bookmarkStart w:id="706" w:name="_Toc1638"/>
      <w:bookmarkStart w:id="707" w:name="_Toc1854"/>
      <w:bookmarkStart w:id="708" w:name="_Toc7666"/>
      <w:bookmarkStart w:id="709" w:name="_Toc29083"/>
      <w:bookmarkStart w:id="710" w:name="_Toc16853"/>
      <w:bookmarkStart w:id="711" w:name="_Toc120"/>
      <w:bookmarkStart w:id="712" w:name="_Toc10672"/>
      <w:bookmarkStart w:id="713" w:name="_Toc26530"/>
      <w:bookmarkStart w:id="714" w:name="_Toc17530"/>
      <w:bookmarkStart w:id="715" w:name="_Toc18969"/>
      <w:bookmarkStart w:id="716" w:name="_Toc12702"/>
      <w:bookmarkStart w:id="717" w:name="_Toc372"/>
      <w:r>
        <w:rPr>
          <w:rFonts w:hint="eastAsia" w:ascii="楷体_GB2312" w:hAnsi="楷体_GB2312" w:eastAsia="楷体_GB2312" w:cs="楷体_GB2312"/>
          <w:b w:val="0"/>
          <w:bCs w:val="0"/>
          <w:color w:val="auto"/>
          <w:sz w:val="32"/>
          <w:szCs w:val="40"/>
          <w:highlight w:val="none"/>
          <w:u w:val="none"/>
          <w:lang w:val="en-US" w:eastAsia="zh-CN"/>
        </w:rPr>
        <w:t>深入推进向北开放与向海图强</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474664CA">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深度融入</w:t>
      </w:r>
      <w:r>
        <w:rPr>
          <w:rFonts w:hint="eastAsia" w:eastAsia="仿宋_GB2312" w:cs="方正仿宋_GBK"/>
          <w:b w:val="0"/>
          <w:bCs w:val="0"/>
          <w:color w:val="auto"/>
          <w:highlight w:val="none"/>
          <w:lang w:val="en-US" w:eastAsia="zh-CN"/>
        </w:rPr>
        <w:t>高质量</w:t>
      </w:r>
      <w:r>
        <w:rPr>
          <w:rFonts w:hint="eastAsia" w:ascii="Times New Roman" w:hAnsi="Times New Roman" w:eastAsia="仿宋_GB2312" w:cs="方正仿宋_GBK"/>
          <w:b w:val="0"/>
          <w:bCs w:val="0"/>
          <w:color w:val="auto"/>
          <w:highlight w:val="none"/>
        </w:rPr>
        <w:t>共建“一带一路”和“中蒙俄经济走廊”建设，强化与京津冀、</w:t>
      </w:r>
      <w:r>
        <w:rPr>
          <w:rFonts w:hint="eastAsia" w:ascii="Times New Roman" w:hAnsi="Times New Roman" w:eastAsia="仿宋_GB2312" w:cs="方正仿宋_GBK"/>
          <w:b w:val="0"/>
          <w:bCs w:val="0"/>
          <w:color w:val="auto"/>
          <w:highlight w:val="none"/>
          <w:lang w:val="en-US" w:eastAsia="zh-CN"/>
        </w:rPr>
        <w:t>环渤海和东北</w:t>
      </w:r>
      <w:r>
        <w:rPr>
          <w:rFonts w:hint="eastAsia" w:ascii="Times New Roman" w:hAnsi="Times New Roman" w:eastAsia="仿宋_GB2312" w:cs="方正仿宋_GBK"/>
          <w:b w:val="0"/>
          <w:bCs w:val="0"/>
          <w:color w:val="auto"/>
          <w:highlight w:val="none"/>
        </w:rPr>
        <w:t>地区协同发展，</w:t>
      </w:r>
      <w:r>
        <w:rPr>
          <w:rFonts w:hint="eastAsia" w:ascii="Times New Roman" w:hAnsi="Times New Roman" w:eastAsia="仿宋_GB2312" w:cs="方正仿宋_GBK"/>
          <w:b w:val="0"/>
          <w:bCs w:val="0"/>
          <w:color w:val="auto"/>
          <w:highlight w:val="none"/>
          <w:lang w:val="en-US" w:eastAsia="zh-CN"/>
        </w:rPr>
        <w:t>建立健全区域间战略互动合作机制，加强区域经济合作，努力在自治区建设我国向北开放重要桥头堡中更好发挥腹地支撑作用</w:t>
      </w:r>
      <w:r>
        <w:rPr>
          <w:rFonts w:hint="eastAsia" w:eastAsia="仿宋_GB2312" w:cs="方正仿宋_GBK"/>
          <w:b w:val="0"/>
          <w:bCs w:val="0"/>
          <w:color w:val="auto"/>
          <w:highlight w:val="none"/>
          <w:lang w:val="en-US" w:eastAsia="zh-CN"/>
        </w:rPr>
        <w:t>。</w:t>
      </w:r>
    </w:p>
    <w:p w14:paraId="2AFE5AB8">
      <w:pPr>
        <w:pStyle w:val="43"/>
        <w:keepNext w:val="0"/>
        <w:keepLines w:val="0"/>
        <w:pageBreakBefore w:val="0"/>
        <w:widowControl/>
        <w:shd w:val="clear" w:color="auto" w:fill="auto"/>
        <w:kinsoku/>
        <w:wordWrap/>
        <w:overflowPunct/>
        <w:topLinePunct w:val="0"/>
        <w:autoSpaceDE/>
        <w:autoSpaceDN/>
        <w:bidi w:val="0"/>
        <w:adjustRightInd/>
        <w:snapToGrid/>
        <w:spacing w:before="0" w:beforeLines="-2147483648" w:after="0" w:afterLines="-2147483648"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718" w:name="_Toc402"/>
      <w:r>
        <w:rPr>
          <w:rFonts w:hint="eastAsia" w:ascii="Times New Roman" w:hAnsi="Times New Roman" w:eastAsia="仿宋_GB2312" w:cs="方正仿宋_GBK"/>
          <w:b w:val="0"/>
          <w:bCs w:val="0"/>
          <w:color w:val="auto"/>
          <w:sz w:val="32"/>
          <w:szCs w:val="32"/>
          <w:highlight w:val="none"/>
          <w:lang w:val="en-US" w:eastAsia="zh-CN"/>
        </w:rPr>
        <w:t>深入推进向北开放</w:t>
      </w:r>
      <w:bookmarkEnd w:id="718"/>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深度参与中蒙俄经济走廊建设，积极</w:t>
      </w:r>
      <w:r>
        <w:rPr>
          <w:rFonts w:hint="eastAsia" w:ascii="Times New Roman" w:hAnsi="Times New Roman" w:eastAsia="仿宋_GB2312" w:cs="方正仿宋_GBK"/>
          <w:b w:val="0"/>
          <w:bCs w:val="0"/>
          <w:color w:val="auto"/>
          <w:highlight w:val="none"/>
        </w:rPr>
        <w:t>参加</w:t>
      </w:r>
      <w:r>
        <w:rPr>
          <w:rFonts w:hint="eastAsia" w:ascii="Times New Roman" w:hAnsi="Times New Roman" w:eastAsia="仿宋_GB2312" w:cs="方正仿宋_GBK"/>
          <w:b w:val="0"/>
          <w:bCs w:val="0"/>
          <w:color w:val="auto"/>
          <w:highlight w:val="none"/>
          <w:lang w:eastAsia="zh-CN"/>
        </w:rPr>
        <w:t>广交会、消博会、中蒙博览会</w:t>
      </w:r>
      <w:r>
        <w:rPr>
          <w:rFonts w:hint="eastAsia" w:ascii="Times New Roman" w:hAnsi="Times New Roman" w:eastAsia="仿宋_GB2312" w:cs="方正仿宋_GBK"/>
          <w:b w:val="0"/>
          <w:bCs w:val="0"/>
          <w:color w:val="auto"/>
          <w:highlight w:val="none"/>
        </w:rPr>
        <w:t>等高层次会展活动，</w:t>
      </w:r>
      <w:r>
        <w:rPr>
          <w:rFonts w:hint="eastAsia" w:ascii="Times New Roman" w:hAnsi="Times New Roman" w:eastAsia="仿宋_GB2312" w:cs="方正仿宋_GBK"/>
          <w:b w:val="0"/>
          <w:bCs w:val="0"/>
          <w:color w:val="auto"/>
          <w:highlight w:val="none"/>
          <w:lang w:val="en-US" w:eastAsia="zh-CN"/>
        </w:rPr>
        <w:t>培育本地优势特色产品出口，支持猫砂、中药材、农产品等开拓国际市场，</w:t>
      </w:r>
      <w:r>
        <w:rPr>
          <w:rFonts w:hint="eastAsia" w:ascii="Times New Roman" w:hAnsi="Times New Roman" w:eastAsia="仿宋_GB2312" w:cs="方正仿宋_GBK"/>
          <w:b w:val="0"/>
          <w:bCs w:val="0"/>
          <w:color w:val="auto"/>
          <w:highlight w:val="none"/>
          <w:lang w:eastAsia="zh-CN"/>
        </w:rPr>
        <w:t>持续扩大外贸规模。</w:t>
      </w:r>
      <w:r>
        <w:rPr>
          <w:rFonts w:hint="eastAsia" w:ascii="Times New Roman" w:hAnsi="Times New Roman" w:eastAsia="仿宋_GB2312" w:cs="方正仿宋_GBK"/>
          <w:b w:val="0"/>
          <w:bCs w:val="0"/>
          <w:color w:val="auto"/>
          <w:highlight w:val="none"/>
        </w:rPr>
        <w:t>加强区内口岸协作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深化与二连浩特、</w:t>
      </w:r>
      <w:r>
        <w:rPr>
          <w:rFonts w:hint="eastAsia" w:eastAsia="仿宋_GB2312" w:cs="方正仿宋_GBK"/>
          <w:b w:val="0"/>
          <w:bCs w:val="0"/>
          <w:color w:val="auto"/>
          <w:highlight w:val="none"/>
          <w:lang w:val="en-US" w:eastAsia="zh-CN"/>
        </w:rPr>
        <w:t>甘其毛都、珠恩嘎达布其、满洲里</w:t>
      </w:r>
      <w:r>
        <w:rPr>
          <w:rFonts w:hint="eastAsia" w:ascii="Times New Roman" w:hAnsi="Times New Roman" w:eastAsia="仿宋_GB2312" w:cs="方正仿宋_GBK"/>
          <w:b w:val="0"/>
          <w:bCs w:val="0"/>
          <w:color w:val="auto"/>
          <w:highlight w:val="none"/>
        </w:rPr>
        <w:t>等区内重点口岸的合作，建立“赤峰货源+口岸通道”的合作模式</w:t>
      </w:r>
      <w:r>
        <w:rPr>
          <w:rFonts w:hint="eastAsia" w:ascii="Times New Roman" w:hAnsi="Times New Roman" w:eastAsia="仿宋_GB2312" w:cs="方正仿宋_GBK"/>
          <w:b w:val="0"/>
          <w:bCs w:val="0"/>
          <w:color w:val="auto"/>
          <w:highlight w:val="none"/>
          <w:lang w:eastAsia="zh-CN"/>
        </w:rPr>
        <w:t>，扩大铜精矿、铁矿石等资源落地加工规模</w:t>
      </w:r>
      <w:r>
        <w:rPr>
          <w:rFonts w:hint="eastAsia" w:ascii="Times New Roman" w:hAnsi="Times New Roman" w:eastAsia="仿宋_GB2312" w:cs="方正仿宋_GBK"/>
          <w:b w:val="0"/>
          <w:bCs w:val="0"/>
          <w:color w:val="auto"/>
          <w:highlight w:val="none"/>
        </w:rPr>
        <w:t>。推动实现通关一体化、便利化，为赤峰企业利用口岸进出口提供更加便捷高效的服务。</w:t>
      </w:r>
      <w:r>
        <w:rPr>
          <w:rFonts w:hint="eastAsia" w:ascii="Times New Roman" w:hAnsi="Times New Roman" w:eastAsia="仿宋_GB2312" w:cs="方正仿宋_GBK"/>
          <w:b w:val="0"/>
          <w:bCs w:val="0"/>
          <w:color w:val="auto"/>
          <w:highlight w:val="none"/>
          <w:lang w:val="en-US" w:eastAsia="zh-CN"/>
        </w:rPr>
        <w:t>推动跨境电商</w:t>
      </w:r>
      <w:r>
        <w:rPr>
          <w:rFonts w:hint="eastAsia" w:eastAsia="仿宋_GB2312" w:cs="方正仿宋_GBK"/>
          <w:b w:val="0"/>
          <w:bCs w:val="0"/>
          <w:color w:val="auto"/>
          <w:highlight w:val="none"/>
          <w:lang w:val="en-US" w:eastAsia="zh-CN"/>
        </w:rPr>
        <w:t>综合实验区</w:t>
      </w:r>
      <w:r>
        <w:rPr>
          <w:rFonts w:hint="eastAsia" w:ascii="Times New Roman" w:hAnsi="Times New Roman" w:eastAsia="仿宋_GB2312" w:cs="方正仿宋_GBK"/>
          <w:b w:val="0"/>
          <w:bCs w:val="0"/>
          <w:color w:val="auto"/>
          <w:highlight w:val="none"/>
          <w:lang w:val="en-US" w:eastAsia="zh-CN"/>
        </w:rPr>
        <w:t>提档升级，打造</w:t>
      </w:r>
      <w:r>
        <w:rPr>
          <w:rFonts w:hint="eastAsia" w:eastAsia="仿宋_GB2312" w:cs="方正仿宋_GBK"/>
          <w:b w:val="0"/>
          <w:bCs w:val="0"/>
          <w:color w:val="auto"/>
          <w:highlight w:val="none"/>
          <w:lang w:val="en-US" w:eastAsia="zh-CN"/>
        </w:rPr>
        <w:t>赤峰</w:t>
      </w:r>
      <w:r>
        <w:rPr>
          <w:rFonts w:hint="eastAsia" w:ascii="Times New Roman" w:hAnsi="Times New Roman" w:eastAsia="仿宋_GB2312" w:cs="方正仿宋_GBK"/>
          <w:b w:val="0"/>
          <w:bCs w:val="0"/>
          <w:color w:val="auto"/>
          <w:highlight w:val="none"/>
          <w:lang w:val="en-US" w:eastAsia="zh-CN"/>
        </w:rPr>
        <w:t>跨境电商集散地。</w:t>
      </w:r>
    </w:p>
    <w:p w14:paraId="1CDCB8B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719" w:name="_Toc19354"/>
      <w:r>
        <w:rPr>
          <w:rFonts w:hint="eastAsia" w:ascii="Times New Roman" w:hAnsi="Times New Roman" w:eastAsia="仿宋_GB2312" w:cs="方正仿宋_GBK"/>
          <w:b w:val="0"/>
          <w:bCs w:val="0"/>
          <w:color w:val="auto"/>
          <w:highlight w:val="none"/>
        </w:rPr>
        <w:t>大力</w:t>
      </w:r>
      <w:r>
        <w:rPr>
          <w:rFonts w:hint="eastAsia" w:ascii="Times New Roman" w:hAnsi="Times New Roman" w:eastAsia="仿宋_GB2312" w:cs="方正仿宋_GBK"/>
          <w:b w:val="0"/>
          <w:bCs w:val="0"/>
          <w:color w:val="auto"/>
          <w:sz w:val="32"/>
          <w:szCs w:val="32"/>
          <w:highlight w:val="none"/>
          <w:lang w:val="en-US" w:eastAsia="zh-CN"/>
        </w:rPr>
        <w:t>推进</w:t>
      </w:r>
      <w:r>
        <w:rPr>
          <w:rFonts w:hint="eastAsia" w:ascii="Times New Roman" w:hAnsi="Times New Roman" w:eastAsia="仿宋_GB2312" w:cs="方正仿宋_GBK"/>
          <w:b w:val="0"/>
          <w:bCs w:val="0"/>
          <w:color w:val="auto"/>
          <w:highlight w:val="none"/>
        </w:rPr>
        <w:t>向海图强</w:t>
      </w:r>
      <w:bookmarkEnd w:id="719"/>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加强</w:t>
      </w:r>
      <w:r>
        <w:rPr>
          <w:rFonts w:hint="eastAsia" w:ascii="Times New Roman" w:hAnsi="Times New Roman" w:eastAsia="仿宋_GB2312" w:cs="方正仿宋_GBK"/>
          <w:b w:val="0"/>
          <w:bCs w:val="0"/>
          <w:color w:val="auto"/>
          <w:highlight w:val="none"/>
        </w:rPr>
        <w:t>与锦州、天津和</w:t>
      </w:r>
      <w:r>
        <w:rPr>
          <w:rFonts w:hint="eastAsia" w:eastAsia="仿宋_GB2312" w:cs="方正仿宋_GBK"/>
          <w:b w:val="0"/>
          <w:bCs w:val="0"/>
          <w:color w:val="auto"/>
          <w:highlight w:val="none"/>
          <w:lang w:val="en-US" w:eastAsia="zh-CN"/>
        </w:rPr>
        <w:t>大连</w:t>
      </w:r>
      <w:r>
        <w:rPr>
          <w:rFonts w:hint="eastAsia" w:ascii="Times New Roman" w:hAnsi="Times New Roman" w:eastAsia="仿宋_GB2312" w:cs="方正仿宋_GBK"/>
          <w:b w:val="0"/>
          <w:bCs w:val="0"/>
          <w:color w:val="auto"/>
          <w:highlight w:val="none"/>
        </w:rPr>
        <w:t>等港口城市务实合作，有效对接环渤海经济圈，打通自治区外向型经济发展陆海联动大通道。</w:t>
      </w:r>
      <w:r>
        <w:rPr>
          <w:rFonts w:hint="eastAsia" w:ascii="Times New Roman" w:hAnsi="Times New Roman" w:eastAsia="仿宋_GB2312" w:cs="方正仿宋_GBK"/>
          <w:b w:val="0"/>
          <w:bCs w:val="0"/>
          <w:color w:val="auto"/>
          <w:highlight w:val="none"/>
          <w:lang w:val="en-US" w:eastAsia="zh-CN"/>
        </w:rPr>
        <w:t>畅通</w:t>
      </w:r>
      <w:r>
        <w:rPr>
          <w:rFonts w:hint="eastAsia" w:ascii="Times New Roman" w:hAnsi="Times New Roman" w:eastAsia="仿宋_GB2312" w:cs="方正仿宋_GBK"/>
          <w:b w:val="0"/>
          <w:bCs w:val="0"/>
          <w:color w:val="auto"/>
          <w:highlight w:val="none"/>
        </w:rPr>
        <w:t>与口岸地区联动，</w:t>
      </w:r>
      <w:r>
        <w:rPr>
          <w:rFonts w:hint="eastAsia" w:eastAsia="仿宋_GB2312" w:cs="方正仿宋_GBK"/>
          <w:b w:val="0"/>
          <w:bCs w:val="0"/>
          <w:color w:val="auto"/>
          <w:highlight w:val="none"/>
          <w:lang w:val="en-US" w:eastAsia="zh-CN"/>
        </w:rPr>
        <w:t>进一步提升</w:t>
      </w:r>
      <w:r>
        <w:rPr>
          <w:rFonts w:hint="eastAsia" w:ascii="Times New Roman" w:hAnsi="Times New Roman" w:eastAsia="仿宋_GB2312" w:cs="方正仿宋_GBK"/>
          <w:b w:val="0"/>
          <w:bCs w:val="0"/>
          <w:color w:val="auto"/>
          <w:highlight w:val="none"/>
        </w:rPr>
        <w:t>锦州港</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赤峰</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珠恩嘎达布其口岸</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蒙古国铁路出海大通道</w:t>
      </w:r>
      <w:r>
        <w:rPr>
          <w:rFonts w:hint="eastAsia" w:eastAsia="仿宋_GB2312" w:cs="方正仿宋_GBK"/>
          <w:b w:val="0"/>
          <w:bCs w:val="0"/>
          <w:color w:val="auto"/>
          <w:highlight w:val="none"/>
          <w:lang w:val="en-US" w:eastAsia="zh-CN"/>
        </w:rPr>
        <w:t>运输效能</w:t>
      </w:r>
      <w:r>
        <w:rPr>
          <w:rFonts w:hint="eastAsia" w:ascii="Times New Roman" w:hAnsi="Times New Roman" w:eastAsia="仿宋_GB2312" w:cs="方正仿宋_GBK"/>
          <w:b w:val="0"/>
          <w:bCs w:val="0"/>
          <w:color w:val="auto"/>
          <w:highlight w:val="none"/>
        </w:rPr>
        <w:t>，加快推动G4515大广高速公路赤峰至绥中联络线赤峰至凌源（蒙辽界）项目建设，进一步畅通对外通道。加快推进锡赤朝锦等对外连通大通道建设。</w:t>
      </w:r>
    </w:p>
    <w:p w14:paraId="4FC352F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720" w:name="_Toc12840"/>
      <w:r>
        <w:rPr>
          <w:rFonts w:hint="eastAsia" w:ascii="Times New Roman" w:hAnsi="Times New Roman" w:eastAsia="仿宋_GB2312" w:cs="方正仿宋_GBK"/>
          <w:b w:val="0"/>
          <w:bCs w:val="0"/>
          <w:color w:val="auto"/>
          <w:sz w:val="32"/>
          <w:szCs w:val="32"/>
          <w:highlight w:val="none"/>
          <w:lang w:val="en-US" w:eastAsia="zh-CN"/>
        </w:rPr>
        <w:t>持续扩大对外开放力度</w:t>
      </w:r>
      <w:bookmarkEnd w:id="720"/>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推动对外贸易创新发展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优化出口商品结构，在稳定羊绒、</w:t>
      </w:r>
      <w:r>
        <w:rPr>
          <w:rFonts w:hint="eastAsia" w:ascii="Times New Roman" w:hAnsi="Times New Roman" w:eastAsia="仿宋_GB2312" w:cs="方正仿宋_GBK"/>
          <w:b w:val="0"/>
          <w:bCs w:val="0"/>
          <w:color w:val="auto"/>
          <w:highlight w:val="none"/>
          <w:lang w:val="en-US" w:eastAsia="zh-CN"/>
        </w:rPr>
        <w:t>杂粮杂豆</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冶金化工</w:t>
      </w:r>
      <w:r>
        <w:rPr>
          <w:rFonts w:hint="eastAsia" w:ascii="Times New Roman" w:hAnsi="Times New Roman" w:eastAsia="仿宋_GB2312" w:cs="方正仿宋_GBK"/>
          <w:b w:val="0"/>
          <w:bCs w:val="0"/>
          <w:color w:val="auto"/>
          <w:highlight w:val="none"/>
        </w:rPr>
        <w:t>等传统产品出口的同时，大力推动新材料、高端农畜产品、生物医药制品、装备</w:t>
      </w:r>
      <w:r>
        <w:rPr>
          <w:rFonts w:hint="eastAsia" w:ascii="Times New Roman" w:hAnsi="Times New Roman" w:eastAsia="仿宋_GB2312" w:cs="方正仿宋_GBK"/>
          <w:b w:val="0"/>
          <w:bCs w:val="0"/>
          <w:color w:val="auto"/>
          <w:highlight w:val="none"/>
          <w:lang w:val="en-US" w:eastAsia="zh-CN"/>
        </w:rPr>
        <w:t>制造</w:t>
      </w:r>
      <w:r>
        <w:rPr>
          <w:rFonts w:hint="eastAsia" w:ascii="Times New Roman" w:hAnsi="Times New Roman" w:eastAsia="仿宋_GB2312" w:cs="方正仿宋_GBK"/>
          <w:b w:val="0"/>
          <w:bCs w:val="0"/>
          <w:color w:val="auto"/>
          <w:highlight w:val="none"/>
        </w:rPr>
        <w:t>等高附加值产品出口。积极扩大先进技术、关键设备、重要能源资源性产品进口。</w:t>
      </w:r>
      <w:r>
        <w:rPr>
          <w:rFonts w:hint="eastAsia" w:eastAsia="仿宋_GB2312" w:cs="方正仿宋_GBK"/>
          <w:b w:val="0"/>
          <w:bCs w:val="0"/>
          <w:color w:val="auto"/>
          <w:highlight w:val="none"/>
          <w:lang w:val="en-US" w:eastAsia="zh-CN"/>
        </w:rPr>
        <w:t>推行</w:t>
      </w:r>
      <w:r>
        <w:rPr>
          <w:rFonts w:hint="eastAsia" w:ascii="Times New Roman" w:hAnsi="Times New Roman" w:eastAsia="仿宋_GB2312" w:cs="方正仿宋_GBK"/>
          <w:b w:val="0"/>
          <w:bCs w:val="0"/>
          <w:color w:val="auto"/>
          <w:highlight w:val="none"/>
          <w:lang w:val="en-US" w:eastAsia="zh-CN"/>
        </w:rPr>
        <w:t>“跨境电商+产业带”模式，</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lang w:val="en-US" w:eastAsia="zh-CN"/>
        </w:rPr>
        <w:t>羊绒、猫砂等特色商品</w:t>
      </w:r>
      <w:r>
        <w:rPr>
          <w:rFonts w:hint="eastAsia" w:eastAsia="仿宋_GB2312" w:cs="方正仿宋_GBK"/>
          <w:b w:val="0"/>
          <w:bCs w:val="0"/>
          <w:color w:val="auto"/>
          <w:highlight w:val="none"/>
          <w:lang w:val="en-US" w:eastAsia="zh-CN"/>
        </w:rPr>
        <w:t>产品出口</w:t>
      </w:r>
      <w:r>
        <w:rPr>
          <w:rFonts w:hint="eastAsia" w:ascii="Times New Roman" w:hAnsi="Times New Roman" w:eastAsia="仿宋_GB2312" w:cs="方正仿宋_GBK"/>
          <w:b w:val="0"/>
          <w:bCs w:val="0"/>
          <w:color w:val="auto"/>
          <w:highlight w:val="none"/>
          <w:lang w:val="en-US" w:eastAsia="zh-CN"/>
        </w:rPr>
        <w:t>，不断推动传统外贸企业转型</w:t>
      </w:r>
      <w:r>
        <w:rPr>
          <w:rFonts w:hint="eastAsia" w:ascii="Times New Roman" w:hAnsi="Times New Roman" w:eastAsia="仿宋_GB2312" w:cs="方正仿宋_GBK"/>
          <w:b w:val="0"/>
          <w:bCs w:val="0"/>
          <w:color w:val="auto"/>
          <w:highlight w:val="none"/>
        </w:rPr>
        <w:t>。大力发展服务贸易</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培育一批外贸综合服务企业，为中小微企业提供通关、物流、退税、融资、信保等一站式服务。提高利用外资质量水平。围绕重点产业链，瞄准世界500强、行业领军企业，开展精准招商，引导外资投向新能源、新材料、高端制造、现代服务业等领域。鼓励现有外资企业增资扩股，充分利用各类平台开展外资招引工作，针对重点外资项目实施全流程跟踪督办机制，推进内外资一体化招引。</w:t>
      </w:r>
    </w:p>
    <w:p w14:paraId="57D750D9">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eastAsia="仿宋_GB2312" w:cs="方正仿宋_GBK"/>
          <w:b w:val="0"/>
          <w:bCs w:val="0"/>
          <w:color w:val="auto"/>
          <w:highlight w:val="none"/>
          <w:lang w:val="en-US" w:eastAsia="zh-CN"/>
        </w:rPr>
      </w:pPr>
      <w:bookmarkStart w:id="721" w:name="_Toc32577"/>
      <w:r>
        <w:rPr>
          <w:rFonts w:hint="eastAsia" w:ascii="Times New Roman" w:hAnsi="Times New Roman" w:eastAsia="仿宋_GB2312" w:cs="方正仿宋_GBK"/>
          <w:b w:val="0"/>
          <w:bCs w:val="0"/>
          <w:color w:val="auto"/>
          <w:sz w:val="32"/>
          <w:szCs w:val="32"/>
          <w:highlight w:val="none"/>
          <w:lang w:val="en-US" w:eastAsia="zh-CN"/>
        </w:rPr>
        <w:t>搭建高能级开放平台</w:t>
      </w:r>
      <w:bookmarkEnd w:id="721"/>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着力提升现有平台功能，构建多层次、宽领域的开放平台体系。</w:t>
      </w:r>
      <w:r>
        <w:rPr>
          <w:rFonts w:hint="eastAsia" w:ascii="Times New Roman" w:hAnsi="Times New Roman" w:eastAsia="仿宋_GB2312" w:cs="方正仿宋_GBK"/>
          <w:b w:val="0"/>
          <w:bCs w:val="0"/>
          <w:color w:val="auto"/>
          <w:highlight w:val="none"/>
          <w:lang w:val="en-US" w:eastAsia="zh-CN"/>
        </w:rPr>
        <w:t>推动跨境电子商务综合试验区提档升级，优化跨境电商产业园功能建设，持续完善智能化卡口辅助系统、数据专线及监管设施等软硬件基础，培育物流、货代、外贸综合服务等服务型企业。培育和发展跨境电商产业集群，依托赤峰跨境电商综试区，创新“9610直邮+TIR跨境直达”双通道模式，加强与赤峰海关及满洲里口岸的协作，提升通关效率。</w:t>
      </w:r>
      <w:r>
        <w:rPr>
          <w:rFonts w:hint="eastAsia" w:ascii="Times New Roman" w:hAnsi="Times New Roman" w:eastAsia="仿宋_GB2312" w:cs="方正仿宋_GBK"/>
          <w:b w:val="0"/>
          <w:bCs w:val="0"/>
          <w:color w:val="auto"/>
          <w:highlight w:val="none"/>
        </w:rPr>
        <w:t>提升赤峰国际陆港能级</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发展国际集装箱运输、国际冷链物流。提升赤峰保税物流中心（B型）运营水平，拓展保税仓储、国际分拨配送、流通性简单加工和增值服务、转口贸易等功能。</w:t>
      </w:r>
      <w:r>
        <w:rPr>
          <w:rFonts w:hint="eastAsia" w:ascii="Times New Roman" w:hAnsi="Times New Roman" w:eastAsia="仿宋_GB2312" w:cs="方正仿宋_GBK"/>
          <w:b w:val="0"/>
          <w:bCs w:val="0"/>
          <w:color w:val="auto"/>
          <w:highlight w:val="none"/>
          <w:lang w:val="en-US" w:eastAsia="zh-CN"/>
        </w:rPr>
        <w:t>推进申建赤峰综合保税区</w:t>
      </w:r>
      <w:r>
        <w:rPr>
          <w:rFonts w:hint="eastAsia" w:eastAsia="仿宋_GB2312" w:cs="方正仿宋_GBK"/>
          <w:b w:val="0"/>
          <w:bCs w:val="0"/>
          <w:color w:val="auto"/>
          <w:highlight w:val="none"/>
          <w:lang w:val="en-US" w:eastAsia="zh-CN"/>
        </w:rPr>
        <w:t>。</w:t>
      </w:r>
    </w:p>
    <w:p w14:paraId="7436118F">
      <w:pPr>
        <w:keepNext w:val="0"/>
        <w:keepLines w:val="0"/>
        <w:pageBreakBefore w:val="0"/>
        <w:widowControl/>
        <w:numPr>
          <w:ilvl w:val="0"/>
          <w:numId w:val="8"/>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722" w:name="_Toc8179"/>
      <w:bookmarkStart w:id="723" w:name="_Toc5734"/>
      <w:bookmarkStart w:id="724" w:name="_Toc21373"/>
      <w:bookmarkStart w:id="725" w:name="_Toc31517"/>
      <w:bookmarkStart w:id="726" w:name="_Toc2571"/>
      <w:bookmarkStart w:id="727" w:name="_Toc5989"/>
      <w:r>
        <w:rPr>
          <w:rFonts w:hint="eastAsia" w:ascii="楷体_GB2312" w:hAnsi="楷体_GB2312" w:eastAsia="楷体_GB2312" w:cs="楷体_GB2312"/>
          <w:b w:val="0"/>
          <w:bCs w:val="0"/>
          <w:color w:val="auto"/>
          <w:sz w:val="32"/>
          <w:szCs w:val="40"/>
          <w:highlight w:val="none"/>
          <w:u w:val="none"/>
          <w:lang w:val="en-US" w:eastAsia="zh-CN"/>
        </w:rPr>
        <w:t>持续深化区域合作与协调发展</w:t>
      </w:r>
      <w:bookmarkEnd w:id="722"/>
      <w:bookmarkEnd w:id="723"/>
      <w:bookmarkEnd w:id="724"/>
      <w:bookmarkEnd w:id="725"/>
      <w:bookmarkEnd w:id="726"/>
      <w:bookmarkEnd w:id="727"/>
    </w:p>
    <w:p w14:paraId="6877D9D3">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以更加开放的姿态，主动融入和服务国家区域重大战略，在更大范围、更宽领域、更深层次上</w:t>
      </w:r>
      <w:r>
        <w:rPr>
          <w:rFonts w:hint="eastAsia" w:eastAsia="仿宋_GB2312" w:cs="方正仿宋_GBK"/>
          <w:b w:val="0"/>
          <w:bCs w:val="0"/>
          <w:color w:val="auto"/>
          <w:highlight w:val="none"/>
          <w:lang w:val="en-US" w:eastAsia="zh-CN"/>
        </w:rPr>
        <w:t>深化</w:t>
      </w:r>
      <w:r>
        <w:rPr>
          <w:rFonts w:hint="eastAsia" w:ascii="Times New Roman" w:hAnsi="Times New Roman" w:eastAsia="仿宋_GB2312" w:cs="方正仿宋_GBK"/>
          <w:b w:val="0"/>
          <w:bCs w:val="0"/>
          <w:color w:val="auto"/>
          <w:highlight w:val="none"/>
        </w:rPr>
        <w:t>区域合作，实现互利共赢。</w:t>
      </w:r>
    </w:p>
    <w:p w14:paraId="42E614C2">
      <w:pPr>
        <w:pStyle w:val="43"/>
        <w:keepNext w:val="0"/>
        <w:keepLines w:val="0"/>
        <w:pageBreakBefore w:val="0"/>
        <w:shd w:val="clear" w:color="auto" w:fill="auto"/>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深</w:t>
      </w:r>
      <w:r>
        <w:rPr>
          <w:rFonts w:hint="eastAsia" w:eastAsia="仿宋_GB2312" w:cs="方正仿宋_GBK"/>
          <w:b w:val="0"/>
          <w:bCs w:val="0"/>
          <w:color w:val="auto"/>
          <w:highlight w:val="none"/>
          <w:lang w:val="en-US" w:eastAsia="zh-CN"/>
        </w:rPr>
        <w:t>入对接</w:t>
      </w:r>
      <w:r>
        <w:rPr>
          <w:rFonts w:hint="eastAsia" w:ascii="Times New Roman" w:hAnsi="Times New Roman" w:eastAsia="仿宋_GB2312" w:cs="方正仿宋_GBK"/>
          <w:b w:val="0"/>
          <w:bCs w:val="0"/>
          <w:color w:val="auto"/>
          <w:highlight w:val="none"/>
          <w:lang w:val="en-US" w:eastAsia="zh-CN"/>
        </w:rPr>
        <w:t>国家重大区域战略</w:t>
      </w:r>
      <w:r>
        <w:rPr>
          <w:rFonts w:hint="eastAsia" w:eastAsia="仿宋_GB2312" w:cs="方正仿宋_GBK"/>
          <w:b w:val="0"/>
          <w:bCs w:val="0"/>
          <w:color w:val="auto"/>
          <w:highlight w:val="none"/>
          <w:lang w:val="en-US" w:eastAsia="zh-CN"/>
        </w:rPr>
        <w:t>。深度</w:t>
      </w:r>
      <w:r>
        <w:rPr>
          <w:rFonts w:hint="eastAsia" w:ascii="Times New Roman" w:hAnsi="Times New Roman" w:eastAsia="仿宋_GB2312" w:cs="方正仿宋_GBK"/>
          <w:b w:val="0"/>
          <w:bCs w:val="0"/>
          <w:color w:val="auto"/>
          <w:highlight w:val="none"/>
        </w:rPr>
        <w:t>融入京津冀协同发展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聚焦有色冶金、新能源、装备制造、生物医药、智能算力、农畜产品加工、文化旅游等产业，深挖产业配套能力，努力引进更多京津冀企业、</w:t>
      </w:r>
      <w:r>
        <w:rPr>
          <w:rFonts w:hint="eastAsia" w:ascii="Times New Roman" w:hAnsi="Times New Roman" w:eastAsia="仿宋_GB2312" w:cs="方正仿宋_GBK"/>
          <w:b w:val="0"/>
          <w:bCs w:val="0"/>
          <w:color w:val="auto"/>
          <w:highlight w:val="none"/>
          <w:lang w:val="en-US" w:eastAsia="zh-CN"/>
        </w:rPr>
        <w:t>吸引更多京津冀</w:t>
      </w:r>
      <w:r>
        <w:rPr>
          <w:rFonts w:hint="eastAsia" w:ascii="Times New Roman" w:hAnsi="Times New Roman" w:eastAsia="仿宋_GB2312" w:cs="方正仿宋_GBK"/>
          <w:b w:val="0"/>
          <w:bCs w:val="0"/>
          <w:color w:val="auto"/>
          <w:highlight w:val="none"/>
        </w:rPr>
        <w:t>消费</w:t>
      </w:r>
      <w:r>
        <w:rPr>
          <w:rFonts w:hint="eastAsia" w:ascii="Times New Roman" w:hAnsi="Times New Roman" w:eastAsia="仿宋_GB2312" w:cs="方正仿宋_GBK"/>
          <w:b w:val="0"/>
          <w:bCs w:val="0"/>
          <w:color w:val="auto"/>
          <w:highlight w:val="none"/>
          <w:lang w:val="en-US" w:eastAsia="zh-CN"/>
        </w:rPr>
        <w:t>外溢</w:t>
      </w:r>
      <w:r>
        <w:rPr>
          <w:rFonts w:hint="eastAsia" w:ascii="Times New Roman" w:hAnsi="Times New Roman" w:eastAsia="仿宋_GB2312" w:cs="方正仿宋_GBK"/>
          <w:b w:val="0"/>
          <w:bCs w:val="0"/>
          <w:color w:val="auto"/>
          <w:highlight w:val="none"/>
        </w:rPr>
        <w:t>。拓展京蒙全方位合作，加快京蒙科创产业园实体化投用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京蒙对口帮扶与区域合作机制，推动新一轮京蒙协作全方位务实开展。突出抓好服务京津冀地区清洁能源保障基地建设，全力打通“绿电进京”通道。推动各类高品质农畜产品进入京津冀市场。做大做强特色文旅休闲产业，加快建设面向京津冀地区的特色文化旅游目的地和休闲康养首选地。</w:t>
      </w:r>
      <w:r>
        <w:rPr>
          <w:rFonts w:hint="eastAsia" w:ascii="Times New Roman" w:hAnsi="Times New Roman" w:eastAsia="仿宋_GB2312" w:cs="方正仿宋_GBK"/>
          <w:b w:val="0"/>
          <w:bCs w:val="0"/>
          <w:color w:val="auto"/>
          <w:highlight w:val="none"/>
          <w:lang w:val="en-US" w:eastAsia="zh-CN"/>
        </w:rPr>
        <w:t>积极融入东北全面振兴，以产业发展为纽带，</w:t>
      </w:r>
      <w:r>
        <w:rPr>
          <w:rFonts w:hint="eastAsia" w:eastAsia="仿宋_GB2312" w:cs="方正仿宋_GBK"/>
          <w:b w:val="0"/>
          <w:bCs w:val="0"/>
          <w:color w:val="auto"/>
          <w:highlight w:val="none"/>
          <w:lang w:val="en-US" w:eastAsia="zh-CN"/>
        </w:rPr>
        <w:t>依托锂矿、清洁能源等资源优势和</w:t>
      </w:r>
      <w:r>
        <w:rPr>
          <w:rFonts w:hint="eastAsia" w:ascii="Times New Roman" w:hAnsi="Times New Roman" w:eastAsia="仿宋_GB2312" w:cs="方正仿宋_GBK"/>
          <w:b w:val="0"/>
          <w:bCs w:val="0"/>
          <w:color w:val="auto"/>
          <w:highlight w:val="none"/>
          <w:lang w:val="en-US" w:eastAsia="zh-CN"/>
        </w:rPr>
        <w:t>冶金、铝基等</w:t>
      </w:r>
      <w:r>
        <w:rPr>
          <w:rFonts w:hint="eastAsia"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lang w:val="en-US" w:eastAsia="zh-CN"/>
        </w:rPr>
        <w:t>优势，推动与吉林省、辽宁省在汽车产业、绿电外送等领域深度合作。发挥冰雪资源优势，深化与东北地区在冰雪旅游方面合作。用足用好政策支持谱写赤峰西部大开发新篇章，推动西部大开发各项政策落实落地，切实把产业、税收、投资等各项政策红利变成赤峰市</w:t>
      </w:r>
      <w:r>
        <w:rPr>
          <w:rFonts w:hint="eastAsia" w:eastAsia="仿宋_GB2312" w:cs="方正仿宋_GBK"/>
          <w:b w:val="0"/>
          <w:bCs w:val="0"/>
          <w:color w:val="auto"/>
          <w:highlight w:val="none"/>
          <w:lang w:val="en-US" w:eastAsia="zh-CN"/>
        </w:rPr>
        <w:t>发展红利</w:t>
      </w:r>
      <w:r>
        <w:rPr>
          <w:rFonts w:hint="eastAsia" w:ascii="Times New Roman" w:hAnsi="Times New Roman" w:eastAsia="仿宋_GB2312" w:cs="方正仿宋_GBK"/>
          <w:b w:val="0"/>
          <w:bCs w:val="0"/>
          <w:color w:val="auto"/>
          <w:highlight w:val="none"/>
          <w:lang w:val="en-US" w:eastAsia="zh-CN"/>
        </w:rPr>
        <w:t>，助推产业转型升级和高质量发展。</w:t>
      </w:r>
    </w:p>
    <w:p w14:paraId="752E1B46">
      <w:pPr>
        <w:pStyle w:val="43"/>
        <w:keepNext w:val="0"/>
        <w:keepLines w:val="0"/>
        <w:pageBreakBefore w:val="0"/>
        <w:shd w:val="clear" w:color="auto" w:fill="auto"/>
        <w:kinsoku/>
        <w:wordWrap/>
        <w:topLinePunct w:val="0"/>
        <w:autoSpaceDE/>
        <w:autoSpaceDN/>
        <w:bidi w:val="0"/>
        <w:adjustRightInd/>
        <w:spacing w:line="540" w:lineRule="exact"/>
        <w:textAlignment w:val="auto"/>
        <w:outlineLvl w:val="3"/>
        <w:rPr>
          <w:b w:val="0"/>
          <w:bCs w:val="0"/>
          <w:spacing w:val="-6"/>
          <w:highlight w:val="none"/>
        </w:rPr>
      </w:pPr>
      <w:r>
        <w:rPr>
          <w:rFonts w:hint="eastAsia" w:ascii="Times New Roman" w:hAnsi="Times New Roman" w:eastAsia="仿宋_GB2312" w:cs="方正仿宋_GBK"/>
          <w:b w:val="0"/>
          <w:bCs w:val="0"/>
          <w:color w:val="auto"/>
          <w:highlight w:val="none"/>
          <w:lang w:val="en-US" w:eastAsia="zh-CN"/>
        </w:rPr>
        <w:t>推动形成区域协作共赢格局</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eastAsia="zh-CN"/>
        </w:rPr>
        <w:t>推动市际毗邻地区联动发展，深化与周边城市合作交流，加强与锡盟、通辽、朝阳、承德等毗邻地区的协作，共同推进水源涵养、防风固沙等重要生态功能区建设，构筑北方生态安全屏障。用好包头对口帮扶协作机制，聚焦产业、科技、人才、公共服务等重点领域精准发力，重点在绿色农畜产品加工、生物制造、文旅融合等领域开展协作，共建合作园区与科创飞地，推动科技资源开放共享与成果转化；深化干部互派、人才共育、教育医疗合作，强化劳务协作与就业岗位对接；共同建立定期会商机制，构建优势互补、共建共享的协同发展格局。高水平承接产业梯度转移，紧密对接京津冀、环渤海、长三角、粤港澳等重点产业转出地区，积极引进新能源、新材料、生物医药、数字经济、装备制造等产业项目。</w:t>
      </w:r>
    </w:p>
    <w:p w14:paraId="62C66CB3">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728" w:name="_Toc27960"/>
      <w:bookmarkStart w:id="729" w:name="_Toc2069"/>
      <w:bookmarkStart w:id="730" w:name="_Toc5913"/>
      <w:bookmarkStart w:id="731" w:name="_Toc27772"/>
      <w:bookmarkStart w:id="732" w:name="_Toc27063"/>
      <w:bookmarkStart w:id="733" w:name="_Toc19447"/>
      <w:bookmarkStart w:id="734" w:name="_Toc29279"/>
      <w:bookmarkStart w:id="735" w:name="_Toc2907"/>
      <w:bookmarkStart w:id="736" w:name="_Toc11232"/>
      <w:bookmarkStart w:id="737" w:name="_Toc20527"/>
      <w:bookmarkStart w:id="738" w:name="_Toc31188"/>
      <w:bookmarkStart w:id="739" w:name="_Toc27891"/>
      <w:bookmarkStart w:id="740" w:name="_Toc31253"/>
      <w:bookmarkStart w:id="741" w:name="_Toc3515"/>
      <w:r>
        <w:rPr>
          <w:rFonts w:hint="eastAsia" w:ascii="黑体" w:hAnsi="黑体" w:eastAsia="黑体" w:cs="黑体"/>
          <w:b w:val="0"/>
          <w:bCs w:val="0"/>
          <w:sz w:val="32"/>
          <w:szCs w:val="32"/>
          <w:highlight w:val="none"/>
          <w:u w:val="none"/>
          <w:lang w:val="en-US" w:eastAsia="zh-CN"/>
        </w:rPr>
        <w:t>实施创新驱动发展战略</w:t>
      </w:r>
      <w:r>
        <w:rPr>
          <w:rFonts w:hint="eastAsia" w:ascii="黑体" w:hAnsi="黑体" w:eastAsia="黑体" w:cs="黑体"/>
          <w:b w:val="0"/>
          <w:bCs w:val="0"/>
          <w:sz w:val="32"/>
          <w:szCs w:val="32"/>
          <w:highlight w:val="none"/>
          <w:u w:val="none"/>
          <w:lang w:eastAsia="zh-CN"/>
        </w:rPr>
        <w:t>，</w:t>
      </w:r>
      <w:r>
        <w:rPr>
          <w:rFonts w:hint="eastAsia" w:ascii="黑体" w:hAnsi="黑体" w:eastAsia="黑体" w:cs="黑体"/>
          <w:b w:val="0"/>
          <w:bCs w:val="0"/>
          <w:sz w:val="32"/>
          <w:szCs w:val="32"/>
          <w:highlight w:val="none"/>
          <w:u w:val="none"/>
          <w:lang w:val="en-US" w:eastAsia="zh-CN"/>
        </w:rPr>
        <w:t>因地制宜发展新质生产力</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7C88E578">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坚持因地制宜、先立后破、分类施策，</w:t>
      </w:r>
      <w:r>
        <w:rPr>
          <w:rFonts w:hint="eastAsia" w:ascii="Times New Roman" w:hAnsi="Times New Roman" w:eastAsia="仿宋_GB2312" w:cs="方正仿宋_GBK"/>
          <w:b w:val="0"/>
          <w:bCs w:val="0"/>
          <w:color w:val="auto"/>
          <w:sz w:val="32"/>
          <w:szCs w:val="32"/>
          <w:highlight w:val="none"/>
          <w:lang w:val="en-US" w:eastAsia="zh-CN"/>
        </w:rPr>
        <w:t>着眼特色产业和科技创新优势突出的领域，瞄准发展急需突破的重大瓶颈，加强技术创新，一体推进科技创新、人才培养，塑造发展新动能新优势。</w:t>
      </w:r>
    </w:p>
    <w:p w14:paraId="57EC3EB3">
      <w:pPr>
        <w:keepNext w:val="0"/>
        <w:keepLines w:val="0"/>
        <w:pageBreakBefore w:val="0"/>
        <w:widowControl/>
        <w:numPr>
          <w:ilvl w:val="0"/>
          <w:numId w:val="9"/>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742" w:name="_Toc28213"/>
      <w:bookmarkStart w:id="743" w:name="_Toc5305"/>
      <w:bookmarkStart w:id="744" w:name="_Toc11185"/>
      <w:bookmarkStart w:id="745" w:name="_Toc8987"/>
      <w:bookmarkStart w:id="746" w:name="_Toc4124"/>
      <w:bookmarkStart w:id="747" w:name="_Toc17405"/>
      <w:bookmarkStart w:id="748" w:name="_Toc2608"/>
      <w:bookmarkStart w:id="749" w:name="_Toc21928"/>
      <w:bookmarkStart w:id="750" w:name="_Toc19883"/>
      <w:bookmarkStart w:id="751" w:name="_Toc20165"/>
      <w:bookmarkStart w:id="752" w:name="_Toc16606"/>
      <w:bookmarkStart w:id="753" w:name="_Toc7824"/>
      <w:bookmarkStart w:id="754" w:name="_Toc28330"/>
      <w:bookmarkStart w:id="755" w:name="_Toc25321"/>
      <w:r>
        <w:rPr>
          <w:rFonts w:hint="eastAsia" w:ascii="楷体_GB2312" w:hAnsi="楷体_GB2312" w:eastAsia="楷体_GB2312" w:cs="楷体_GB2312"/>
          <w:b w:val="0"/>
          <w:bCs w:val="0"/>
          <w:color w:val="auto"/>
          <w:sz w:val="32"/>
          <w:szCs w:val="40"/>
          <w:highlight w:val="none"/>
          <w:u w:val="none"/>
          <w:lang w:val="en-US" w:eastAsia="zh-CN"/>
        </w:rPr>
        <w:t>加强科技创新能力建设</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14857501">
      <w:pPr>
        <w:keepNext w:val="0"/>
        <w:keepLines w:val="0"/>
        <w:pageBreakBefore w:val="0"/>
        <w:widowControl/>
        <w:shd w:val="clear" w:color="auto" w:fill="auto"/>
        <w:kinsoku/>
        <w:wordWrap/>
        <w:topLinePunct w:val="0"/>
        <w:autoSpaceDE/>
        <w:autoSpaceDN/>
        <w:bidi w:val="0"/>
        <w:adjustRightInd/>
        <w:spacing w:line="540" w:lineRule="exact"/>
        <w:ind w:firstLine="624" w:firstLineChars="200"/>
        <w:textAlignment w:val="auto"/>
        <w:rPr>
          <w:rFonts w:hint="default"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rPr>
        <w:t>深入实施创新驱动发展战略，</w:t>
      </w:r>
      <w:r>
        <w:rPr>
          <w:rFonts w:hint="eastAsia" w:ascii="Times New Roman" w:hAnsi="Times New Roman" w:eastAsia="仿宋_GB2312" w:cs="方正仿宋_GBK"/>
          <w:b w:val="0"/>
          <w:bCs w:val="0"/>
          <w:color w:val="auto"/>
          <w:sz w:val="32"/>
          <w:szCs w:val="32"/>
          <w:highlight w:val="none"/>
          <w:lang w:val="en-US" w:eastAsia="zh-CN"/>
        </w:rPr>
        <w:t>加强知识产权保护，</w:t>
      </w:r>
      <w:r>
        <w:rPr>
          <w:rFonts w:hint="eastAsia" w:ascii="Times New Roman" w:hAnsi="Times New Roman" w:eastAsia="仿宋_GB2312" w:cs="方正仿宋_GBK"/>
          <w:b w:val="0"/>
          <w:bCs w:val="0"/>
          <w:color w:val="auto"/>
          <w:sz w:val="32"/>
          <w:szCs w:val="32"/>
          <w:highlight w:val="none"/>
        </w:rPr>
        <w:t>强化科技创新策源能力，推动产业链、创新链、人才链深度融合，打造蒙东地区科技创新高地</w:t>
      </w:r>
      <w:r>
        <w:rPr>
          <w:rFonts w:hint="eastAsia" w:ascii="Times New Roman" w:hAnsi="Times New Roman" w:eastAsia="仿宋_GB2312" w:cs="方正仿宋_GBK"/>
          <w:b w:val="0"/>
          <w:bCs w:val="0"/>
          <w:color w:val="auto"/>
          <w:sz w:val="32"/>
          <w:szCs w:val="32"/>
          <w:highlight w:val="none"/>
          <w:lang w:val="en-US" w:eastAsia="zh-CN"/>
        </w:rPr>
        <w:t>。</w:t>
      </w:r>
    </w:p>
    <w:p w14:paraId="7997DEF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756" w:name="_Toc9417"/>
      <w:r>
        <w:rPr>
          <w:rFonts w:hint="eastAsia" w:ascii="Times New Roman" w:hAnsi="Times New Roman" w:eastAsia="仿宋_GB2312" w:cs="方正仿宋_GBK"/>
          <w:b w:val="0"/>
          <w:bCs w:val="0"/>
          <w:color w:val="auto"/>
          <w:sz w:val="32"/>
          <w:szCs w:val="32"/>
          <w:highlight w:val="none"/>
          <w:lang w:val="en-US" w:eastAsia="zh-CN"/>
        </w:rPr>
        <w:t>提升科技创新能力</w:t>
      </w:r>
      <w:bookmarkEnd w:id="756"/>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坚持需求导向和问题导向，围绕产业链部署创新链，围绕创新链布局产业链，增加高质量科技成果供给。</w:t>
      </w:r>
      <w:r>
        <w:rPr>
          <w:rFonts w:hint="eastAsia" w:ascii="Times New Roman" w:hAnsi="Times New Roman" w:eastAsia="仿宋_GB2312" w:cs="方正仿宋_GBK"/>
          <w:b w:val="0"/>
          <w:bCs w:val="0"/>
          <w:color w:val="auto"/>
          <w:sz w:val="32"/>
          <w:szCs w:val="32"/>
          <w:highlight w:val="none"/>
          <w:lang w:val="en-US" w:eastAsia="zh-CN"/>
        </w:rPr>
        <w:t>建设</w:t>
      </w:r>
      <w:r>
        <w:rPr>
          <w:rFonts w:hint="eastAsia" w:ascii="Times New Roman" w:hAnsi="Times New Roman" w:eastAsia="仿宋_GB2312" w:cs="方正仿宋_GBK"/>
          <w:b w:val="0"/>
          <w:bCs w:val="0"/>
          <w:color w:val="auto"/>
          <w:sz w:val="32"/>
          <w:szCs w:val="32"/>
          <w:highlight w:val="none"/>
        </w:rPr>
        <w:t>高水平科技创新平台</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围绕有色金属、新能源、新材料、现代农牧业、</w:t>
      </w:r>
      <w:r>
        <w:rPr>
          <w:rFonts w:hint="eastAsia" w:ascii="Times New Roman" w:hAnsi="Times New Roman" w:eastAsia="仿宋_GB2312" w:cs="方正仿宋_GBK"/>
          <w:b w:val="0"/>
          <w:bCs w:val="0"/>
          <w:color w:val="auto"/>
          <w:sz w:val="32"/>
          <w:szCs w:val="32"/>
          <w:highlight w:val="none"/>
          <w:lang w:eastAsia="zh-CN"/>
        </w:rPr>
        <w:t>生物育种、</w:t>
      </w:r>
      <w:r>
        <w:rPr>
          <w:rFonts w:hint="eastAsia" w:ascii="Times New Roman" w:hAnsi="Times New Roman" w:eastAsia="仿宋_GB2312" w:cs="方正仿宋_GBK"/>
          <w:b w:val="0"/>
          <w:bCs w:val="0"/>
          <w:color w:val="auto"/>
          <w:sz w:val="32"/>
          <w:szCs w:val="32"/>
          <w:highlight w:val="none"/>
        </w:rPr>
        <w:t>生物医药等优势特色</w:t>
      </w:r>
      <w:r>
        <w:rPr>
          <w:rFonts w:hint="eastAsia" w:ascii="Times New Roman" w:hAnsi="Times New Roman" w:eastAsia="仿宋_GB2312" w:cs="方正仿宋_GBK"/>
          <w:b w:val="0"/>
          <w:bCs w:val="0"/>
          <w:color w:val="auto"/>
          <w:sz w:val="32"/>
          <w:szCs w:val="32"/>
          <w:highlight w:val="none"/>
          <w:lang w:val="en-US" w:eastAsia="zh-CN"/>
        </w:rPr>
        <w:t>产业</w:t>
      </w:r>
      <w:r>
        <w:rPr>
          <w:rFonts w:hint="eastAsia" w:ascii="Times New Roman" w:hAnsi="Times New Roman" w:eastAsia="仿宋_GB2312" w:cs="方正仿宋_GBK"/>
          <w:b w:val="0"/>
          <w:bCs w:val="0"/>
          <w:color w:val="auto"/>
          <w:sz w:val="32"/>
          <w:szCs w:val="32"/>
          <w:highlight w:val="none"/>
        </w:rPr>
        <w:t>，积极培育和建设一批自治区级重点实验室、技术创新中心</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抓住赤峰大学</w:t>
      </w:r>
      <w:r>
        <w:rPr>
          <w:rFonts w:hint="eastAsia" w:ascii="Times New Roman" w:hAnsi="Times New Roman" w:eastAsia="仿宋_GB2312" w:cs="方正仿宋_GBK"/>
          <w:b w:val="0"/>
          <w:bCs w:val="0"/>
          <w:color w:val="auto"/>
          <w:sz w:val="32"/>
          <w:szCs w:val="32"/>
          <w:highlight w:val="none"/>
          <w:lang w:val="en-US" w:eastAsia="zh-CN"/>
        </w:rPr>
        <w:t>建设的</w:t>
      </w:r>
      <w:r>
        <w:rPr>
          <w:rFonts w:hint="eastAsia" w:ascii="Times New Roman" w:hAnsi="Times New Roman" w:eastAsia="仿宋_GB2312" w:cs="方正仿宋_GBK"/>
          <w:b w:val="0"/>
          <w:bCs w:val="0"/>
          <w:color w:val="auto"/>
          <w:sz w:val="32"/>
          <w:szCs w:val="32"/>
          <w:highlight w:val="none"/>
        </w:rPr>
        <w:t>历史机遇，</w:t>
      </w:r>
      <w:r>
        <w:rPr>
          <w:rFonts w:hint="eastAsia" w:ascii="Times New Roman" w:hAnsi="Times New Roman" w:eastAsia="仿宋_GB2312" w:cs="方正仿宋_GBK"/>
          <w:b w:val="0"/>
          <w:bCs w:val="0"/>
          <w:color w:val="auto"/>
          <w:sz w:val="32"/>
          <w:szCs w:val="32"/>
          <w:highlight w:val="none"/>
          <w:lang w:val="en-US" w:eastAsia="zh-CN"/>
        </w:rPr>
        <w:t>发挥“蒙科聚”赤峰分中心功能，加强赤峰产业创新研究院建设。加强与国家重点实验室合作。</w:t>
      </w:r>
      <w:r>
        <w:rPr>
          <w:rFonts w:hint="eastAsia" w:ascii="Times New Roman" w:hAnsi="Times New Roman" w:eastAsia="仿宋_GB2312" w:cs="方正仿宋_GBK"/>
          <w:b w:val="0"/>
          <w:bCs w:val="0"/>
          <w:color w:val="auto"/>
          <w:sz w:val="32"/>
          <w:szCs w:val="32"/>
          <w:highlight w:val="none"/>
        </w:rPr>
        <w:t>强化产业关键技术攻关</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企业联合高校、科研院所组建创新联合体，开展行业共性关键技术研发和成果转化。建立完善市级科技计划项目体系，集中力量攻克一批制约产业发展的“卡脖子”技术和共性关键技术，重点突破有色金属清洁冶炼与精深加工、</w:t>
      </w:r>
      <w:r>
        <w:rPr>
          <w:rFonts w:hint="eastAsia" w:ascii="Times New Roman" w:hAnsi="Times New Roman" w:eastAsia="仿宋_GB2312" w:cs="方正仿宋_GBK"/>
          <w:b w:val="0"/>
          <w:bCs w:val="0"/>
          <w:color w:val="auto"/>
          <w:sz w:val="32"/>
          <w:szCs w:val="32"/>
          <w:highlight w:val="none"/>
          <w:lang w:eastAsia="zh-CN"/>
        </w:rPr>
        <w:t>新能源研发、</w:t>
      </w:r>
      <w:r>
        <w:rPr>
          <w:rFonts w:hint="eastAsia" w:ascii="Times New Roman" w:hAnsi="Times New Roman" w:eastAsia="仿宋_GB2312" w:cs="方正仿宋_GBK"/>
          <w:b w:val="0"/>
          <w:bCs w:val="0"/>
          <w:color w:val="auto"/>
          <w:sz w:val="32"/>
          <w:szCs w:val="32"/>
          <w:highlight w:val="none"/>
        </w:rPr>
        <w:t>氢能制储运用等</w:t>
      </w:r>
      <w:r>
        <w:rPr>
          <w:rFonts w:hint="eastAsia" w:ascii="Times New Roman" w:hAnsi="Times New Roman" w:eastAsia="仿宋_GB2312" w:cs="方正仿宋_GBK"/>
          <w:b w:val="0"/>
          <w:bCs w:val="0"/>
          <w:color w:val="auto"/>
          <w:sz w:val="32"/>
          <w:szCs w:val="32"/>
          <w:highlight w:val="none"/>
          <w:lang w:val="en-US" w:eastAsia="zh-CN"/>
        </w:rPr>
        <w:t>工业领域</w:t>
      </w:r>
      <w:r>
        <w:rPr>
          <w:rFonts w:hint="eastAsia" w:ascii="Times New Roman" w:hAnsi="Times New Roman" w:eastAsia="仿宋_GB2312" w:cs="方正仿宋_GBK"/>
          <w:b w:val="0"/>
          <w:bCs w:val="0"/>
          <w:color w:val="auto"/>
          <w:sz w:val="32"/>
          <w:szCs w:val="32"/>
          <w:highlight w:val="none"/>
        </w:rPr>
        <w:t>关键技术</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加强优质</w:t>
      </w:r>
      <w:r>
        <w:rPr>
          <w:rFonts w:hint="eastAsia" w:ascii="Times New Roman" w:hAnsi="Times New Roman" w:eastAsia="仿宋_GB2312" w:cs="方正仿宋_GBK"/>
          <w:b w:val="0"/>
          <w:bCs w:val="0"/>
          <w:color w:val="auto"/>
          <w:sz w:val="32"/>
          <w:szCs w:val="32"/>
          <w:highlight w:val="none"/>
          <w:lang w:eastAsia="zh-CN"/>
        </w:rPr>
        <w:t>高抗</w:t>
      </w:r>
      <w:r>
        <w:rPr>
          <w:rFonts w:hint="eastAsia" w:ascii="Times New Roman" w:hAnsi="Times New Roman" w:eastAsia="仿宋_GB2312" w:cs="方正仿宋_GBK"/>
          <w:b w:val="0"/>
          <w:bCs w:val="0"/>
          <w:color w:val="auto"/>
          <w:sz w:val="32"/>
          <w:szCs w:val="32"/>
          <w:highlight w:val="none"/>
        </w:rPr>
        <w:t>新品种选育、动物疫病防控、农畜产品精深加工与质量安全控制、智慧农业、农业节水等</w:t>
      </w:r>
      <w:r>
        <w:rPr>
          <w:rFonts w:hint="eastAsia" w:ascii="Times New Roman" w:hAnsi="Times New Roman" w:eastAsia="仿宋_GB2312" w:cs="方正仿宋_GBK"/>
          <w:b w:val="0"/>
          <w:bCs w:val="0"/>
          <w:color w:val="auto"/>
          <w:sz w:val="32"/>
          <w:szCs w:val="32"/>
          <w:highlight w:val="none"/>
          <w:lang w:val="en-US" w:eastAsia="zh-CN"/>
        </w:rPr>
        <w:t>农业</w:t>
      </w:r>
      <w:r>
        <w:rPr>
          <w:rFonts w:hint="eastAsia" w:ascii="Times New Roman" w:hAnsi="Times New Roman" w:eastAsia="仿宋_GB2312" w:cs="方正仿宋_GBK"/>
          <w:b w:val="0"/>
          <w:bCs w:val="0"/>
          <w:color w:val="auto"/>
          <w:sz w:val="32"/>
          <w:szCs w:val="32"/>
          <w:highlight w:val="none"/>
        </w:rPr>
        <w:t>技术研发</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开展</w:t>
      </w:r>
      <w:r>
        <w:rPr>
          <w:rFonts w:hint="eastAsia" w:ascii="Times New Roman" w:hAnsi="Times New Roman" w:eastAsia="仿宋_GB2312" w:cs="方正仿宋_GBK"/>
          <w:b w:val="0"/>
          <w:bCs w:val="0"/>
          <w:color w:val="auto"/>
          <w:sz w:val="32"/>
          <w:szCs w:val="32"/>
          <w:highlight w:val="none"/>
        </w:rPr>
        <w:t>荒漠化综合治理、水污染防治、大宗固废资源化利用等</w:t>
      </w:r>
      <w:r>
        <w:rPr>
          <w:rFonts w:hint="eastAsia" w:ascii="Times New Roman" w:hAnsi="Times New Roman" w:eastAsia="仿宋_GB2312" w:cs="方正仿宋_GBK"/>
          <w:b w:val="0"/>
          <w:bCs w:val="0"/>
          <w:color w:val="auto"/>
          <w:sz w:val="32"/>
          <w:szCs w:val="32"/>
          <w:highlight w:val="none"/>
          <w:lang w:val="en-US" w:eastAsia="zh-CN"/>
        </w:rPr>
        <w:t>生态环境</w:t>
      </w:r>
      <w:r>
        <w:rPr>
          <w:rFonts w:hint="eastAsia" w:ascii="Times New Roman" w:hAnsi="Times New Roman" w:eastAsia="仿宋_GB2312" w:cs="方正仿宋_GBK"/>
          <w:b w:val="0"/>
          <w:bCs w:val="0"/>
          <w:color w:val="auto"/>
          <w:sz w:val="32"/>
          <w:szCs w:val="32"/>
          <w:highlight w:val="none"/>
        </w:rPr>
        <w:t>技术</w:t>
      </w:r>
      <w:r>
        <w:rPr>
          <w:rFonts w:hint="eastAsia" w:ascii="Times New Roman" w:hAnsi="Times New Roman" w:eastAsia="仿宋_GB2312" w:cs="方正仿宋_GBK"/>
          <w:b w:val="0"/>
          <w:bCs w:val="0"/>
          <w:color w:val="auto"/>
          <w:sz w:val="32"/>
          <w:szCs w:val="32"/>
          <w:highlight w:val="none"/>
          <w:lang w:val="en-US" w:eastAsia="zh-CN"/>
        </w:rPr>
        <w:t>攻关</w:t>
      </w:r>
      <w:r>
        <w:rPr>
          <w:rFonts w:hint="eastAsia" w:ascii="Times New Roman" w:hAnsi="Times New Roman" w:eastAsia="仿宋_GB2312" w:cs="方正仿宋_GBK"/>
          <w:b w:val="0"/>
          <w:bCs w:val="0"/>
          <w:color w:val="auto"/>
          <w:sz w:val="32"/>
          <w:szCs w:val="32"/>
          <w:highlight w:val="none"/>
        </w:rPr>
        <w:t>。</w:t>
      </w:r>
    </w:p>
    <w:p w14:paraId="056F18C9">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sz w:val="32"/>
          <w:szCs w:val="32"/>
          <w:highlight w:val="none"/>
          <w:lang w:val="en-US" w:eastAsia="zh-CN"/>
        </w:rPr>
      </w:pPr>
      <w:bookmarkStart w:id="757" w:name="_Toc13095"/>
      <w:r>
        <w:rPr>
          <w:rFonts w:hint="eastAsia" w:ascii="Times New Roman" w:hAnsi="Times New Roman" w:eastAsia="仿宋_GB2312" w:cs="方正仿宋_GBK"/>
          <w:b w:val="0"/>
          <w:bCs w:val="0"/>
          <w:color w:val="auto"/>
          <w:sz w:val="32"/>
          <w:szCs w:val="32"/>
          <w:highlight w:val="none"/>
          <w:lang w:val="en-US" w:eastAsia="zh-CN"/>
        </w:rPr>
        <w:t>培育壮大创新主体</w:t>
      </w:r>
      <w:bookmarkEnd w:id="757"/>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
          <w:b w:val="0"/>
          <w:bCs w:val="0"/>
          <w:sz w:val="32"/>
          <w:highlight w:val="none"/>
          <w:lang w:val="en-US" w:eastAsia="zh-CN"/>
        </w:rPr>
        <w:t>强化企业创新主体地位，</w:t>
      </w:r>
      <w:r>
        <w:rPr>
          <w:rFonts w:hint="eastAsia" w:ascii="Times New Roman" w:hAnsi="Times New Roman" w:eastAsia="仿宋" w:cs="Times New Roman"/>
          <w:b w:val="0"/>
          <w:bCs w:val="0"/>
          <w:color w:val="auto"/>
          <w:sz w:val="32"/>
          <w:szCs w:val="22"/>
          <w:highlight w:val="none"/>
        </w:rPr>
        <w:t>完善科技企业梯次培育机制</w:t>
      </w:r>
      <w:r>
        <w:rPr>
          <w:rFonts w:hint="eastAsia" w:ascii="Times New Roman" w:hAnsi="Times New Roman" w:eastAsia="仿宋" w:cs="Times New Roman"/>
          <w:b w:val="0"/>
          <w:bCs w:val="0"/>
          <w:color w:val="auto"/>
          <w:sz w:val="32"/>
          <w:szCs w:val="22"/>
          <w:highlight w:val="none"/>
          <w:lang w:eastAsia="zh-CN"/>
        </w:rPr>
        <w:t>，</w:t>
      </w:r>
      <w:r>
        <w:rPr>
          <w:rFonts w:hint="eastAsia" w:ascii="Times New Roman" w:hAnsi="Times New Roman" w:eastAsia="仿宋" w:cs="Times New Roman"/>
          <w:b w:val="0"/>
          <w:bCs w:val="0"/>
          <w:color w:val="auto"/>
          <w:sz w:val="32"/>
          <w:szCs w:val="22"/>
          <w:highlight w:val="none"/>
          <w:lang w:val="en-US" w:eastAsia="zh-CN"/>
        </w:rPr>
        <w:t>构建</w:t>
      </w:r>
      <w:r>
        <w:rPr>
          <w:rFonts w:hint="eastAsia" w:ascii="Times New Roman" w:hAnsi="Times New Roman" w:eastAsia="仿宋" w:cs="Times New Roman"/>
          <w:b w:val="0"/>
          <w:bCs w:val="0"/>
          <w:color w:val="auto"/>
          <w:sz w:val="32"/>
          <w:szCs w:val="22"/>
          <w:highlight w:val="none"/>
        </w:rPr>
        <w:t>“科技型</w:t>
      </w:r>
      <w:r>
        <w:rPr>
          <w:rFonts w:hint="eastAsia" w:ascii="Times New Roman" w:hAnsi="Times New Roman" w:eastAsia="仿宋_GB2312" w:cs="方正仿宋_GBK"/>
          <w:b w:val="0"/>
          <w:bCs w:val="0"/>
          <w:color w:val="auto"/>
          <w:sz w:val="32"/>
          <w:szCs w:val="32"/>
          <w:highlight w:val="none"/>
        </w:rPr>
        <w:t>中小企业</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高新技术企业</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科技</w:t>
      </w:r>
      <w:r>
        <w:rPr>
          <w:rFonts w:hint="eastAsia" w:ascii="Times New Roman" w:hAnsi="Times New Roman" w:eastAsia="仿宋_GB2312" w:cs="方正仿宋_GBK"/>
          <w:b w:val="0"/>
          <w:bCs w:val="0"/>
          <w:color w:val="auto"/>
          <w:sz w:val="32"/>
          <w:szCs w:val="32"/>
          <w:highlight w:val="none"/>
          <w:lang w:eastAsia="zh-CN"/>
        </w:rPr>
        <w:t>标杆</w:t>
      </w:r>
      <w:r>
        <w:rPr>
          <w:rFonts w:hint="eastAsia" w:ascii="Times New Roman" w:hAnsi="Times New Roman" w:eastAsia="仿宋_GB2312" w:cs="方正仿宋_GBK"/>
          <w:b w:val="0"/>
          <w:bCs w:val="0"/>
          <w:color w:val="auto"/>
          <w:sz w:val="32"/>
          <w:szCs w:val="32"/>
          <w:highlight w:val="none"/>
        </w:rPr>
        <w:t>企业”</w:t>
      </w:r>
      <w:r>
        <w:rPr>
          <w:rFonts w:hint="eastAsia" w:ascii="Times New Roman" w:hAnsi="Times New Roman" w:eastAsia="仿宋_GB2312" w:cs="方正仿宋_GBK"/>
          <w:b w:val="0"/>
          <w:bCs w:val="0"/>
          <w:color w:val="auto"/>
          <w:sz w:val="32"/>
          <w:szCs w:val="32"/>
          <w:highlight w:val="none"/>
          <w:lang w:val="en-US" w:eastAsia="zh-CN"/>
        </w:rPr>
        <w:t>培育体系。通过广泛挖掘、精准服务，推动更多中小微企业升级为科技型中小企业。加强政策引导与申报服务，提升科技企业整体质量与规模。遴选一批创新能力强、市场潜力大的高新技术企业予以重点</w:t>
      </w:r>
      <w:r>
        <w:rPr>
          <w:rFonts w:hint="eastAsia" w:ascii="Times New Roman" w:hAnsi="Times New Roman" w:eastAsia="仿宋_GB2312" w:cs="方正仿宋_GBK"/>
          <w:b w:val="0"/>
          <w:bCs w:val="0"/>
          <w:color w:val="auto"/>
          <w:spacing w:val="-6"/>
          <w:sz w:val="32"/>
          <w:szCs w:val="32"/>
          <w:highlight w:val="none"/>
          <w:lang w:val="en-US" w:eastAsia="zh-CN"/>
        </w:rPr>
        <w:t>培育，逐步发展成为具有生态主导力和核心竞争力的科技标杆企业。</w:t>
      </w:r>
    </w:p>
    <w:p w14:paraId="78A6CCF3">
      <w:pPr>
        <w:pStyle w:val="32"/>
        <w:keepNext w:val="0"/>
        <w:keepLines w:val="0"/>
        <w:pageBreakBefore w:val="0"/>
        <w:shd w:val="clear" w:color="auto" w:fill="auto"/>
        <w:kinsoku/>
        <w:wordWrap/>
        <w:topLinePunct w:val="0"/>
        <w:autoSpaceDE/>
        <w:autoSpaceDN/>
        <w:bidi w:val="0"/>
        <w:adjustRightInd/>
        <w:spacing w:line="540" w:lineRule="exact"/>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58" w:name="_Toc27131"/>
      <w:r>
        <w:rPr>
          <w:rFonts w:hint="eastAsia" w:ascii="Times New Roman" w:hAnsi="Times New Roman" w:eastAsia="仿宋_GB2312" w:cs="方正仿宋_GBK"/>
          <w:b w:val="0"/>
          <w:bCs w:val="0"/>
          <w:color w:val="auto"/>
          <w:sz w:val="32"/>
          <w:szCs w:val="32"/>
          <w:highlight w:val="none"/>
        </w:rPr>
        <w:t>促进成果转移转化</w:t>
      </w:r>
      <w:bookmarkEnd w:id="758"/>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加强政府、企业、高校、科研院所交流合作，推动创新链产业链资金链人才链深度融合、创新资源向企业集聚、科研成果向实体经济转化，促进产学研用深度融合。</w:t>
      </w:r>
      <w:r>
        <w:rPr>
          <w:rFonts w:hint="eastAsia" w:ascii="Times New Roman" w:hAnsi="Times New Roman" w:eastAsia="仿宋_GB2312" w:cs="方正仿宋_GBK"/>
          <w:b w:val="0"/>
          <w:bCs w:val="0"/>
          <w:color w:val="auto"/>
          <w:sz w:val="32"/>
          <w:szCs w:val="32"/>
          <w:highlight w:val="none"/>
        </w:rPr>
        <w:t>完善技术转移服务体系，汇集科技成果、</w:t>
      </w:r>
      <w:r>
        <w:rPr>
          <w:rFonts w:hint="eastAsia" w:ascii="Times New Roman" w:hAnsi="Times New Roman" w:eastAsia="仿宋_GB2312" w:cs="方正仿宋_GBK"/>
          <w:b w:val="0"/>
          <w:bCs w:val="0"/>
          <w:color w:val="auto"/>
          <w:sz w:val="32"/>
          <w:szCs w:val="32"/>
          <w:highlight w:val="none"/>
          <w:lang w:eastAsia="zh-CN"/>
        </w:rPr>
        <w:t>技术</w:t>
      </w:r>
      <w:r>
        <w:rPr>
          <w:rFonts w:hint="eastAsia" w:ascii="Times New Roman" w:hAnsi="Times New Roman" w:eastAsia="仿宋_GB2312" w:cs="方正仿宋_GBK"/>
          <w:b w:val="0"/>
          <w:bCs w:val="0"/>
          <w:color w:val="auto"/>
          <w:sz w:val="32"/>
          <w:szCs w:val="32"/>
          <w:highlight w:val="none"/>
        </w:rPr>
        <w:t>需求、专家人才、服务机构等信息，提供精准对接服务。鼓励高校、科研院所建立专业化技术转移服务机构，提高科技成果转化效率。大力发展科技服务业，培育引进一批高水平技术转移</w:t>
      </w:r>
      <w:r>
        <w:rPr>
          <w:rFonts w:hint="eastAsia" w:ascii="Times New Roman" w:hAnsi="Times New Roman" w:eastAsia="仿宋_GB2312" w:cs="方正仿宋_GBK"/>
          <w:b w:val="0"/>
          <w:bCs w:val="0"/>
          <w:color w:val="auto"/>
          <w:sz w:val="32"/>
          <w:szCs w:val="32"/>
          <w:highlight w:val="none"/>
          <w:lang w:val="en-US" w:eastAsia="zh-CN"/>
        </w:rPr>
        <w:t>服务</w:t>
      </w:r>
      <w:r>
        <w:rPr>
          <w:rFonts w:hint="eastAsia" w:ascii="Times New Roman" w:hAnsi="Times New Roman" w:eastAsia="仿宋_GB2312" w:cs="方正仿宋_GBK"/>
          <w:b w:val="0"/>
          <w:bCs w:val="0"/>
          <w:color w:val="auto"/>
          <w:sz w:val="32"/>
          <w:szCs w:val="32"/>
          <w:highlight w:val="none"/>
        </w:rPr>
        <w:t>机构、科技咨询机构、检验检测认证机构。支持重大科技成果在赤峰进行中试熟化和产业化应用。鼓励企业与高校、科研院所共建研发平台，联合开展技术攻关，</w:t>
      </w:r>
      <w:r>
        <w:rPr>
          <w:rFonts w:hint="eastAsia" w:ascii="Times New Roman" w:hAnsi="Times New Roman" w:eastAsia="仿宋_GB2312" w:cs="方正仿宋_GBK"/>
          <w:b w:val="0"/>
          <w:bCs w:val="0"/>
          <w:color w:val="auto"/>
          <w:sz w:val="32"/>
          <w:szCs w:val="32"/>
          <w:highlight w:val="none"/>
          <w:lang w:eastAsia="zh-CN"/>
        </w:rPr>
        <w:t>推动科研成果从“实验室”走向“生产线”</w:t>
      </w:r>
      <w:r>
        <w:rPr>
          <w:rFonts w:hint="eastAsia" w:ascii="Times New Roman" w:hAnsi="Times New Roman" w:eastAsia="仿宋_GB2312" w:cs="方正仿宋_GBK"/>
          <w:b w:val="0"/>
          <w:bCs w:val="0"/>
          <w:color w:val="auto"/>
          <w:sz w:val="32"/>
          <w:szCs w:val="32"/>
          <w:highlight w:val="none"/>
        </w:rPr>
        <w:t>。</w:t>
      </w:r>
      <w:r>
        <w:rPr>
          <w:rFonts w:hint="eastAsia" w:ascii="Times New Roman" w:hAnsi="Times New Roman" w:eastAsia="仿宋_GB2312" w:cs="方正仿宋_GBK"/>
          <w:b w:val="0"/>
          <w:bCs w:val="0"/>
          <w:color w:val="auto"/>
          <w:sz w:val="32"/>
          <w:szCs w:val="32"/>
          <w:highlight w:val="none"/>
          <w:lang w:val="en-US" w:eastAsia="zh-CN"/>
        </w:rPr>
        <w:t>创新科技成果转化机制，</w:t>
      </w:r>
      <w:r>
        <w:rPr>
          <w:rFonts w:hint="eastAsia" w:ascii="Times New Roman" w:hAnsi="Times New Roman" w:eastAsia="仿宋_GB2312" w:cs="方正仿宋_GBK"/>
          <w:b w:val="0"/>
          <w:bCs w:val="0"/>
          <w:color w:val="auto"/>
          <w:sz w:val="32"/>
          <w:szCs w:val="32"/>
          <w:highlight w:val="none"/>
        </w:rPr>
        <w:t>举办科技成果对接会</w:t>
      </w:r>
      <w:r>
        <w:rPr>
          <w:rFonts w:hint="eastAsia" w:ascii="Times New Roman" w:hAnsi="Times New Roman" w:eastAsia="仿宋_GB2312" w:cs="方正仿宋_GBK"/>
          <w:b w:val="0"/>
          <w:bCs w:val="0"/>
          <w:color w:val="auto"/>
          <w:sz w:val="32"/>
          <w:szCs w:val="32"/>
          <w:highlight w:val="none"/>
          <w:lang w:eastAsia="zh-CN"/>
        </w:rPr>
        <w:t>、发布</w:t>
      </w:r>
      <w:r>
        <w:rPr>
          <w:rFonts w:hint="eastAsia" w:ascii="Times New Roman" w:hAnsi="Times New Roman" w:eastAsia="仿宋_GB2312" w:cs="方正仿宋_GBK"/>
          <w:b w:val="0"/>
          <w:bCs w:val="0"/>
          <w:color w:val="auto"/>
          <w:sz w:val="32"/>
          <w:szCs w:val="32"/>
          <w:highlight w:val="none"/>
          <w:lang w:val="en-US" w:eastAsia="zh-CN"/>
        </w:rPr>
        <w:t>会</w:t>
      </w:r>
      <w:r>
        <w:rPr>
          <w:rFonts w:hint="eastAsia" w:ascii="Times New Roman" w:hAnsi="Times New Roman" w:eastAsia="仿宋_GB2312" w:cs="方正仿宋_GBK"/>
          <w:b w:val="0"/>
          <w:bCs w:val="0"/>
          <w:color w:val="auto"/>
          <w:sz w:val="32"/>
          <w:szCs w:val="32"/>
          <w:highlight w:val="none"/>
          <w:lang w:eastAsia="zh-CN"/>
        </w:rPr>
        <w:t>、路演</w:t>
      </w:r>
      <w:r>
        <w:rPr>
          <w:rFonts w:hint="eastAsia" w:ascii="Times New Roman" w:hAnsi="Times New Roman" w:eastAsia="仿宋_GB2312" w:cs="方正仿宋_GBK"/>
          <w:b w:val="0"/>
          <w:bCs w:val="0"/>
          <w:color w:val="auto"/>
          <w:sz w:val="32"/>
          <w:szCs w:val="32"/>
          <w:highlight w:val="none"/>
        </w:rPr>
        <w:t>等活动，打通科技成果转化的“最后一公里”</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稳步提升科技成果转化率。</w:t>
      </w:r>
    </w:p>
    <w:p w14:paraId="297540A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59" w:name="_Toc9765"/>
      <w:r>
        <w:rPr>
          <w:rFonts w:hint="eastAsia" w:ascii="Times New Roman" w:hAnsi="Times New Roman" w:eastAsia="仿宋_GB2312" w:cs="方正仿宋_GBK"/>
          <w:b w:val="0"/>
          <w:bCs w:val="0"/>
          <w:color w:val="auto"/>
          <w:sz w:val="32"/>
          <w:szCs w:val="32"/>
          <w:highlight w:val="none"/>
          <w:lang w:val="en-US" w:eastAsia="zh-CN"/>
        </w:rPr>
        <w:t>营造良好创新生态</w:t>
      </w:r>
      <w:bookmarkEnd w:id="759"/>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着力破除体制机制障碍，强化政策引导和环境营造，形成鼓励创新、崇尚科学、敢为人先的浓厚氛围。深化科技体制机制改革</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改进科技项目组织管理方式，赋予科研单位和科研人员更大自主权</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完善财政科技投入机制，建立以绩效为导向的科技资金配置模式。加快科技管理职能从重项目管理向重综合服务转变</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支持各旗县区根据产业特色建设专业化、市场化的科技服务机构</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弘扬创新文化</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宣传创新企业、创新人物和重大创新成果，营造敢于冒险、崇尚创新、追求卓越的社会风尚。深化人才发展体制机制改革，为人才“松绑减负”，保障和落实用人单位自主权。健全以创新能力、质量、实效、贡献为导向的人才评价体系，破除“四唯”倾向。</w:t>
      </w:r>
      <w:r>
        <w:rPr>
          <w:rFonts w:hint="eastAsia" w:ascii="Times New Roman" w:hAnsi="Times New Roman" w:eastAsia="仿宋_GB2312" w:cs="方正仿宋_GBK"/>
          <w:b w:val="0"/>
          <w:bCs w:val="0"/>
          <w:color w:val="auto"/>
          <w:sz w:val="32"/>
          <w:szCs w:val="32"/>
          <w:highlight w:val="none"/>
          <w:lang w:val="en-US" w:eastAsia="zh-CN"/>
        </w:rPr>
        <w:t>强化全民科普教育，提高全民科学素质。发挥科技金融服务效能，鼓励金融机构加大对科技型中小企业信用贷款投放力度，加快发展知识产权质押融资。推进科研领域“放管服”改革，推动市林科所、市农科所、赤峰大学开展职务科技成果赋权改革，试行先赋权后转化模式。</w:t>
      </w:r>
    </w:p>
    <w:p w14:paraId="51D04EB8">
      <w:pPr>
        <w:keepNext w:val="0"/>
        <w:keepLines w:val="0"/>
        <w:pageBreakBefore w:val="0"/>
        <w:widowControl/>
        <w:numPr>
          <w:ilvl w:val="0"/>
          <w:numId w:val="9"/>
        </w:numPr>
        <w:kinsoku/>
        <w:wordWrap/>
        <w:topLinePunct w:val="0"/>
        <w:autoSpaceDE/>
        <w:autoSpaceDN/>
        <w:bidi w:val="0"/>
        <w:adjustRightIn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760" w:name="_Toc19248"/>
      <w:bookmarkStart w:id="761" w:name="_Toc2437"/>
      <w:bookmarkStart w:id="762" w:name="_Toc21209"/>
      <w:bookmarkStart w:id="763" w:name="_Toc16959"/>
      <w:bookmarkStart w:id="764" w:name="_Toc23913"/>
      <w:bookmarkStart w:id="765" w:name="_Toc22206"/>
      <w:bookmarkStart w:id="766" w:name="_Toc18085"/>
      <w:bookmarkStart w:id="767" w:name="_Toc12082"/>
      <w:bookmarkStart w:id="768" w:name="_Toc23642"/>
      <w:bookmarkStart w:id="769" w:name="_Toc2559"/>
      <w:bookmarkStart w:id="770" w:name="_Toc31852"/>
      <w:bookmarkStart w:id="771" w:name="_Toc27827"/>
      <w:bookmarkStart w:id="772" w:name="_Toc21889"/>
      <w:bookmarkStart w:id="773" w:name="_Toc29065"/>
      <w:r>
        <w:rPr>
          <w:rFonts w:hint="eastAsia" w:ascii="楷体_GB2312" w:hAnsi="楷体_GB2312" w:eastAsia="楷体_GB2312" w:cs="楷体_GB2312"/>
          <w:b w:val="0"/>
          <w:bCs w:val="0"/>
          <w:color w:val="auto"/>
          <w:sz w:val="32"/>
          <w:szCs w:val="40"/>
          <w:highlight w:val="none"/>
          <w:u w:val="none"/>
          <w:lang w:val="en-US" w:eastAsia="zh-CN"/>
        </w:rPr>
        <w:t>一体推进教育科技人才发展</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3E1A2B8D">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大力实施人才强市战略，实施更加积极、开放、有效的人才政策，深化人才发展体制机制改革，着力破解人才发展难题，进一步激发人才创新创造活力。</w:t>
      </w:r>
    </w:p>
    <w:p w14:paraId="104BF9A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74" w:name="_Toc4917"/>
      <w:r>
        <w:rPr>
          <w:rFonts w:hint="eastAsia" w:ascii="Times New Roman" w:hAnsi="Times New Roman" w:eastAsia="仿宋_GB2312" w:cs="方正仿宋_GBK"/>
          <w:b w:val="0"/>
          <w:bCs w:val="0"/>
          <w:color w:val="auto"/>
          <w:sz w:val="32"/>
          <w:szCs w:val="32"/>
          <w:highlight w:val="none"/>
          <w:lang w:val="en-US" w:eastAsia="zh-CN"/>
        </w:rPr>
        <w:t>优化人才分类培养引育</w:t>
      </w:r>
      <w:bookmarkEnd w:id="774"/>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健全人才引进政策体系，加大人才引进保障力度，打造区域性人才高地。</w:t>
      </w:r>
      <w:r>
        <w:rPr>
          <w:rFonts w:hint="eastAsia" w:ascii="仿宋_GB2312" w:hAnsi="仿宋_GB2312" w:eastAsia="仿宋_GB2312" w:cs="仿宋_GB2312"/>
          <w:b w:val="0"/>
          <w:bCs w:val="0"/>
          <w:sz w:val="32"/>
          <w:szCs w:val="32"/>
          <w:highlight w:val="none"/>
          <w:u w:val="none" w:color="auto"/>
          <w:lang w:val="en-US" w:eastAsia="zh-CN"/>
        </w:rPr>
        <w:t>推进“英才兴蒙”、“玉龙英才”、产业人才集聚攻坚等重点人才工程，</w:t>
      </w:r>
      <w:r>
        <w:rPr>
          <w:rFonts w:hint="eastAsia" w:ascii="Times New Roman" w:hAnsi="Times New Roman" w:eastAsia="仿宋_GB2312" w:cs="方正仿宋_GBK"/>
          <w:b w:val="0"/>
          <w:bCs w:val="0"/>
          <w:color w:val="auto"/>
          <w:sz w:val="32"/>
          <w:szCs w:val="32"/>
          <w:highlight w:val="none"/>
          <w:lang w:val="en-US"/>
        </w:rPr>
        <w:t>推行校园专项</w:t>
      </w:r>
      <w:r>
        <w:rPr>
          <w:rFonts w:hint="eastAsia" w:ascii="Times New Roman" w:hAnsi="Times New Roman" w:eastAsia="仿宋_GB2312" w:cs="方正仿宋_GBK"/>
          <w:b w:val="0"/>
          <w:bCs w:val="0"/>
          <w:color w:val="auto"/>
          <w:sz w:val="32"/>
          <w:szCs w:val="32"/>
          <w:highlight w:val="none"/>
          <w:lang w:val="en-US" w:eastAsia="zh-CN"/>
        </w:rPr>
        <w:t>引才</w:t>
      </w:r>
      <w:r>
        <w:rPr>
          <w:rFonts w:hint="eastAsia" w:ascii="Times New Roman" w:hAnsi="Times New Roman" w:eastAsia="仿宋_GB2312" w:cs="方正仿宋_GBK"/>
          <w:b w:val="0"/>
          <w:bCs w:val="0"/>
          <w:color w:val="auto"/>
          <w:sz w:val="32"/>
          <w:szCs w:val="32"/>
          <w:highlight w:val="none"/>
          <w:lang w:val="en-US"/>
        </w:rPr>
        <w:t>、“绿色通道</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事业编企业用”等人才引进模式。加大高层次人才引进力度</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深化高层次创新人才团队合作。</w:t>
      </w:r>
      <w:r>
        <w:rPr>
          <w:rFonts w:hint="eastAsia" w:ascii="Times New Roman" w:hAnsi="Times New Roman" w:eastAsia="仿宋_GB2312" w:cs="方正仿宋_GBK"/>
          <w:b w:val="0"/>
          <w:bCs w:val="0"/>
          <w:color w:val="auto"/>
          <w:sz w:val="32"/>
          <w:szCs w:val="32"/>
          <w:highlight w:val="none"/>
          <w:lang w:val="en-US" w:eastAsia="zh-CN"/>
        </w:rPr>
        <w:t>加强对外人才交流合作，推进柔性引才，探索实施“人才飞地”模式，用好在外“赤子”资源，</w:t>
      </w:r>
      <w:r>
        <w:rPr>
          <w:rFonts w:hint="eastAsia" w:ascii="Times New Roman" w:hAnsi="Times New Roman" w:eastAsia="仿宋_GB2312" w:cs="方正仿宋_GBK"/>
          <w:b w:val="0"/>
          <w:bCs w:val="0"/>
          <w:color w:val="auto"/>
          <w:sz w:val="32"/>
          <w:szCs w:val="32"/>
          <w:highlight w:val="none"/>
          <w:lang w:val="en-US"/>
        </w:rPr>
        <w:t>巩固“赤峰籍院士家乡行”活动成果</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着力推进蒙东人才科创园建设，全力推动高能级人才平台载体建设。加快培育本土科技服务队伍</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健全科技服务队伍管理机制，组建“科学家+技术经纪人+企业家”团队，建立技术经纪人协会，选派科技特派员下基层服务，推动</w:t>
      </w:r>
      <w:r>
        <w:rPr>
          <w:rFonts w:hint="eastAsia" w:ascii="Times New Roman" w:hAnsi="Times New Roman" w:eastAsia="仿宋_GB2312" w:cs="方正仿宋_GBK"/>
          <w:b w:val="0"/>
          <w:bCs w:val="0"/>
          <w:color w:val="auto"/>
          <w:sz w:val="32"/>
          <w:szCs w:val="32"/>
          <w:highlight w:val="none"/>
          <w:lang w:val="en-US" w:eastAsia="zh-CN"/>
        </w:rPr>
        <w:t>赤峰大学</w:t>
      </w:r>
      <w:r>
        <w:rPr>
          <w:rFonts w:hint="eastAsia" w:ascii="Times New Roman" w:hAnsi="Times New Roman" w:eastAsia="仿宋_GB2312" w:cs="方正仿宋_GBK"/>
          <w:b w:val="0"/>
          <w:bCs w:val="0"/>
          <w:color w:val="auto"/>
          <w:sz w:val="32"/>
          <w:szCs w:val="32"/>
          <w:highlight w:val="none"/>
          <w:lang w:val="en-US"/>
        </w:rPr>
        <w:t>等高校创新“校地合作</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校企合作”模式。</w:t>
      </w:r>
    </w:p>
    <w:p w14:paraId="27FFA74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75" w:name="_Toc5166"/>
      <w:r>
        <w:rPr>
          <w:rFonts w:hint="eastAsia" w:ascii="Times New Roman" w:hAnsi="Times New Roman" w:eastAsia="仿宋_GB2312" w:cs="方正仿宋_GBK"/>
          <w:b w:val="0"/>
          <w:bCs w:val="0"/>
          <w:color w:val="auto"/>
          <w:sz w:val="32"/>
          <w:szCs w:val="32"/>
          <w:highlight w:val="none"/>
          <w:lang w:val="en-US" w:eastAsia="zh-CN"/>
        </w:rPr>
        <w:t>畅通教育科技人才良性循环</w:t>
      </w:r>
      <w:bookmarkEnd w:id="775"/>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深化产教融合、校企联合，推动高校、职业院校围绕产业所需优化学科专业设置，提高人才培养针对性和实用性。实施中青年科技人才、卓越工程师、大国工匠、高技能人才、青年创新创业人才培育计划，培养一批留得住、用得上的本土人才。完善留住青年人政策举措，深入实施《赤峰市推进人才强市的若干措施》，从优化人才培养供给、强化就业创业指导、健全求职体系、加强困难援助、完善政策支持等方面形成合力，争取更多青年人返赤留赤。落实好人才政策待遇，健全以创新能力、质量、实效、贡献为导向的科技人才评价体系，推动职务科技成果赋权改革，激发人才创新创造动力活力。完善人才服务保障机制，</w:t>
      </w:r>
      <w:r>
        <w:rPr>
          <w:rFonts w:hint="eastAsia" w:ascii="Times New Roman" w:hAnsi="Times New Roman" w:eastAsia="仿宋_GB2312" w:cs="方正仿宋_GBK"/>
          <w:b w:val="0"/>
          <w:bCs w:val="0"/>
          <w:color w:val="auto"/>
          <w:sz w:val="32"/>
          <w:szCs w:val="32"/>
          <w:highlight w:val="none"/>
          <w:lang w:val="en-US"/>
        </w:rPr>
        <w:t>主动对接自治区“一码通”人才服务体系，开通高层次人才子女入学、家属随迁、医疗保健等领域“绿色通道”</w:t>
      </w:r>
      <w:r>
        <w:rPr>
          <w:rFonts w:hint="eastAsia" w:ascii="Times New Roman" w:hAnsi="Times New Roman" w:eastAsia="仿宋_GB2312" w:cs="方正仿宋_GBK"/>
          <w:b w:val="0"/>
          <w:bCs w:val="0"/>
          <w:color w:val="auto"/>
          <w:sz w:val="32"/>
          <w:szCs w:val="32"/>
          <w:highlight w:val="none"/>
          <w:lang w:val="en-US" w:eastAsia="zh-CN"/>
        </w:rPr>
        <w:t>，构建全方位、多层次、立体化的人才服务体系，优化人才发展环境，加大对人才发展的投入力度，解决人才后顾之忧，让各类人才安心、安身、安业。</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1538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C0DD0CF">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14 科技创新</w:t>
            </w:r>
            <w:r>
              <w:rPr>
                <w:rFonts w:hint="eastAsia" w:ascii="Times New Roman" w:hAnsi="Times New Roman" w:eastAsia="仿宋_GB2312" w:cs="Times New Roman"/>
                <w:b w:val="0"/>
                <w:bCs w:val="0"/>
                <w:sz w:val="24"/>
                <w:highlight w:val="none"/>
              </w:rPr>
              <w:t>重大工程</w:t>
            </w:r>
          </w:p>
        </w:tc>
      </w:tr>
      <w:tr w14:paraId="424E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0854788">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创新平台建设重点工程：加强赤峰市产业创新研究院、京蒙科创产业园、“蒙科聚”赤峰分中心、赤峰市大学科技园及其他专业创新平台载体建设，支持杂粮育种、肉鸭育种、医药化工、口腔颅颌面疾病研究等现有自治区级重点实验室提升效能，推动瑞阳化工、天奇制药创建自治区级技术创新中心，建立高校和企业、高等教育与区域创新发展深度融合的科研组织模式和人才培养模式，强化科技创新成果和拔尖创新人才的高质量供给，聚焦新能源、新材料、新型化工等领域培育建设市级技术创新中心、重点实验室、科普基地。</w:t>
            </w:r>
          </w:p>
          <w:p w14:paraId="24CABF02">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关键核心技术攻关重点工程：在工业、农牧业、社会发展等领域开展关键技术攻关，力求解决一批制约产业发展、提升民生福祉的技术问题。工业领域，开展大规模风光储绿电制氢氨醇关键技术攻关；支持开展冶炼烟尘尾渣资源化利用、炼锌主系统除砷工艺、铝丝材材料轻化、性能强化等技术研究；农牧业领域，重点围绕罕山白绒山羊和白羽肉鸭等畜禽的育种、繁育及智慧养殖开展关键技术攻关，持续发掘玉米、谷子、绿豆等优势作物优质种质资源，开展新品种选育和配套栽培技术研究；社会发展领域，依托国家区域医疗中心和口腔颅颌面疾病研究自治区级重点实验室，开展重大疾病防控和精准诊疗技术攻关，鼓励医药企业以临床用药需求为导向，强化新品研发生产和药品生产工艺研究。生态环境领域，开展森林草原湿地生态修复、荒漠化治理和防沙治沙等技术研究和应用。</w:t>
            </w:r>
          </w:p>
        </w:tc>
      </w:tr>
    </w:tbl>
    <w:p w14:paraId="625C8A7B">
      <w:pPr>
        <w:keepNext w:val="0"/>
        <w:keepLines w:val="0"/>
        <w:pageBreakBefore w:val="0"/>
        <w:kinsoku/>
        <w:wordWrap/>
        <w:topLinePunct w:val="0"/>
        <w:autoSpaceDE/>
        <w:autoSpaceDN/>
        <w:bidi w:val="0"/>
        <w:adjustRightInd/>
        <w:spacing w:line="540" w:lineRule="exact"/>
        <w:textAlignment w:val="auto"/>
        <w:rPr>
          <w:rFonts w:hint="default" w:ascii="Times New Roman" w:hAnsi="Times New Roman" w:eastAsia="等线" w:cs="Times New Roman"/>
          <w:b w:val="0"/>
          <w:bCs w:val="0"/>
          <w:sz w:val="21"/>
          <w:szCs w:val="22"/>
          <w:highlight w:val="none"/>
        </w:rPr>
      </w:pPr>
    </w:p>
    <w:p w14:paraId="3B1A761E">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776" w:name="_Toc11000"/>
      <w:bookmarkStart w:id="777" w:name="_Toc10000"/>
      <w:bookmarkStart w:id="778" w:name="_Toc17654"/>
      <w:bookmarkStart w:id="779" w:name="_Toc29403"/>
      <w:bookmarkStart w:id="780" w:name="_Toc9080"/>
      <w:bookmarkStart w:id="781" w:name="_Toc22608"/>
      <w:bookmarkStart w:id="782" w:name="_Toc28843"/>
      <w:bookmarkStart w:id="783" w:name="_Toc32195"/>
      <w:bookmarkStart w:id="784" w:name="_Toc15970"/>
      <w:bookmarkStart w:id="785" w:name="_Toc3253"/>
      <w:bookmarkStart w:id="786" w:name="_Toc11224"/>
      <w:bookmarkStart w:id="787" w:name="_Toc27713"/>
      <w:bookmarkStart w:id="788" w:name="_Toc13752"/>
      <w:bookmarkStart w:id="789" w:name="_Toc188"/>
      <w:r>
        <w:rPr>
          <w:rFonts w:hint="eastAsia" w:ascii="黑体" w:hAnsi="黑体" w:eastAsia="黑体" w:cs="黑体"/>
          <w:b w:val="0"/>
          <w:bCs w:val="0"/>
          <w:sz w:val="32"/>
          <w:szCs w:val="32"/>
          <w:highlight w:val="none"/>
          <w:u w:val="none"/>
          <w:lang w:val="en-US" w:eastAsia="zh-CN"/>
        </w:rPr>
        <w:t>深化</w:t>
      </w:r>
      <w:r>
        <w:rPr>
          <w:rFonts w:hint="eastAsia" w:ascii="黑体" w:hAnsi="黑体" w:eastAsia="黑体" w:cs="黑体"/>
          <w:b w:val="0"/>
          <w:bCs w:val="0"/>
          <w:sz w:val="32"/>
          <w:szCs w:val="32"/>
          <w:highlight w:val="none"/>
          <w:u w:val="none"/>
          <w:lang w:eastAsia="zh-CN"/>
        </w:rPr>
        <w:t>重点领域改革，</w:t>
      </w:r>
      <w:r>
        <w:rPr>
          <w:rFonts w:hint="eastAsia" w:ascii="黑体" w:hAnsi="黑体" w:eastAsia="黑体" w:cs="黑体"/>
          <w:b w:val="0"/>
          <w:bCs w:val="0"/>
          <w:sz w:val="32"/>
          <w:szCs w:val="32"/>
          <w:highlight w:val="none"/>
          <w:u w:val="none"/>
          <w:lang w:val="en-US" w:eastAsia="zh-CN"/>
        </w:rPr>
        <w:t>激发发展</w:t>
      </w:r>
      <w:r>
        <w:rPr>
          <w:rFonts w:hint="eastAsia" w:ascii="黑体" w:hAnsi="黑体" w:eastAsia="黑体" w:cs="黑体"/>
          <w:b w:val="0"/>
          <w:bCs w:val="0"/>
          <w:sz w:val="32"/>
          <w:szCs w:val="32"/>
          <w:highlight w:val="none"/>
          <w:u w:val="none"/>
          <w:lang w:eastAsia="zh-CN"/>
        </w:rPr>
        <w:t>内生动力</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0CEB1AF9">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紧密围绕党的二十届三中全会关于进一步全面深化改革、推进中国式现代化的战略部署，</w:t>
      </w:r>
      <w:r>
        <w:rPr>
          <w:rFonts w:hint="eastAsia" w:ascii="Times New Roman" w:hAnsi="Times New Roman" w:eastAsia="仿宋_GB2312" w:cs="方正仿宋_GBK"/>
          <w:b w:val="0"/>
          <w:bCs w:val="0"/>
          <w:color w:val="auto"/>
          <w:highlight w:val="none"/>
          <w:lang w:val="en-US" w:eastAsia="zh-CN"/>
        </w:rPr>
        <w:t>推动改革举措系统集成、协同高效，</w:t>
      </w:r>
      <w:r>
        <w:rPr>
          <w:rFonts w:hint="eastAsia" w:ascii="Times New Roman" w:hAnsi="Times New Roman" w:eastAsia="仿宋_GB2312" w:cs="方正仿宋_GBK"/>
          <w:b w:val="0"/>
          <w:bCs w:val="0"/>
          <w:color w:val="auto"/>
          <w:highlight w:val="none"/>
        </w:rPr>
        <w:t>深化经济社会重点领域和关键环节改革，着力破解深层次体制机制障碍</w:t>
      </w:r>
      <w:r>
        <w:rPr>
          <w:rFonts w:hint="eastAsia" w:ascii="Times New Roman" w:hAnsi="Times New Roman" w:eastAsia="仿宋_GB2312" w:cs="方正仿宋_GBK"/>
          <w:b w:val="0"/>
          <w:bCs w:val="0"/>
          <w:color w:val="auto"/>
          <w:highlight w:val="none"/>
          <w:lang w:val="en-US" w:eastAsia="zh-CN"/>
        </w:rPr>
        <w:t>，加快构建同高质量发展相适应的制度体系。</w:t>
      </w:r>
    </w:p>
    <w:p w14:paraId="3FA121AB">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color="auto"/>
          <w:lang w:val="en-US" w:eastAsia="zh-CN"/>
        </w:rPr>
      </w:pPr>
      <w:bookmarkStart w:id="790" w:name="_Toc12852"/>
      <w:bookmarkStart w:id="791" w:name="_Toc9005"/>
      <w:bookmarkStart w:id="792" w:name="_Toc25699"/>
      <w:bookmarkStart w:id="793" w:name="_Toc19604"/>
      <w:bookmarkStart w:id="794" w:name="_Toc19571"/>
      <w:bookmarkStart w:id="795" w:name="_Toc12094"/>
      <w:bookmarkStart w:id="796" w:name="_Toc10326"/>
      <w:bookmarkStart w:id="797" w:name="_Toc6280"/>
      <w:bookmarkStart w:id="798" w:name="_Toc31074"/>
      <w:bookmarkStart w:id="799" w:name="_Toc9412"/>
      <w:bookmarkStart w:id="800" w:name="_Toc25951"/>
      <w:bookmarkStart w:id="801" w:name="_Toc4556"/>
      <w:bookmarkStart w:id="802" w:name="_Toc30168"/>
      <w:bookmarkStart w:id="803" w:name="_Toc27290"/>
      <w:r>
        <w:rPr>
          <w:rFonts w:hint="eastAsia" w:ascii="楷体_GB2312" w:hAnsi="楷体_GB2312" w:eastAsia="楷体_GB2312" w:cs="楷体_GB2312"/>
          <w:b w:val="0"/>
          <w:bCs w:val="0"/>
          <w:color w:val="auto"/>
          <w:sz w:val="32"/>
          <w:szCs w:val="40"/>
          <w:highlight w:val="none"/>
          <w:u w:val="none" w:color="auto"/>
          <w:lang w:val="en-US" w:eastAsia="zh-CN"/>
        </w:rPr>
        <w:t>完善要素市场化配置体制机制</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57E86715">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仿宋_GB2312" w:hAnsi="仿宋_GB2312" w:eastAsia="仿宋_GB2312" w:cs="仿宋_GB2312"/>
          <w:b w:val="0"/>
          <w:bCs w:val="0"/>
          <w:sz w:val="32"/>
          <w:szCs w:val="32"/>
          <w:highlight w:val="none"/>
          <w:u w:val="none" w:color="auto"/>
          <w:lang w:val="en-US" w:eastAsia="zh-CN"/>
        </w:rPr>
        <w:t>积极推进要素市场化配置改革，完善要素市场制度和规则，着力破除阻碍要素自由流动和高效配置的体制机制障碍，推动要素质量逐步提高、生产要素畅通流动、各类资源高效配置、市场潜力充分释放，建设</w:t>
      </w:r>
      <w:r>
        <w:rPr>
          <w:rFonts w:hint="eastAsia" w:ascii="Times New Roman" w:hAnsi="Times New Roman" w:eastAsia="仿宋_GB2312" w:cs="方正仿宋_GBK"/>
          <w:b w:val="0"/>
          <w:bCs w:val="0"/>
          <w:color w:val="auto"/>
          <w:sz w:val="32"/>
          <w:szCs w:val="32"/>
          <w:highlight w:val="none"/>
          <w:lang w:val="en-US" w:eastAsia="zh-CN"/>
        </w:rPr>
        <w:t>高标准市场体系。</w:t>
      </w:r>
    </w:p>
    <w:p w14:paraId="2BC68EAE">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推进土地要素集约高效配置。严格落实国土</w:t>
      </w:r>
      <w:r>
        <w:rPr>
          <w:rFonts w:hint="eastAsia" w:ascii="仿宋_GB2312" w:hAnsi="仿宋_GB2312" w:eastAsia="仿宋_GB2312" w:cs="仿宋_GB2312"/>
          <w:b w:val="0"/>
          <w:bCs w:val="0"/>
          <w:sz w:val="32"/>
          <w:szCs w:val="32"/>
          <w:highlight w:val="none"/>
          <w:u w:val="none" w:color="auto"/>
          <w:lang w:val="en-US" w:eastAsia="zh-CN"/>
        </w:rPr>
        <w:t>空间规划及三条控制线管控要求，开展土地整治工作，依法依规优化各类空间规模、结构、布局。深化产业用地市场化改革，鼓励采用长期租赁、先租后让、弹性年期供应等方式供应工业用地。盘活存量土地和低效建设用地，结合城市更新，推动以市场化方式盘活低效建设用地和闲置耕地。探索以市场化方式推进存量土地开发建设。健全城乡统一的建设用地市场，在坚决守住土地公有制性质不改变、耕地红线不突破、农民利益不受损三条底线的前提下，探索盘活利用闲置农房的</w:t>
      </w:r>
      <w:r>
        <w:rPr>
          <w:rFonts w:hint="eastAsia" w:ascii="Times New Roman" w:hAnsi="Times New Roman" w:eastAsia="仿宋_GB2312" w:cs="方正仿宋_GBK"/>
          <w:b w:val="0"/>
          <w:bCs w:val="0"/>
          <w:color w:val="auto"/>
          <w:sz w:val="32"/>
          <w:szCs w:val="32"/>
          <w:highlight w:val="none"/>
          <w:lang w:val="en-US" w:eastAsia="zh-CN"/>
        </w:rPr>
        <w:t>有效路径，完善闲置农房盘活利用政策。</w:t>
      </w:r>
    </w:p>
    <w:p w14:paraId="3D050846">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探索建立数据要素流通规则。完善公共数据开放共享机制，推动政务数据共享、公共数据开放和授权运营、安</w:t>
      </w:r>
      <w:r>
        <w:rPr>
          <w:rFonts w:hint="eastAsia" w:ascii="仿宋_GB2312" w:hAnsi="仿宋_GB2312" w:eastAsia="仿宋_GB2312" w:cs="仿宋_GB2312"/>
          <w:b w:val="0"/>
          <w:bCs w:val="0"/>
          <w:sz w:val="32"/>
          <w:szCs w:val="32"/>
          <w:highlight w:val="none"/>
          <w:u w:val="none" w:color="auto"/>
          <w:lang w:val="en-US" w:eastAsia="zh-CN"/>
        </w:rPr>
        <w:t>全保障管理。推进企业登记监管、卫生健康、气象等高价值数据集向社会开放。拓展数据开发应用场景，培育数字经济新产业、新业态、新模式，支持构建农业、工业、交通运输、教育、安防、城市管理、公共资源交易等领域规范化数据开发利用场景。实施应用场景“十百千工程”，推进一批以工业互联网、第五代移动通信（5G）、自动驾驶、智能城市感知、超高清视频应用等为重点的行业场景应用。加强</w:t>
      </w:r>
      <w:r>
        <w:rPr>
          <w:rFonts w:hint="eastAsia" w:ascii="Times New Roman" w:hAnsi="Times New Roman" w:eastAsia="仿宋_GB2312" w:cs="方正仿宋_GBK"/>
          <w:b w:val="0"/>
          <w:bCs w:val="0"/>
          <w:color w:val="auto"/>
          <w:sz w:val="32"/>
          <w:szCs w:val="32"/>
          <w:highlight w:val="none"/>
          <w:lang w:val="en-US" w:eastAsia="zh-CN"/>
        </w:rPr>
        <w:t>数据安全保护，统筹发展和安全，推动数据流通和融合应用。</w:t>
      </w:r>
    </w:p>
    <w:p w14:paraId="06E11AD4">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仿宋_GB2312" w:hAnsi="仿宋_GB2312" w:eastAsia="仿宋_GB2312" w:cs="仿宋_GB2312"/>
          <w:b w:val="0"/>
          <w:bCs w:val="0"/>
          <w:sz w:val="32"/>
          <w:szCs w:val="32"/>
          <w:highlight w:val="none"/>
          <w:u w:val="none" w:color="auto"/>
          <w:lang w:val="en-US" w:eastAsia="zh-CN"/>
        </w:rPr>
      </w:pPr>
      <w:r>
        <w:rPr>
          <w:rFonts w:hint="eastAsia" w:ascii="Times New Roman" w:hAnsi="Times New Roman" w:eastAsia="仿宋_GB2312" w:cs="方正仿宋_GBK"/>
          <w:b w:val="0"/>
          <w:bCs w:val="0"/>
          <w:color w:val="auto"/>
          <w:sz w:val="32"/>
          <w:szCs w:val="32"/>
          <w:highlight w:val="none"/>
          <w:lang w:val="en-US" w:eastAsia="zh-CN"/>
        </w:rPr>
        <w:t>强化资本要素服务实体经济。增加</w:t>
      </w:r>
      <w:r>
        <w:rPr>
          <w:rFonts w:hint="eastAsia" w:ascii="仿宋_GB2312" w:hAnsi="仿宋_GB2312" w:eastAsia="仿宋_GB2312" w:cs="仿宋_GB2312"/>
          <w:b w:val="0"/>
          <w:bCs w:val="0"/>
          <w:sz w:val="32"/>
          <w:szCs w:val="32"/>
          <w:highlight w:val="none"/>
          <w:u w:val="none" w:color="auto"/>
          <w:lang w:val="en-US" w:eastAsia="zh-CN"/>
        </w:rPr>
        <w:t>金融服务有效供给，加强重大产业项目与金融机构对接，探索银行机构与外部股权投资机构深化合作。加强政府性融资担保体系建设，提升担保机构融资担保功能。探索设立产业发展基金。对接多层次资本市场，开展资本市场业务培训，培育和支持企业上市。支持符合条件的企业发行公司信用类债券。</w:t>
      </w:r>
    </w:p>
    <w:p w14:paraId="580A723C">
      <w:pPr>
        <w:pStyle w:val="43"/>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24" w:firstLineChars="200"/>
        <w:textAlignment w:val="auto"/>
        <w:outlineLvl w:val="3"/>
        <w:rPr>
          <w:rFonts w:hint="eastAsia" w:ascii="仿宋_GB2312" w:hAnsi="仿宋_GB2312" w:eastAsia="仿宋_GB2312" w:cs="仿宋_GB2312"/>
          <w:b w:val="0"/>
          <w:bCs w:val="0"/>
          <w:sz w:val="32"/>
          <w:szCs w:val="32"/>
          <w:highlight w:val="none"/>
          <w:u w:val="none" w:color="auto"/>
          <w:lang w:val="en-US" w:eastAsia="zh-CN"/>
        </w:rPr>
      </w:pPr>
      <w:r>
        <w:rPr>
          <w:rFonts w:hint="eastAsia" w:eastAsia="仿宋_GB2312" w:cs="方正仿宋_GBK"/>
          <w:b w:val="0"/>
          <w:bCs w:val="0"/>
          <w:color w:val="auto"/>
          <w:sz w:val="32"/>
          <w:szCs w:val="32"/>
          <w:highlight w:val="none"/>
          <w:u w:val="none"/>
          <w:lang w:val="en-US" w:eastAsia="zh-CN"/>
        </w:rPr>
        <w:t>全面</w:t>
      </w:r>
      <w:r>
        <w:rPr>
          <w:rFonts w:hint="eastAsia" w:ascii="Times New Roman" w:hAnsi="Times New Roman" w:eastAsia="仿宋_GB2312" w:cs="方正仿宋_GBK"/>
          <w:b w:val="0"/>
          <w:bCs w:val="0"/>
          <w:color w:val="auto"/>
          <w:sz w:val="32"/>
          <w:szCs w:val="32"/>
          <w:highlight w:val="none"/>
          <w:u w:val="none"/>
          <w:lang w:val="en-US" w:eastAsia="zh-CN"/>
        </w:rPr>
        <w:t>提高要素协同配置效率</w:t>
      </w:r>
      <w:r>
        <w:rPr>
          <w:rFonts w:hint="eastAsia" w:eastAsia="仿宋_GB2312" w:cs="方正仿宋_GBK"/>
          <w:b w:val="0"/>
          <w:bCs w:val="0"/>
          <w:color w:val="auto"/>
          <w:sz w:val="32"/>
          <w:szCs w:val="32"/>
          <w:highlight w:val="none"/>
          <w:u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完善要素市场化交易平台，提</w:t>
      </w:r>
      <w:r>
        <w:rPr>
          <w:rFonts w:hint="eastAsia" w:ascii="仿宋_GB2312" w:hAnsi="仿宋_GB2312" w:eastAsia="仿宋_GB2312" w:cs="仿宋_GB2312"/>
          <w:b w:val="0"/>
          <w:bCs w:val="0"/>
          <w:kern w:val="2"/>
          <w:sz w:val="32"/>
          <w:szCs w:val="32"/>
          <w:highlight w:val="none"/>
          <w:u w:val="none" w:color="auto"/>
          <w:lang w:val="en-US" w:eastAsia="zh-CN" w:bidi="ar-SA"/>
        </w:rPr>
        <w:t>升公共资源交易平台服务能力，推动适合以市场化方式配置的自然资源、资产股权、环境权等公共资源纳入统一平台体系。支持要素交易平台与各类金融机构、中介机构合作，鼓励探索非银行机构接入电子保函平台，形成涵盖产权界定、价格评估、流转交易、担保、保险等业务的综合服务体系。完善主要由市场供求关系决定要素价格机制，防止政府对价格形成的不当干预。健全劳动、资本、土地、知识、技术、管理、数据等生产要素由市场评价贡献、按贡献决定报酬的机制，实现资源配置效率最优化和效益最大化。</w:t>
      </w:r>
    </w:p>
    <w:p w14:paraId="2B98C824">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04" w:name="_Toc1782"/>
      <w:bookmarkStart w:id="805" w:name="_Toc30124"/>
      <w:bookmarkStart w:id="806" w:name="_Toc12773"/>
      <w:bookmarkStart w:id="807" w:name="_Toc12693"/>
      <w:bookmarkStart w:id="808" w:name="_Toc12293"/>
      <w:bookmarkStart w:id="809" w:name="_Toc29181"/>
      <w:bookmarkStart w:id="810" w:name="_Toc28502"/>
      <w:bookmarkStart w:id="811" w:name="_Toc32067"/>
      <w:bookmarkStart w:id="812" w:name="_Toc22589"/>
      <w:bookmarkStart w:id="813" w:name="_Toc19276"/>
      <w:bookmarkStart w:id="814" w:name="_Toc13607"/>
      <w:bookmarkStart w:id="815" w:name="_Toc13529"/>
      <w:bookmarkStart w:id="816" w:name="_Toc12707"/>
      <w:bookmarkStart w:id="817" w:name="_Toc26212"/>
      <w:r>
        <w:rPr>
          <w:rFonts w:hint="eastAsia" w:ascii="楷体_GB2312" w:hAnsi="楷体_GB2312" w:eastAsia="楷体_GB2312" w:cs="楷体_GB2312"/>
          <w:b w:val="0"/>
          <w:bCs w:val="0"/>
          <w:color w:val="auto"/>
          <w:sz w:val="32"/>
          <w:szCs w:val="40"/>
          <w:highlight w:val="none"/>
          <w:u w:val="none"/>
          <w:lang w:val="en-US" w:eastAsia="zh-CN"/>
        </w:rPr>
        <w:t>激发各类经营主体活力</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36324978">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坚持“两个毫不动摇”，</w:t>
      </w:r>
      <w:r>
        <w:rPr>
          <w:rFonts w:hint="eastAsia" w:ascii="Times New Roman" w:hAnsi="Times New Roman" w:eastAsia="仿宋_GB2312" w:cs="方正仿宋_GBK"/>
          <w:b w:val="0"/>
          <w:bCs w:val="0"/>
          <w:color w:val="auto"/>
          <w:highlight w:val="none"/>
          <w:lang w:val="en-US" w:eastAsia="zh-CN"/>
        </w:rPr>
        <w:t>促进各种所有制经济优势互补、协同发展</w:t>
      </w:r>
      <w:r>
        <w:rPr>
          <w:rFonts w:hint="eastAsia" w:ascii="Times New Roman" w:hAnsi="Times New Roman" w:eastAsia="仿宋_GB2312" w:cs="方正仿宋_GBK"/>
          <w:b w:val="0"/>
          <w:bCs w:val="0"/>
          <w:color w:val="auto"/>
          <w:highlight w:val="none"/>
        </w:rPr>
        <w:t>，形成大企业“顶天立地”、中小企业“铺天盖地”、个体工商户“枝繁叶茂”的生动局面。</w:t>
      </w:r>
    </w:p>
    <w:p w14:paraId="6BE61FD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18" w:name="_Toc28296"/>
      <w:r>
        <w:rPr>
          <w:rFonts w:hint="eastAsia" w:ascii="Times New Roman" w:hAnsi="Times New Roman" w:eastAsia="仿宋_GB2312" w:cs="方正仿宋_GBK"/>
          <w:b w:val="0"/>
          <w:bCs w:val="0"/>
          <w:color w:val="auto"/>
          <w:highlight w:val="none"/>
          <w:lang w:val="en-US" w:eastAsia="zh-CN"/>
        </w:rPr>
        <w:t>增强</w:t>
      </w:r>
      <w:r>
        <w:rPr>
          <w:rFonts w:hint="eastAsia" w:ascii="Times New Roman" w:hAnsi="Times New Roman" w:eastAsia="仿宋_GB2312" w:cs="方正仿宋_GBK"/>
          <w:b w:val="0"/>
          <w:bCs w:val="0"/>
          <w:color w:val="auto"/>
          <w:highlight w:val="none"/>
        </w:rPr>
        <w:t>国资国企</w:t>
      </w:r>
      <w:r>
        <w:rPr>
          <w:rFonts w:hint="eastAsia" w:ascii="Times New Roman" w:hAnsi="Times New Roman" w:eastAsia="仿宋_GB2312" w:cs="方正仿宋_GBK"/>
          <w:b w:val="0"/>
          <w:bCs w:val="0"/>
          <w:color w:val="auto"/>
          <w:highlight w:val="none"/>
          <w:lang w:val="en-US" w:eastAsia="zh-CN"/>
        </w:rPr>
        <w:t>竞争优势</w:t>
      </w:r>
      <w:bookmarkEnd w:id="818"/>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以提高核心竞争力和增强核心功能为重点，深入推进国企重组整合，推动资源向主业集中、向优势企业集中，打造一批具有较强竞争力的国有龙头企业。积极稳妥深化混合所有制改革，完善公司治理，建立现代企业制度。健全市场化经营机制，全面推行经理层成员任期制和契约化管理，完善市场化选人用人机制和具有市场竞争力的薪酬分配机制。转变监管职能，健全以管资本为主的国有资产监管体制。</w:t>
      </w:r>
      <w:r>
        <w:rPr>
          <w:rFonts w:hint="eastAsia" w:ascii="Times New Roman" w:hAnsi="Times New Roman" w:eastAsia="仿宋_GB2312" w:cs="方正仿宋_GBK"/>
          <w:b w:val="0"/>
          <w:bCs w:val="0"/>
          <w:color w:val="auto"/>
          <w:highlight w:val="none"/>
          <w:lang w:val="en-US" w:eastAsia="zh-CN"/>
        </w:rPr>
        <w:t>强化国有企业重大风险防控体系建设，坚决守住国有资本保值增值的底线。</w:t>
      </w:r>
      <w:r>
        <w:rPr>
          <w:rFonts w:hint="eastAsia" w:ascii="Times New Roman" w:hAnsi="Times New Roman" w:eastAsia="仿宋_GB2312" w:cs="方正仿宋_GBK"/>
          <w:b w:val="0"/>
          <w:bCs w:val="0"/>
          <w:color w:val="auto"/>
          <w:highlight w:val="none"/>
        </w:rPr>
        <w:t>推动国有企业更好履行经济责任、政治责任和社会责任，在服务全市发展中发挥更大作用。</w:t>
      </w:r>
    </w:p>
    <w:p w14:paraId="1CB118C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19" w:name="_Toc5199"/>
      <w:r>
        <w:rPr>
          <w:rFonts w:hint="eastAsia" w:ascii="Times New Roman" w:hAnsi="Times New Roman" w:eastAsia="仿宋_GB2312" w:cs="方正仿宋_GBK"/>
          <w:b w:val="0"/>
          <w:bCs w:val="0"/>
          <w:color w:val="auto"/>
          <w:highlight w:val="none"/>
        </w:rPr>
        <w:t>促进民营经济</w:t>
      </w:r>
      <w:r>
        <w:rPr>
          <w:rFonts w:hint="eastAsia" w:ascii="Times New Roman" w:hAnsi="Times New Roman" w:eastAsia="仿宋_GB2312" w:cs="方正仿宋_GBK"/>
          <w:b w:val="0"/>
          <w:bCs w:val="0"/>
          <w:color w:val="auto"/>
          <w:highlight w:val="none"/>
          <w:lang w:val="en-US" w:eastAsia="zh-CN"/>
        </w:rPr>
        <w:t>高质量发展</w:t>
      </w:r>
      <w:bookmarkEnd w:id="819"/>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全面贯彻落实国家、自治区关于促进民营经济发展壮大的意见及各项政策措施，确保政策直达快享</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应享尽享</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扎实做好民营经济统战工作</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推进</w:t>
      </w:r>
      <w:r>
        <w:rPr>
          <w:rFonts w:hint="eastAsia" w:eastAsia="仿宋_GB2312" w:cs="方正仿宋_GBK"/>
          <w:b w:val="0"/>
          <w:bCs w:val="0"/>
          <w:color w:val="auto"/>
          <w:highlight w:val="none"/>
          <w:lang w:val="en-US" w:eastAsia="zh-CN"/>
        </w:rPr>
        <w:t>经营主体</w:t>
      </w:r>
      <w:r>
        <w:rPr>
          <w:rFonts w:hint="eastAsia" w:ascii="Times New Roman" w:hAnsi="Times New Roman" w:eastAsia="仿宋_GB2312" w:cs="方正仿宋_GBK"/>
          <w:b w:val="0"/>
          <w:bCs w:val="0"/>
          <w:color w:val="auto"/>
          <w:highlight w:val="none"/>
          <w:lang w:val="en-US" w:eastAsia="zh-CN"/>
        </w:rPr>
        <w:t>升级，推动“个转企、小升规、规改股、股上市”，引导企业建立现代企业制度，促进大中小企业协同发展。</w:t>
      </w:r>
      <w:r>
        <w:rPr>
          <w:rFonts w:hint="eastAsia" w:ascii="Times New Roman" w:hAnsi="Times New Roman" w:eastAsia="仿宋_GB2312" w:cs="方正仿宋_GBK"/>
          <w:b w:val="0"/>
          <w:bCs w:val="0"/>
          <w:color w:val="auto"/>
          <w:highlight w:val="none"/>
        </w:rPr>
        <w:t>对妨碍市场准入、要素平等获取等方面的行政规范性文件开展专项清理，破除在招标投标、政府采购、资质许可等方面对民营企业设置的隐性壁垒</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eastAsia="zh-CN"/>
        </w:rPr>
        <w:t>严厉打击违法设置招投标条件等行为</w:t>
      </w:r>
      <w:r>
        <w:rPr>
          <w:rFonts w:hint="eastAsia" w:ascii="Times New Roman" w:hAnsi="Times New Roman" w:eastAsia="仿宋_GB2312" w:cs="方正仿宋_GBK"/>
          <w:b w:val="0"/>
          <w:bCs w:val="0"/>
          <w:color w:val="auto"/>
          <w:highlight w:val="none"/>
        </w:rPr>
        <w:t>。完善支持中小微企</w:t>
      </w:r>
      <w:r>
        <w:rPr>
          <w:rFonts w:hint="eastAsia" w:ascii="Times New Roman" w:hAnsi="Times New Roman" w:eastAsia="仿宋_GB2312" w:cs="方正仿宋_GBK"/>
          <w:b w:val="0"/>
          <w:bCs w:val="0"/>
          <w:color w:val="auto"/>
          <w:highlight w:val="none"/>
          <w:lang w:eastAsia="zh-CN"/>
        </w:rPr>
        <w:t>业发</w:t>
      </w:r>
      <w:r>
        <w:rPr>
          <w:rFonts w:hint="eastAsia" w:ascii="Times New Roman" w:hAnsi="Times New Roman" w:eastAsia="仿宋_GB2312" w:cs="方正仿宋_GBK"/>
          <w:b w:val="0"/>
          <w:bCs w:val="0"/>
          <w:color w:val="auto"/>
          <w:highlight w:val="none"/>
        </w:rPr>
        <w:t>展的政策体系，加大纾困解难力度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健全防范和化解拖欠中小企业账款长效机制。持续优化个体工商户发展的制度环境，降低经营成本，支持个体工商户转型升级为企业。依法保护民营企业产权和企业家权益，保障人身和财产安全。加强优秀企业家先进事迹和突出贡献的宣传报道，营造尊重企业家价值、鼓励企业家创新、发挥企业家作用的舆论氛围。大力弘扬企业家精神，引导企业家争做爱国敬业、守法经营、创业创新、回报社会的典范。</w:t>
      </w:r>
    </w:p>
    <w:p w14:paraId="0E1E001F">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20" w:name="_Toc27180"/>
      <w:bookmarkStart w:id="821" w:name="_Toc2991"/>
      <w:bookmarkStart w:id="822" w:name="_Toc27793"/>
      <w:bookmarkStart w:id="823" w:name="_Toc8045"/>
      <w:bookmarkStart w:id="824" w:name="_Toc3704"/>
      <w:bookmarkStart w:id="825" w:name="_Toc30542"/>
      <w:bookmarkStart w:id="826" w:name="_Toc32348"/>
      <w:bookmarkStart w:id="827" w:name="_Toc29232"/>
      <w:bookmarkStart w:id="828" w:name="_Toc18413"/>
      <w:bookmarkStart w:id="829" w:name="_Toc26319"/>
      <w:bookmarkStart w:id="830" w:name="_Toc11259"/>
      <w:bookmarkStart w:id="831" w:name="_Toc5684"/>
      <w:bookmarkStart w:id="832" w:name="_Toc27860"/>
      <w:bookmarkStart w:id="833" w:name="_Toc17826"/>
      <w:r>
        <w:rPr>
          <w:rFonts w:hint="eastAsia" w:ascii="楷体_GB2312" w:hAnsi="楷体_GB2312" w:eastAsia="楷体_GB2312" w:cs="楷体_GB2312"/>
          <w:b w:val="0"/>
          <w:bCs w:val="0"/>
          <w:color w:val="auto"/>
          <w:sz w:val="32"/>
          <w:szCs w:val="40"/>
          <w:highlight w:val="none"/>
          <w:u w:val="none"/>
          <w:lang w:val="en-US" w:eastAsia="zh-CN"/>
        </w:rPr>
        <w:t>打造市场化法治化国际化营商环境</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5E7788CC">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lang w:val="en-US" w:eastAsia="zh-CN"/>
        </w:rPr>
        <w:t>瞄准最高标准最高水平</w:t>
      </w:r>
      <w:r>
        <w:rPr>
          <w:rFonts w:hint="eastAsia" w:ascii="Times New Roman" w:hAnsi="Times New Roman" w:eastAsia="仿宋_GB2312" w:cs="方正仿宋_GBK"/>
          <w:b w:val="0"/>
          <w:bCs w:val="0"/>
          <w:color w:val="auto"/>
          <w:highlight w:val="none"/>
        </w:rPr>
        <w:t>，以市场化、法治化、国际化为导向，以</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需求和满意度为衡量标准，打造流程优、效率高、服务好的营商环境，让一流营商环境成为赤峰的金字招牌。</w:t>
      </w:r>
    </w:p>
    <w:p w14:paraId="2108264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34" w:name="_Toc4552"/>
      <w:r>
        <w:rPr>
          <w:rFonts w:hint="eastAsia" w:ascii="Times New Roman" w:hAnsi="Times New Roman" w:eastAsia="仿宋_GB2312" w:cs="方正仿宋_GBK"/>
          <w:b w:val="0"/>
          <w:bCs w:val="0"/>
          <w:color w:val="auto"/>
          <w:highlight w:val="none"/>
        </w:rPr>
        <w:t>建设公平有序的市场环境</w:t>
      </w:r>
      <w:bookmarkEnd w:id="834"/>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严格落实“全国一张清单”管理模式，加快推进高效规范、公平竞争、充分长效的统一大市场建设，清理废除妨碍统一市场和公平竞争的规定和做法，促进商品要素资源在更大范围内畅通流动，保障各类</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平等准入。完善公共资源交易管理制度，保障各类</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平等参与公共资源交易活动。规范公共资源交易平台建设，推动招标投标数字证书跨区域兼容互认共享，推进公共资源交易全流程电子化和全过程在线实时监管。建立知识产权协同保护与维权援助机制，强化行政保护与司法保护衔接，开展知识产权保护公益诉讼，依法打击冒用商标、制假售假等侵犯知识产权的行为。支持行业协会商会发展，依法规范行业协会商会的收费、评比、认证等行为。推进社会信用体系建设，</w:t>
      </w:r>
      <w:r>
        <w:rPr>
          <w:rFonts w:hint="eastAsia" w:ascii="Times New Roman" w:hAnsi="Times New Roman" w:eastAsia="仿宋_GB2312" w:cs="方正仿宋_GBK"/>
          <w:b w:val="0"/>
          <w:bCs w:val="0"/>
          <w:color w:val="auto"/>
          <w:highlight w:val="none"/>
          <w:lang w:val="en-US" w:eastAsia="zh-CN"/>
        </w:rPr>
        <w:t>推行“双随机、一公开”监管、跨部门综合监管、“互联网+监管”和包容审慎监管</w:t>
      </w:r>
      <w:r>
        <w:rPr>
          <w:rFonts w:hint="eastAsia" w:eastAsia="仿宋_GB2312" w:cs="方正仿宋_GBK"/>
          <w:b w:val="0"/>
          <w:bCs w:val="0"/>
          <w:color w:val="auto"/>
          <w:highlight w:val="none"/>
          <w:lang w:val="en-US" w:eastAsia="zh-CN"/>
        </w:rPr>
        <w:t>。严格落实国家</w:t>
      </w:r>
      <w:r>
        <w:rPr>
          <w:rFonts w:hint="eastAsia" w:ascii="Times New Roman" w:hAnsi="Times New Roman" w:eastAsia="仿宋_GB2312" w:cs="方正仿宋_GBK"/>
          <w:b w:val="0"/>
          <w:bCs w:val="0"/>
          <w:color w:val="auto"/>
          <w:highlight w:val="none"/>
        </w:rPr>
        <w:t>信用修复制度，加强信用修复引导</w:t>
      </w:r>
      <w:r>
        <w:rPr>
          <w:rFonts w:hint="eastAsia" w:eastAsia="仿宋_GB2312" w:cs="方正仿宋_GBK"/>
          <w:b w:val="0"/>
          <w:bCs w:val="0"/>
          <w:color w:val="auto"/>
          <w:highlight w:val="none"/>
          <w:lang w:val="en-US" w:eastAsia="zh-CN"/>
        </w:rPr>
        <w:t>和指导</w:t>
      </w:r>
      <w:r>
        <w:rPr>
          <w:rFonts w:hint="eastAsia" w:ascii="Times New Roman" w:hAnsi="Times New Roman" w:eastAsia="仿宋_GB2312" w:cs="方正仿宋_GBK"/>
          <w:b w:val="0"/>
          <w:bCs w:val="0"/>
          <w:color w:val="auto"/>
          <w:highlight w:val="none"/>
        </w:rPr>
        <w:t>，推进信用修复全程网办。</w:t>
      </w:r>
      <w:r>
        <w:rPr>
          <w:rFonts w:hint="eastAsia" w:eastAsia="仿宋_GB2312" w:cs="方正仿宋_GBK"/>
          <w:b w:val="0"/>
          <w:bCs w:val="0"/>
          <w:color w:val="auto"/>
          <w:highlight w:val="none"/>
          <w:lang w:val="en-US" w:eastAsia="zh-CN"/>
        </w:rPr>
        <w:t>进一步提高产品检验检测能力，加强基层基础执法能力建设，</w:t>
      </w:r>
      <w:r>
        <w:rPr>
          <w:rFonts w:hint="eastAsia" w:ascii="Times New Roman" w:hAnsi="Times New Roman" w:eastAsia="仿宋_GB2312" w:cs="方正仿宋_GBK"/>
          <w:b w:val="0"/>
          <w:bCs w:val="0"/>
          <w:color w:val="auto"/>
          <w:highlight w:val="none"/>
        </w:rPr>
        <w:t>促进</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依法诚信经营，维护市场正常秩序。建立高效、便利、有序的</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退出机制，强化</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破产、变更、注销登记的有机衔接。</w:t>
      </w:r>
    </w:p>
    <w:p w14:paraId="0D9EAC9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35" w:name="_Toc19060"/>
      <w:r>
        <w:rPr>
          <w:rFonts w:hint="eastAsia" w:ascii="Times New Roman" w:hAnsi="Times New Roman" w:eastAsia="仿宋_GB2312" w:cs="方正仿宋_GBK"/>
          <w:b w:val="0"/>
          <w:bCs w:val="0"/>
          <w:color w:val="auto"/>
          <w:highlight w:val="none"/>
        </w:rPr>
        <w:t>建设高效便捷的政务环境</w:t>
      </w:r>
      <w:bookmarkEnd w:id="835"/>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推动“蒙速办·赤诚办”政务服务再升级，推出一批“高效办成一件事”重点涉企事项，提升政务服务标准化、规范化、便利化水平。</w:t>
      </w:r>
      <w:r>
        <w:rPr>
          <w:rFonts w:hint="eastAsia" w:ascii="Times New Roman" w:hAnsi="Times New Roman" w:eastAsia="仿宋_GB2312" w:cs="方正仿宋_GBK"/>
          <w:b w:val="0"/>
          <w:bCs w:val="0"/>
          <w:color w:val="auto"/>
          <w:highlight w:val="none"/>
        </w:rPr>
        <w:t>持续深化行政审批制度改革，推动部门许可职能向一个科室集中、审批科室向政务服务大厅集中、审批事项向电子政务平台集中，加强政务服务综合性场所标准化建设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推进政务服务体系一体化建设，完善基层便民服务中心和便民服务站点功能，加强基层政务服务力量建设，推动农村牧区政务服务事项就近办理。</w:t>
      </w:r>
      <w:r>
        <w:rPr>
          <w:rFonts w:hint="eastAsia" w:ascii="Times New Roman" w:hAnsi="Times New Roman" w:eastAsia="仿宋_GB2312" w:cs="方正仿宋_GBK"/>
          <w:b w:val="0"/>
          <w:bCs w:val="0"/>
          <w:color w:val="auto"/>
          <w:highlight w:val="none"/>
          <w:lang w:val="en-US" w:eastAsia="zh-CN"/>
        </w:rPr>
        <w:t>深化</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高效办成一件事</w:t>
      </w:r>
      <w:r>
        <w:rPr>
          <w:rFonts w:hint="eastAsia" w:ascii="Times New Roman" w:hAnsi="Times New Roman" w:eastAsia="仿宋_GB2312" w:cs="方正仿宋_GBK"/>
          <w:b w:val="0"/>
          <w:bCs w:val="0"/>
          <w:color w:val="auto"/>
          <w:highlight w:val="none"/>
        </w:rPr>
        <w:t>”改革，以推动政务服务事项“一网通办”为导向，科学合理确定政务数据共享属性，保障数据质量和安全，依法共享政务数据。推进电子证照、电子印章和电子签名的应用，实现在政务服务等领域互信互认</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推进政务诚信建设，提高决策透明度和科学化水平，履行向</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依法作出的政策承诺以及依法订立的各类合同，防范化解政府失信风险，提升政府公信力。</w:t>
      </w:r>
      <w:r>
        <w:rPr>
          <w:rFonts w:hint="eastAsia" w:eastAsia="仿宋_GB2312" w:cs="方正仿宋_GBK"/>
          <w:b w:val="0"/>
          <w:bCs w:val="0"/>
          <w:color w:val="auto"/>
          <w:highlight w:val="none"/>
          <w:lang w:val="en-US" w:eastAsia="zh-CN"/>
        </w:rPr>
        <w:t>主动</w:t>
      </w:r>
      <w:r>
        <w:rPr>
          <w:rFonts w:hint="eastAsia" w:ascii="Times New Roman" w:hAnsi="Times New Roman" w:eastAsia="仿宋_GB2312" w:cs="方正仿宋_GBK"/>
          <w:b w:val="0"/>
          <w:bCs w:val="0"/>
          <w:color w:val="auto"/>
          <w:highlight w:val="none"/>
        </w:rPr>
        <w:t>落实国家、自治区制定出台的惠企政策，</w:t>
      </w:r>
      <w:r>
        <w:rPr>
          <w:rFonts w:hint="eastAsia" w:eastAsia="仿宋_GB2312" w:cs="方正仿宋_GBK"/>
          <w:b w:val="0"/>
          <w:bCs w:val="0"/>
          <w:color w:val="auto"/>
          <w:highlight w:val="none"/>
          <w:lang w:val="en-US" w:eastAsia="zh-CN"/>
        </w:rPr>
        <w:t>积极</w:t>
      </w:r>
      <w:r>
        <w:rPr>
          <w:rFonts w:hint="eastAsia" w:ascii="Times New Roman" w:hAnsi="Times New Roman" w:eastAsia="仿宋_GB2312" w:cs="方正仿宋_GBK"/>
          <w:b w:val="0"/>
          <w:bCs w:val="0"/>
          <w:color w:val="auto"/>
          <w:highlight w:val="none"/>
        </w:rPr>
        <w:t>协调解决政策落实中的问题，保证政策及时落实。建立畅通有效的政企沟通机制和常态化的</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意见征集机制，及时回应</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意见和诉求，依法帮助</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解决生产经营中的困难和问题。改进营商环境诉求受理机制，加强系统智能化建设，完善监督考评制度，提升服务和监督质效。</w:t>
      </w:r>
    </w:p>
    <w:p w14:paraId="66801D2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36" w:name="_Toc20643"/>
      <w:r>
        <w:rPr>
          <w:rFonts w:hint="eastAsia" w:ascii="Times New Roman" w:hAnsi="Times New Roman" w:eastAsia="仿宋_GB2312" w:cs="方正仿宋_GBK"/>
          <w:b w:val="0"/>
          <w:bCs w:val="0"/>
          <w:color w:val="auto"/>
          <w:highlight w:val="none"/>
        </w:rPr>
        <w:t>建设公正透明的法治环境</w:t>
      </w:r>
      <w:bookmarkEnd w:id="836"/>
      <w:r>
        <w:rPr>
          <w:rFonts w:hint="eastAsia" w:eastAsia="仿宋_GB2312" w:cs="方正仿宋_GBK"/>
          <w:b w:val="0"/>
          <w:bCs w:val="0"/>
          <w:color w:val="auto"/>
          <w:highlight w:val="none"/>
          <w:lang w:eastAsia="zh-CN"/>
        </w:rPr>
        <w:t>。</w:t>
      </w:r>
      <w:r>
        <w:rPr>
          <w:rFonts w:hint="eastAsia" w:ascii="仿宋_GB2312" w:hAnsi="仿宋_GB2312" w:eastAsia="仿宋_GB2312" w:cs="仿宋_GB2312"/>
          <w:b w:val="0"/>
          <w:bCs w:val="0"/>
          <w:sz w:val="32"/>
          <w:szCs w:val="32"/>
          <w:highlight w:val="none"/>
          <w:u w:val="none" w:color="auto"/>
          <w:lang w:val="en-US" w:eastAsia="zh-CN"/>
        </w:rPr>
        <w:t>严格执行《赤峰市优化营商环境条例》，严格规范公正文明执法，完善知识产权公共服务体系，依法保护各类经营主体产权和合法权益。</w:t>
      </w:r>
      <w:r>
        <w:rPr>
          <w:rFonts w:hint="eastAsia" w:ascii="Times New Roman" w:hAnsi="Times New Roman" w:eastAsia="仿宋_GB2312" w:cs="方正仿宋_GBK"/>
          <w:b w:val="0"/>
          <w:bCs w:val="0"/>
          <w:color w:val="auto"/>
          <w:highlight w:val="none"/>
        </w:rPr>
        <w:t>加强营商环境领域法规规章</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立改废释</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工作，增强政策稳定性和可预期性</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动态清理并公布涉企行政检查事项，规范涉企行政检查标准、程序、方式和行为，减少对</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正常生产经营活动的干扰。依法建立市场管理容错制度，加强对执法人员的培训和管理，注重非强制性行政手段的运用，完善行政执法裁量权基准。健全完善调解、行政裁决、行政复议、诉讼等有机衔接、相互协调的多元化纠纷解决机制，为</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提供高效、便捷的纠纷解决途径。畅通涉企诉讼绿色通道，深化繁简分流机制改革，强化民事、行政、刑事程序衔接，依托人民法院在线服务平台，推进全流程网上办案，为</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提供智能、便捷和公正的诉讼服务。建立常态化的企业破产工作协调联动机制，统筹解决企业破产涉及的资产处置、职工和债权人权益保护等问题</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加强队伍建设，强化内部监督，落实司法责任制和错案追究制，严格公正司法，提高司法公信力。</w:t>
      </w:r>
    </w:p>
    <w:p w14:paraId="649A7112">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837" w:name="_Toc28370"/>
      <w:bookmarkStart w:id="838" w:name="_Toc20468"/>
      <w:bookmarkStart w:id="839" w:name="_Toc5584"/>
      <w:bookmarkStart w:id="840" w:name="_Toc23218"/>
      <w:bookmarkStart w:id="841" w:name="_Toc27120"/>
      <w:bookmarkStart w:id="842" w:name="_Toc14675"/>
      <w:bookmarkStart w:id="843" w:name="_Toc11978"/>
      <w:bookmarkStart w:id="844" w:name="_Toc22062"/>
      <w:bookmarkStart w:id="845" w:name="_Toc14789"/>
      <w:bookmarkStart w:id="846" w:name="_Toc25910"/>
      <w:bookmarkStart w:id="847" w:name="_Toc22135"/>
      <w:bookmarkStart w:id="848" w:name="_Toc11540"/>
      <w:bookmarkStart w:id="849" w:name="_Toc24245"/>
      <w:bookmarkStart w:id="850" w:name="_Toc8693"/>
      <w:r>
        <w:rPr>
          <w:rFonts w:hint="eastAsia" w:ascii="黑体" w:hAnsi="黑体" w:eastAsia="黑体" w:cs="黑体"/>
          <w:b w:val="0"/>
          <w:bCs w:val="0"/>
          <w:sz w:val="32"/>
          <w:szCs w:val="32"/>
          <w:highlight w:val="none"/>
          <w:u w:val="none"/>
          <w:lang w:val="en-US" w:eastAsia="zh-CN"/>
        </w:rPr>
        <w:t>繁荣发展社会主义文化，建设文化强市</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434B819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highlight w:val="none"/>
          <w:lang w:val="en-US" w:eastAsia="zh-CN"/>
        </w:rPr>
      </w:pPr>
      <w:r>
        <w:rPr>
          <w:rFonts w:hint="eastAsia" w:eastAsia="仿宋_GB2312" w:cs="方正仿宋_GBK"/>
          <w:b w:val="0"/>
          <w:bCs w:val="0"/>
          <w:highlight w:val="none"/>
          <w:lang w:val="en-US" w:eastAsia="zh-CN"/>
        </w:rPr>
        <w:t>加强社会主义精神文明建设，</w:t>
      </w:r>
      <w:r>
        <w:rPr>
          <w:rFonts w:hint="eastAsia" w:ascii="Times New Roman" w:hAnsi="Times New Roman" w:eastAsia="仿宋_GB2312" w:cs="方正仿宋_GBK"/>
          <w:b w:val="0"/>
          <w:bCs w:val="0"/>
          <w:highlight w:val="none"/>
          <w:lang w:val="en-US" w:eastAsia="zh-CN"/>
        </w:rPr>
        <w:t>繁荣文化事业，发展文化产业，推动以文铸魂、以文化人、以文润城、以文兴业，为现代化赤峰建设提供强大思想引领力、精神凝聚力和价值感召力</w:t>
      </w:r>
      <w:r>
        <w:rPr>
          <w:rFonts w:hint="eastAsia" w:eastAsia="仿宋_GB2312" w:cs="方正仿宋_GBK"/>
          <w:b w:val="0"/>
          <w:bCs w:val="0"/>
          <w:highlight w:val="none"/>
          <w:lang w:val="en-US" w:eastAsia="zh-CN"/>
        </w:rPr>
        <w:t>。</w:t>
      </w:r>
    </w:p>
    <w:p w14:paraId="646E46DE">
      <w:pPr>
        <w:keepNext w:val="0"/>
        <w:keepLines w:val="0"/>
        <w:pageBreakBefore w:val="0"/>
        <w:widowControl/>
        <w:numPr>
          <w:ilvl w:val="0"/>
          <w:numId w:val="11"/>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51" w:name="_Toc8139"/>
      <w:bookmarkStart w:id="852" w:name="_Toc7956"/>
      <w:bookmarkStart w:id="853" w:name="_Toc18829"/>
      <w:bookmarkStart w:id="854" w:name="_Toc9244"/>
      <w:bookmarkStart w:id="855" w:name="_Toc27555"/>
      <w:bookmarkStart w:id="856" w:name="_Toc818"/>
      <w:bookmarkStart w:id="857" w:name="_Toc29025"/>
      <w:bookmarkStart w:id="858" w:name="_Toc19767"/>
      <w:bookmarkStart w:id="859" w:name="_Toc25284"/>
      <w:bookmarkStart w:id="860" w:name="_Toc7068"/>
      <w:bookmarkStart w:id="861" w:name="_Toc16453"/>
      <w:bookmarkStart w:id="862" w:name="_Toc24826"/>
      <w:bookmarkStart w:id="863" w:name="_Toc20176"/>
      <w:bookmarkStart w:id="864" w:name="_Toc30667"/>
      <w:bookmarkStart w:id="865" w:name="_Toc7494"/>
      <w:bookmarkStart w:id="866" w:name="_Toc14827"/>
      <w:bookmarkStart w:id="867" w:name="_Toc27945"/>
      <w:bookmarkStart w:id="868" w:name="_Toc21580"/>
      <w:bookmarkStart w:id="869" w:name="_Toc32135"/>
      <w:bookmarkStart w:id="870" w:name="_Toc2098"/>
      <w:bookmarkStart w:id="871" w:name="_Toc24250"/>
      <w:bookmarkStart w:id="872" w:name="_Toc8369"/>
      <w:bookmarkStart w:id="873" w:name="_Toc25823"/>
      <w:r>
        <w:rPr>
          <w:rFonts w:hint="eastAsia" w:ascii="楷体_GB2312" w:hAnsi="楷体_GB2312" w:eastAsia="楷体_GB2312" w:cs="楷体_GB2312"/>
          <w:b w:val="0"/>
          <w:bCs w:val="0"/>
          <w:color w:val="auto"/>
          <w:sz w:val="32"/>
          <w:szCs w:val="40"/>
          <w:highlight w:val="none"/>
          <w:u w:val="none"/>
          <w:lang w:val="en-US" w:eastAsia="zh-CN"/>
        </w:rPr>
        <w:t>弘扬和践行社会主义核心价值观</w:t>
      </w:r>
      <w:bookmarkEnd w:id="851"/>
      <w:bookmarkEnd w:id="852"/>
    </w:p>
    <w:p w14:paraId="2E44B2E7">
      <w:pPr>
        <w:pStyle w:val="22"/>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24" w:firstLineChars="200"/>
        <w:jc w:val="both"/>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ascii="仿宋_GB2312" w:hAnsi="仿宋_GB2312" w:eastAsia="仿宋_GB2312" w:cs="仿宋_GB2312"/>
          <w:b w:val="0"/>
          <w:bCs w:val="0"/>
          <w:kern w:val="2"/>
          <w:sz w:val="32"/>
          <w:szCs w:val="32"/>
          <w:highlight w:val="none"/>
          <w:u w:val="none" w:color="auto"/>
          <w:lang w:val="en-US" w:eastAsia="zh-CN" w:bidi="ar-SA"/>
        </w:rPr>
        <w:t>以社会主义核心价值观引领文化建设，发展壮大主流价值、主流舆论、主流文化，凝聚书写中国式现代化赤峰新篇章的强大精神力量。</w:t>
      </w:r>
    </w:p>
    <w:p w14:paraId="73DDFA1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eastAsia="仿宋_GB2312" w:cs="方正仿宋_GBK"/>
          <w:b w:val="0"/>
          <w:bCs w:val="0"/>
          <w:color w:val="auto"/>
          <w:sz w:val="32"/>
          <w:szCs w:val="32"/>
          <w:highlight w:val="none"/>
          <w:lang w:val="en-US" w:eastAsia="zh-CN"/>
        </w:rPr>
        <w:t>推动理想信念教育常态化长效化。</w:t>
      </w:r>
      <w:r>
        <w:rPr>
          <w:rFonts w:hint="eastAsia" w:ascii="仿宋_GB2312" w:hAnsi="仿宋_GB2312" w:eastAsia="仿宋_GB2312" w:cs="仿宋_GB2312"/>
          <w:b w:val="0"/>
          <w:bCs w:val="0"/>
          <w:kern w:val="2"/>
          <w:sz w:val="32"/>
          <w:szCs w:val="32"/>
          <w:highlight w:val="none"/>
          <w:u w:val="none" w:color="auto"/>
          <w:lang w:val="en-US" w:eastAsia="zh-CN" w:bidi="ar-SA"/>
        </w:rPr>
        <w:t>深化党的创新理论学习和宣传教育，坚持不懈以习近平新时代中国特色社会主义思想凝心铸魂。深入开展社会主义核心价值观宣传教育，实施新时代公民道德建设工程，加快形成适应新时代要求的思想观念、</w:t>
      </w:r>
      <w:r>
        <w:rPr>
          <w:rFonts w:hint="eastAsia" w:ascii="Times New Roman" w:hAnsi="Times New Roman" w:eastAsia="仿宋_GB2312" w:cs="方正仿宋_GBK"/>
          <w:b w:val="0"/>
          <w:bCs w:val="0"/>
          <w:kern w:val="2"/>
          <w:sz w:val="32"/>
          <w:szCs w:val="32"/>
          <w:highlight w:val="none"/>
          <w:u w:val="none" w:color="auto"/>
          <w:lang w:val="en-US" w:eastAsia="zh-CN" w:bidi="ar-SA"/>
        </w:rPr>
        <w:t>精神</w:t>
      </w:r>
      <w:r>
        <w:rPr>
          <w:rFonts w:hint="eastAsia" w:ascii="仿宋_GB2312" w:hAnsi="仿宋_GB2312" w:eastAsia="仿宋_GB2312" w:cs="仿宋_GB2312"/>
          <w:b w:val="0"/>
          <w:bCs w:val="0"/>
          <w:kern w:val="2"/>
          <w:sz w:val="32"/>
          <w:szCs w:val="32"/>
          <w:highlight w:val="none"/>
          <w:u w:val="none" w:color="auto"/>
          <w:lang w:val="en-US" w:eastAsia="zh-CN" w:bidi="ar-SA"/>
        </w:rPr>
        <w:t>面貌、文明风尚、行为规范。传承红色文化，弘扬诚信文化、廉洁文化，发挥文化养心志、育情操的作用。加强和改进思想政治工作，推进校园文化建设，用好红色资源，加强青少年理想信念教育。全力争创全国文明城市，广泛开展群众性精神文明创建活动。</w:t>
      </w:r>
    </w:p>
    <w:p w14:paraId="50585D69">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仿宋_GB2312" w:hAnsi="仿宋_GB2312" w:eastAsia="仿宋_GB2312" w:cs="仿宋_GB2312"/>
          <w:b w:val="0"/>
          <w:bCs w:val="0"/>
          <w:kern w:val="2"/>
          <w:sz w:val="32"/>
          <w:szCs w:val="32"/>
          <w:highlight w:val="none"/>
          <w:u w:val="none" w:color="auto"/>
          <w:lang w:val="en-US" w:eastAsia="zh-CN" w:bidi="ar-SA"/>
        </w:rPr>
      </w:pPr>
      <w:r>
        <w:rPr>
          <w:rFonts w:hint="eastAsia" w:eastAsia="仿宋_GB2312" w:cs="方正仿宋_GBK"/>
          <w:b w:val="0"/>
          <w:bCs w:val="0"/>
          <w:color w:val="auto"/>
          <w:sz w:val="32"/>
          <w:szCs w:val="32"/>
          <w:highlight w:val="none"/>
          <w:lang w:val="en-US" w:eastAsia="zh-CN"/>
        </w:rPr>
        <w:t>巩固壮大主流思想舆论。</w:t>
      </w:r>
      <w:r>
        <w:rPr>
          <w:rFonts w:hint="default" w:ascii="仿宋_GB2312" w:hAnsi="仿宋_GB2312" w:eastAsia="仿宋_GB2312" w:cs="仿宋_GB2312"/>
          <w:b w:val="0"/>
          <w:bCs w:val="0"/>
          <w:kern w:val="2"/>
          <w:sz w:val="32"/>
          <w:szCs w:val="32"/>
          <w:highlight w:val="none"/>
          <w:u w:val="none" w:color="auto"/>
          <w:lang w:val="en-US" w:eastAsia="zh-CN" w:bidi="ar-SA"/>
        </w:rPr>
        <w:t>深入开展习近平新时代中国特色社会主义思想宣传阐释。深化主流媒体系统性变革，提高主流舆论引导能力。加强全媒体传播体系建设，</w:t>
      </w:r>
      <w:r>
        <w:rPr>
          <w:rFonts w:hint="eastAsia" w:ascii="仿宋_GB2312" w:hAnsi="仿宋_GB2312" w:eastAsia="仿宋_GB2312" w:cs="仿宋_GB2312"/>
          <w:b w:val="0"/>
          <w:bCs w:val="0"/>
          <w:kern w:val="2"/>
          <w:sz w:val="32"/>
          <w:szCs w:val="32"/>
          <w:highlight w:val="none"/>
          <w:u w:val="none" w:color="auto"/>
          <w:lang w:val="en-US" w:eastAsia="zh-CN" w:bidi="ar-SA"/>
        </w:rPr>
        <w:t>加强融媒体中心建设，推进新闻宣传和网络舆论一体化管理。</w:t>
      </w:r>
      <w:r>
        <w:rPr>
          <w:rFonts w:hint="default" w:ascii="仿宋_GB2312" w:hAnsi="仿宋_GB2312" w:eastAsia="仿宋_GB2312" w:cs="仿宋_GB2312"/>
          <w:b w:val="0"/>
          <w:bCs w:val="0"/>
          <w:kern w:val="2"/>
          <w:sz w:val="32"/>
          <w:szCs w:val="32"/>
          <w:highlight w:val="none"/>
          <w:u w:val="none" w:color="auto"/>
          <w:lang w:val="en-US" w:eastAsia="zh-CN" w:bidi="ar-SA"/>
        </w:rPr>
        <w:t>凝聚新媒体和自媒体传播合力，建设具有传播力、引导力、影响力、公信力的全媒体传播矩阵。提升信息化条件下文化领域治理能力，培育积极健康、向上向善的网络文化，共建网上美好精神家园。健全网络综合治理体系，加强网络内容建设和管理，推进新闻宣传和网络舆论一体化管理。</w:t>
      </w:r>
    </w:p>
    <w:p w14:paraId="4F6CEF7E">
      <w:pPr>
        <w:keepNext w:val="0"/>
        <w:keepLines w:val="0"/>
        <w:pageBreakBefore w:val="0"/>
        <w:widowControl/>
        <w:numPr>
          <w:ilvl w:val="0"/>
          <w:numId w:val="11"/>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74" w:name="_Toc25689"/>
      <w:bookmarkStart w:id="875" w:name="_Toc19705"/>
      <w:r>
        <w:rPr>
          <w:rFonts w:hint="eastAsia" w:ascii="楷体_GB2312" w:hAnsi="楷体_GB2312" w:eastAsia="楷体_GB2312" w:cs="楷体_GB2312"/>
          <w:b w:val="0"/>
          <w:bCs w:val="0"/>
          <w:color w:val="auto"/>
          <w:sz w:val="32"/>
          <w:szCs w:val="40"/>
          <w:highlight w:val="none"/>
          <w:u w:val="none"/>
          <w:lang w:val="en-US" w:eastAsia="zh-CN"/>
        </w:rPr>
        <w:t>保护传承弘扬中华优秀传统文化</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63ECF56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highlight w:val="none"/>
          <w:lang w:val="en-US" w:eastAsia="zh-CN"/>
        </w:rPr>
        <w:t>贯彻落实保护第一、加强管理、挖掘价值、有效利用、让文物活起来的工作要求，系统推进文化遗产的保护、研究、阐释、展示和利用。</w:t>
      </w:r>
    </w:p>
    <w:p w14:paraId="7CDF873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highlight w:val="none"/>
          <w:lang w:val="en-US" w:eastAsia="zh-CN"/>
        </w:rPr>
      </w:pPr>
      <w:bookmarkStart w:id="876" w:name="_Toc31885"/>
      <w:r>
        <w:rPr>
          <w:rFonts w:hint="eastAsia" w:eastAsia="仿宋_GB2312" w:cs="方正仿宋_GBK"/>
          <w:b w:val="0"/>
          <w:bCs w:val="0"/>
          <w:color w:val="auto"/>
          <w:sz w:val="32"/>
          <w:szCs w:val="32"/>
          <w:highlight w:val="none"/>
          <w:lang w:val="en-US" w:eastAsia="zh-CN"/>
        </w:rPr>
        <w:t>完善文物资源管理制度</w:t>
      </w:r>
      <w:bookmarkEnd w:id="876"/>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highlight w:val="none"/>
          <w:lang w:val="en-US" w:eastAsia="zh-CN"/>
        </w:rPr>
        <w:t>加强各级文物保护单位“四有”档案整理和规划编制及公布工作</w:t>
      </w:r>
      <w:r>
        <w:rPr>
          <w:rFonts w:hint="eastAsia" w:eastAsia="仿宋_GB2312" w:cs="方正仿宋_GBK"/>
          <w:b w:val="0"/>
          <w:bCs w:val="0"/>
          <w:highlight w:val="none"/>
          <w:lang w:val="en-US" w:eastAsia="zh-CN"/>
        </w:rPr>
        <w:t>。实施</w:t>
      </w:r>
      <w:r>
        <w:rPr>
          <w:rFonts w:hint="eastAsia" w:ascii="Times New Roman" w:hAnsi="Times New Roman" w:eastAsia="仿宋_GB2312" w:cs="方正仿宋_GBK"/>
          <w:b w:val="0"/>
          <w:bCs w:val="0"/>
          <w:highlight w:val="none"/>
          <w:lang w:val="en-US" w:eastAsia="zh-CN"/>
        </w:rPr>
        <w:t>博物馆展陈工程，加快敖汉博物馆、辽中京博物馆等展陈展示工作。加强文化遗产保护利用，推动红山文化遗址、辽代上京城和祖陵遗址申报世界文化遗产。</w:t>
      </w:r>
      <w:r>
        <w:rPr>
          <w:rFonts w:hint="eastAsia" w:eastAsia="仿宋_GB2312" w:cs="方正仿宋_GBK"/>
          <w:b w:val="0"/>
          <w:bCs w:val="0"/>
          <w:highlight w:val="none"/>
          <w:lang w:val="en-US" w:eastAsia="zh-CN"/>
        </w:rPr>
        <w:t>加强</w:t>
      </w:r>
      <w:r>
        <w:rPr>
          <w:rFonts w:hint="eastAsia" w:ascii="Times New Roman" w:hAnsi="Times New Roman" w:eastAsia="仿宋_GB2312" w:cs="方正仿宋_GBK"/>
          <w:b w:val="0"/>
          <w:bCs w:val="0"/>
          <w:highlight w:val="none"/>
          <w:lang w:val="en-US" w:eastAsia="zh-CN"/>
        </w:rPr>
        <w:t>长城保护，持续开展石窟寺</w:t>
      </w:r>
      <w:r>
        <w:rPr>
          <w:rFonts w:hint="eastAsia" w:eastAsia="仿宋_GB2312" w:cs="方正仿宋_GBK"/>
          <w:b w:val="0"/>
          <w:bCs w:val="0"/>
          <w:highlight w:val="none"/>
          <w:lang w:val="en-US" w:eastAsia="zh-CN"/>
        </w:rPr>
        <w:t>和岩画</w:t>
      </w:r>
      <w:r>
        <w:rPr>
          <w:rFonts w:hint="eastAsia" w:ascii="Times New Roman" w:hAnsi="Times New Roman" w:eastAsia="仿宋_GB2312" w:cs="方正仿宋_GBK"/>
          <w:b w:val="0"/>
          <w:bCs w:val="0"/>
          <w:highlight w:val="none"/>
          <w:lang w:val="en-US" w:eastAsia="zh-CN"/>
        </w:rPr>
        <w:t>保护利用工作。开展</w:t>
      </w:r>
      <w:r>
        <w:rPr>
          <w:rFonts w:hint="eastAsia" w:eastAsia="仿宋_GB2312" w:cs="方正仿宋_GBK"/>
          <w:b w:val="0"/>
          <w:bCs w:val="0"/>
          <w:highlight w:val="none"/>
          <w:lang w:val="en-US" w:eastAsia="zh-CN"/>
        </w:rPr>
        <w:t>国家</w:t>
      </w:r>
      <w:r>
        <w:rPr>
          <w:rFonts w:hint="eastAsia" w:ascii="Times New Roman" w:hAnsi="Times New Roman" w:eastAsia="仿宋_GB2312" w:cs="方正仿宋_GBK"/>
          <w:b w:val="0"/>
          <w:bCs w:val="0"/>
          <w:highlight w:val="none"/>
          <w:lang w:val="en-US" w:eastAsia="zh-CN"/>
        </w:rPr>
        <w:t>考古遗址公园申报及建设工作，推动建设红山后遗址国家考古遗址公园和魏家窝铺遗址国家考古遗址公园。</w:t>
      </w:r>
      <w:r>
        <w:rPr>
          <w:rFonts w:hint="eastAsia" w:eastAsia="仿宋_GB2312" w:cs="方正仿宋_GBK"/>
          <w:b w:val="0"/>
          <w:bCs w:val="0"/>
          <w:highlight w:val="none"/>
          <w:lang w:val="en-US" w:eastAsia="zh-CN"/>
        </w:rPr>
        <w:t>加强历史文化街区保护和活态传承。</w:t>
      </w:r>
    </w:p>
    <w:p w14:paraId="6A6D92A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877" w:name="_Toc31134"/>
      <w:r>
        <w:rPr>
          <w:rFonts w:hint="eastAsia" w:ascii="Times New Roman" w:hAnsi="Times New Roman" w:eastAsia="仿宋_GB2312" w:cs="方正仿宋_GBK"/>
          <w:b w:val="0"/>
          <w:bCs w:val="0"/>
          <w:color w:val="auto"/>
          <w:highlight w:val="none"/>
          <w:lang w:val="en-US" w:eastAsia="zh-CN"/>
        </w:rPr>
        <w:t>打造红山文化重要标识</w:t>
      </w:r>
      <w:bookmarkEnd w:id="877"/>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大力传承弘扬红山文化，实施红山文化遗产保护利用工程，推动红山文化系统性保护。开展红山文化遗址突出普遍价值研究和提炼，健全红山文化研究体系。围绕红山文化遗产价值阐释，设立红山文化重点研究选题，推出一批具有重大影响力的权威性研究成果，开展图书、影视等文艺形式的艺术创作。研发红山文化创意产品，推出红山文化主题游径，讲好红山文化故事，实施红山文化主题文旅街区项目。举办具有影响力的红山文化展览及论坛、研讨会等，扩大红山文化的传播力和影响力。</w:t>
      </w:r>
    </w:p>
    <w:p w14:paraId="5AF2002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878" w:name="_Toc18335"/>
      <w:r>
        <w:rPr>
          <w:rFonts w:hint="eastAsia" w:ascii="Times New Roman" w:hAnsi="Times New Roman" w:eastAsia="仿宋_GB2312" w:cs="方正仿宋_GBK"/>
          <w:b w:val="0"/>
          <w:bCs w:val="0"/>
          <w:color w:val="auto"/>
          <w:highlight w:val="none"/>
          <w:lang w:val="en-US" w:eastAsia="zh-CN"/>
        </w:rPr>
        <w:t>深化辽文化保护与展示</w:t>
      </w:r>
      <w:bookmarkEnd w:id="878"/>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深入挖掘和整合巴林左旗、宁城县</w:t>
      </w:r>
      <w:r>
        <w:rPr>
          <w:rFonts w:hint="eastAsia" w:eastAsia="仿宋_GB2312" w:cs="方正仿宋_GBK"/>
          <w:b w:val="0"/>
          <w:bCs w:val="0"/>
          <w:highlight w:val="none"/>
          <w:lang w:val="en-US" w:eastAsia="zh-CN"/>
        </w:rPr>
        <w:t>、巴林右旗</w:t>
      </w:r>
      <w:r>
        <w:rPr>
          <w:rFonts w:hint="eastAsia" w:ascii="Times New Roman" w:hAnsi="Times New Roman" w:eastAsia="仿宋_GB2312" w:cs="方正仿宋_GBK"/>
          <w:b w:val="0"/>
          <w:bCs w:val="0"/>
          <w:highlight w:val="none"/>
          <w:lang w:val="en-US" w:eastAsia="zh-CN"/>
        </w:rPr>
        <w:t>辽文化资源，实施辽文化遗址保护展示工程，推动辽中京文化遗址公园、辽祖州祖陵考古遗址公园建设，做好遗址考古发掘展示，打造集遗址保护展示、考古体验、休闲娱乐等功能于一体的考古遗址公园。启动辽上京</w:t>
      </w:r>
      <w:r>
        <w:rPr>
          <w:rFonts w:hint="eastAsia" w:eastAsia="仿宋_GB2312" w:cs="方正仿宋_GBK"/>
          <w:b w:val="0"/>
          <w:bCs w:val="0"/>
          <w:highlight w:val="none"/>
          <w:lang w:val="en-US" w:eastAsia="zh-CN"/>
        </w:rPr>
        <w:t>城和</w:t>
      </w:r>
      <w:r>
        <w:rPr>
          <w:rFonts w:hint="eastAsia" w:ascii="Times New Roman" w:hAnsi="Times New Roman" w:eastAsia="仿宋_GB2312" w:cs="方正仿宋_GBK"/>
          <w:b w:val="0"/>
          <w:bCs w:val="0"/>
          <w:highlight w:val="none"/>
          <w:lang w:val="en-US" w:eastAsia="zh-CN"/>
        </w:rPr>
        <w:t>祖陵</w:t>
      </w:r>
      <w:r>
        <w:rPr>
          <w:rFonts w:hint="eastAsia" w:eastAsia="仿宋_GB2312" w:cs="方正仿宋_GBK"/>
          <w:b w:val="0"/>
          <w:bCs w:val="0"/>
          <w:highlight w:val="none"/>
          <w:lang w:val="en-US" w:eastAsia="zh-CN"/>
        </w:rPr>
        <w:t>遗址</w:t>
      </w:r>
      <w:r>
        <w:rPr>
          <w:rFonts w:hint="eastAsia" w:ascii="Times New Roman" w:hAnsi="Times New Roman" w:eastAsia="仿宋_GB2312" w:cs="方正仿宋_GBK"/>
          <w:b w:val="0"/>
          <w:bCs w:val="0"/>
          <w:highlight w:val="none"/>
          <w:lang w:val="en-US" w:eastAsia="zh-CN"/>
        </w:rPr>
        <w:t>联合</w:t>
      </w:r>
      <w:r>
        <w:rPr>
          <w:rFonts w:hint="eastAsia" w:eastAsia="仿宋_GB2312" w:cs="方正仿宋_GBK"/>
          <w:b w:val="0"/>
          <w:bCs w:val="0"/>
          <w:highlight w:val="none"/>
          <w:lang w:val="en-US" w:eastAsia="zh-CN"/>
        </w:rPr>
        <w:t>申报</w:t>
      </w:r>
      <w:r>
        <w:rPr>
          <w:rFonts w:hint="eastAsia" w:ascii="Times New Roman" w:hAnsi="Times New Roman" w:eastAsia="仿宋_GB2312" w:cs="方正仿宋_GBK"/>
          <w:b w:val="0"/>
          <w:bCs w:val="0"/>
          <w:highlight w:val="none"/>
          <w:lang w:val="en-US" w:eastAsia="zh-CN"/>
        </w:rPr>
        <w:t>世界文化遗产，推动区域文化遗产集中连片保护。充分挖掘辽文化在推动各民族交往交流交融过程中的重要作用，讲好中华民族共同体形成发展的赤峰故事。</w:t>
      </w:r>
    </w:p>
    <w:p w14:paraId="78F4DF0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879" w:name="_Toc27438"/>
      <w:r>
        <w:rPr>
          <w:rFonts w:hint="eastAsia" w:ascii="Times New Roman" w:hAnsi="Times New Roman" w:eastAsia="仿宋_GB2312" w:cs="方正仿宋_GBK"/>
          <w:b w:val="0"/>
          <w:bCs w:val="0"/>
          <w:color w:val="auto"/>
          <w:highlight w:val="none"/>
          <w:lang w:val="en-US" w:eastAsia="zh-CN"/>
        </w:rPr>
        <w:t>加强革命文物保护与展示</w:t>
      </w:r>
      <w:bookmarkEnd w:id="879"/>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全面加强革命文物保护，保护好、管理好、运用好革命文物，实施一批革命旧址保护修缮工程和馆藏革命文物保护修复重点项目。拓展革命文物利用途径，改进创新红色旅游宣讲和展陈方式，组织开展各类具有庄严感和教育意义的主题纪念活动</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推进革命旧址保护修复，重点加强柴胡栏子旧址、高桥牺牲地、古山战役旧址、陈子实纪念园、雷营子党建基地、三座店镇乌苏台洼村峰水山党支部旧址、平庄侵华日军飞机库旧址等</w:t>
      </w:r>
      <w:r>
        <w:rPr>
          <w:rFonts w:hint="eastAsia" w:eastAsia="仿宋_GB2312" w:cs="方正仿宋_GBK"/>
          <w:b w:val="0"/>
          <w:bCs w:val="0"/>
          <w:highlight w:val="none"/>
          <w:lang w:val="en-US" w:eastAsia="zh-CN"/>
        </w:rPr>
        <w:t>保护和修复</w:t>
      </w:r>
      <w:r>
        <w:rPr>
          <w:rFonts w:hint="eastAsia" w:ascii="Times New Roman" w:hAnsi="Times New Roman" w:eastAsia="仿宋_GB2312" w:cs="方正仿宋_GBK"/>
          <w:b w:val="0"/>
          <w:bCs w:val="0"/>
          <w:highlight w:val="none"/>
          <w:lang w:val="en-US" w:eastAsia="zh-CN"/>
        </w:rPr>
        <w:t>。</w:t>
      </w:r>
    </w:p>
    <w:p w14:paraId="48C242E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方正仿宋_GBK" w:cs="方正仿宋_GBK"/>
          <w:b w:val="0"/>
          <w:bCs w:val="0"/>
          <w:highlight w:val="none"/>
          <w:lang w:val="en-US" w:eastAsia="zh-CN"/>
        </w:rPr>
      </w:pPr>
      <w:bookmarkStart w:id="880" w:name="_Toc2160"/>
      <w:r>
        <w:rPr>
          <w:rFonts w:hint="eastAsia" w:ascii="Times New Roman" w:hAnsi="Times New Roman" w:eastAsia="仿宋_GB2312" w:cs="方正仿宋_GBK"/>
          <w:b w:val="0"/>
          <w:bCs w:val="0"/>
          <w:color w:val="auto"/>
          <w:highlight w:val="none"/>
          <w:lang w:val="en-US" w:eastAsia="zh-CN"/>
        </w:rPr>
        <w:t>加强非物质文化遗产保护传承</w:t>
      </w:r>
      <w:bookmarkEnd w:id="880"/>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持续加大非物质文化遗产保护力度，完善国家、自治区、市、县四级非遗名录体系，做好非遗资源普查、记录和建档工作。实施非遗传承人研修培训计划，扩大传承队伍。推动传统工艺振兴，支持蒙古族服饰、刺绣、银器制作等传统工艺</w:t>
      </w:r>
      <w:r>
        <w:rPr>
          <w:rFonts w:hint="eastAsia" w:eastAsia="仿宋_GB2312" w:cs="方正仿宋_GBK"/>
          <w:b w:val="0"/>
          <w:bCs w:val="0"/>
          <w:highlight w:val="none"/>
          <w:lang w:val="en-US" w:eastAsia="zh-CN"/>
        </w:rPr>
        <w:t>类非遗项目融入</w:t>
      </w:r>
      <w:r>
        <w:rPr>
          <w:rFonts w:hint="eastAsia" w:ascii="Times New Roman" w:hAnsi="Times New Roman" w:eastAsia="仿宋_GB2312" w:cs="方正仿宋_GBK"/>
          <w:b w:val="0"/>
          <w:bCs w:val="0"/>
          <w:highlight w:val="none"/>
          <w:lang w:val="en-US" w:eastAsia="zh-CN"/>
        </w:rPr>
        <w:t>现代生活，培育具有民族特色的</w:t>
      </w:r>
      <w:r>
        <w:rPr>
          <w:rFonts w:hint="eastAsia" w:eastAsia="仿宋_GB2312" w:cs="方正仿宋_GBK"/>
          <w:b w:val="0"/>
          <w:bCs w:val="0"/>
          <w:highlight w:val="none"/>
          <w:lang w:val="en-US" w:eastAsia="zh-CN"/>
        </w:rPr>
        <w:t>非遗</w:t>
      </w:r>
      <w:r>
        <w:rPr>
          <w:rFonts w:hint="eastAsia" w:ascii="Times New Roman" w:hAnsi="Times New Roman" w:eastAsia="仿宋_GB2312" w:cs="方正仿宋_GBK"/>
          <w:b w:val="0"/>
          <w:bCs w:val="0"/>
          <w:highlight w:val="none"/>
          <w:lang w:val="en-US" w:eastAsia="zh-CN"/>
        </w:rPr>
        <w:t>手工艺品牌。保护传承好</w:t>
      </w:r>
      <w:r>
        <w:rPr>
          <w:rFonts w:hint="eastAsia" w:eastAsia="仿宋_GB2312" w:cs="方正仿宋_GBK"/>
          <w:b w:val="0"/>
          <w:bCs w:val="0"/>
          <w:highlight w:val="none"/>
          <w:lang w:val="en-US" w:eastAsia="zh-CN"/>
        </w:rPr>
        <w:t>格斯尔、巴林石雕</w:t>
      </w:r>
      <w:r>
        <w:rPr>
          <w:rFonts w:hint="eastAsia" w:ascii="Times New Roman" w:hAnsi="Times New Roman" w:eastAsia="仿宋_GB2312" w:cs="方正仿宋_GBK"/>
          <w:b w:val="0"/>
          <w:bCs w:val="0"/>
          <w:highlight w:val="none"/>
          <w:lang w:val="en-US" w:eastAsia="zh-CN"/>
        </w:rPr>
        <w:t>等</w:t>
      </w:r>
      <w:r>
        <w:rPr>
          <w:rFonts w:hint="eastAsia" w:eastAsia="仿宋_GB2312" w:cs="方正仿宋_GBK"/>
          <w:b w:val="0"/>
          <w:bCs w:val="0"/>
          <w:highlight w:val="none"/>
          <w:lang w:val="en-US" w:eastAsia="zh-CN"/>
        </w:rPr>
        <w:t>重点</w:t>
      </w:r>
      <w:r>
        <w:rPr>
          <w:rFonts w:hint="eastAsia" w:ascii="Times New Roman" w:hAnsi="Times New Roman" w:eastAsia="仿宋_GB2312" w:cs="方正仿宋_GBK"/>
          <w:b w:val="0"/>
          <w:bCs w:val="0"/>
          <w:highlight w:val="none"/>
          <w:lang w:val="en-US" w:eastAsia="zh-CN"/>
        </w:rPr>
        <w:t>非遗项目。推动国家级农牧文化（赤峰）生态保护实验区建设。</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5C67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A33134E">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15 文化传承创新</w:t>
            </w:r>
            <w:r>
              <w:rPr>
                <w:rFonts w:hint="eastAsia" w:ascii="Times New Roman" w:hAnsi="Times New Roman" w:eastAsia="仿宋_GB2312" w:cs="Times New Roman"/>
                <w:b w:val="0"/>
                <w:bCs w:val="0"/>
                <w:sz w:val="24"/>
                <w:highlight w:val="none"/>
              </w:rPr>
              <w:t>重大工程</w:t>
            </w:r>
          </w:p>
        </w:tc>
      </w:tr>
      <w:tr w14:paraId="2C8E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16F02BB9">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实施文化遗产系统保护工程，重点推进红山遗址、辽上京遗址等重点文化遗产系统保护与建设，开展辽祖陵黑龙门遗址等保护性展示工作，保护修复喀喇沁亲王府等文化遗产。充分运用数字化手段展示格斯尔等非物质文化遗产。</w:t>
            </w:r>
          </w:p>
        </w:tc>
      </w:tr>
    </w:tbl>
    <w:p w14:paraId="07F427AC">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6FF0E860">
      <w:pPr>
        <w:keepNext w:val="0"/>
        <w:keepLines w:val="0"/>
        <w:pageBreakBefore w:val="0"/>
        <w:widowControl/>
        <w:numPr>
          <w:ilvl w:val="0"/>
          <w:numId w:val="11"/>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81" w:name="_Toc12249"/>
      <w:bookmarkStart w:id="882" w:name="_Toc21589"/>
      <w:bookmarkStart w:id="883" w:name="_Toc25592"/>
      <w:bookmarkStart w:id="884" w:name="_Toc27775"/>
      <w:bookmarkStart w:id="885" w:name="_Toc2464"/>
      <w:bookmarkStart w:id="886" w:name="_Toc14835"/>
      <w:bookmarkStart w:id="887" w:name="_Toc16217"/>
      <w:bookmarkStart w:id="888" w:name="_Toc29943"/>
      <w:bookmarkStart w:id="889" w:name="_Toc3031"/>
      <w:bookmarkStart w:id="890" w:name="_Toc660"/>
      <w:bookmarkStart w:id="891" w:name="_Toc22819"/>
      <w:bookmarkStart w:id="892" w:name="_Toc23940"/>
      <w:bookmarkStart w:id="893" w:name="_Toc16587"/>
      <w:bookmarkStart w:id="894" w:name="_Toc10576"/>
      <w:bookmarkStart w:id="895" w:name="_Toc1431"/>
      <w:bookmarkStart w:id="896" w:name="_Toc19172"/>
      <w:bookmarkStart w:id="897" w:name="_Toc24447"/>
      <w:bookmarkStart w:id="898" w:name="_Toc23198"/>
      <w:bookmarkStart w:id="899" w:name="_Toc15937"/>
      <w:bookmarkStart w:id="900" w:name="_Toc10930"/>
      <w:bookmarkStart w:id="901" w:name="_Toc11925"/>
      <w:bookmarkStart w:id="902" w:name="_Toc12620"/>
      <w:bookmarkStart w:id="903" w:name="_Toc1549"/>
      <w:r>
        <w:rPr>
          <w:rFonts w:hint="eastAsia" w:ascii="楷体_GB2312" w:hAnsi="楷体_GB2312" w:eastAsia="楷体_GB2312" w:cs="楷体_GB2312"/>
          <w:b w:val="0"/>
          <w:bCs w:val="0"/>
          <w:color w:val="auto"/>
          <w:sz w:val="32"/>
          <w:szCs w:val="40"/>
          <w:highlight w:val="none"/>
          <w:u w:val="none"/>
          <w:lang w:val="en-US" w:eastAsia="zh-CN"/>
        </w:rPr>
        <w:t>推动文化事业繁荣发展</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2F2F63E9">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spacing w:val="-6"/>
          <w:highlight w:val="none"/>
          <w:lang w:val="en-US" w:eastAsia="zh-CN"/>
        </w:rPr>
      </w:pPr>
      <w:r>
        <w:rPr>
          <w:rFonts w:hint="eastAsia" w:ascii="Times New Roman" w:hAnsi="Times New Roman" w:eastAsia="仿宋_GB2312" w:cs="方正仿宋_GBK"/>
          <w:b w:val="0"/>
          <w:bCs w:val="0"/>
          <w:highlight w:val="none"/>
          <w:lang w:val="en-US" w:eastAsia="zh-CN"/>
        </w:rPr>
        <w:t>坚持政府主导、社会参与、重心下移、共建共享的原则，努</w:t>
      </w:r>
      <w:r>
        <w:rPr>
          <w:rFonts w:hint="eastAsia" w:ascii="Times New Roman" w:hAnsi="Times New Roman" w:eastAsia="仿宋_GB2312" w:cs="方正仿宋_GBK"/>
          <w:b w:val="0"/>
          <w:bCs w:val="0"/>
          <w:spacing w:val="-6"/>
          <w:highlight w:val="none"/>
          <w:lang w:val="en-US" w:eastAsia="zh-CN"/>
        </w:rPr>
        <w:t>力提供更高质量、更有效率、更加公平、更可持续的公共文化服务。</w:t>
      </w:r>
    </w:p>
    <w:p w14:paraId="64D3276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904" w:name="_Toc18751"/>
      <w:r>
        <w:rPr>
          <w:rFonts w:hint="eastAsia" w:ascii="Times New Roman" w:hAnsi="Times New Roman" w:eastAsia="仿宋_GB2312" w:cs="方正仿宋_GBK"/>
          <w:b w:val="0"/>
          <w:bCs w:val="0"/>
          <w:color w:val="auto"/>
          <w:highlight w:val="none"/>
          <w:lang w:val="en-US" w:eastAsia="zh-CN"/>
        </w:rPr>
        <w:t>完善公共文化设施网络</w:t>
      </w:r>
      <w:bookmarkEnd w:id="904"/>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全面落实优质文化资源直达基层机制，推进城乡公共文化服务标准化建设，提升市、旗县</w:t>
      </w:r>
      <w:r>
        <w:rPr>
          <w:rFonts w:hint="eastAsia" w:eastAsia="仿宋_GB2312" w:cs="方正仿宋_GBK"/>
          <w:b w:val="0"/>
          <w:bCs w:val="0"/>
          <w:highlight w:val="none"/>
          <w:lang w:val="en-US" w:eastAsia="zh-CN"/>
        </w:rPr>
        <w:t>（区）</w:t>
      </w:r>
      <w:r>
        <w:rPr>
          <w:rFonts w:hint="eastAsia" w:ascii="Times New Roman" w:hAnsi="Times New Roman" w:eastAsia="仿宋_GB2312" w:cs="方正仿宋_GBK"/>
          <w:b w:val="0"/>
          <w:bCs w:val="0"/>
          <w:highlight w:val="none"/>
          <w:lang w:val="en-US" w:eastAsia="zh-CN"/>
        </w:rPr>
        <w:t>、</w:t>
      </w:r>
      <w:r>
        <w:rPr>
          <w:rFonts w:hint="eastAsia" w:eastAsia="仿宋_GB2312" w:cs="方正仿宋_GBK"/>
          <w:b w:val="0"/>
          <w:bCs w:val="0"/>
          <w:highlight w:val="none"/>
          <w:lang w:val="en-US" w:eastAsia="zh-CN"/>
        </w:rPr>
        <w:t>苏木</w:t>
      </w:r>
      <w:r>
        <w:rPr>
          <w:rFonts w:hint="eastAsia" w:ascii="Times New Roman" w:hAnsi="Times New Roman" w:eastAsia="仿宋_GB2312" w:cs="方正仿宋_GBK"/>
          <w:b w:val="0"/>
          <w:bCs w:val="0"/>
          <w:highlight w:val="none"/>
          <w:lang w:val="en-US" w:eastAsia="zh-CN"/>
        </w:rPr>
        <w:t>乡镇</w:t>
      </w:r>
      <w:r>
        <w:rPr>
          <w:rFonts w:hint="eastAsia" w:eastAsia="仿宋_GB2312" w:cs="方正仿宋_GBK"/>
          <w:b w:val="0"/>
          <w:bCs w:val="0"/>
          <w:highlight w:val="none"/>
          <w:lang w:val="en-US" w:eastAsia="zh-CN"/>
        </w:rPr>
        <w:t>（街道）</w:t>
      </w:r>
      <w:r>
        <w:rPr>
          <w:rFonts w:hint="eastAsia" w:ascii="Times New Roman" w:hAnsi="Times New Roman" w:eastAsia="仿宋_GB2312" w:cs="方正仿宋_GBK"/>
          <w:b w:val="0"/>
          <w:bCs w:val="0"/>
          <w:highlight w:val="none"/>
          <w:lang w:val="en-US" w:eastAsia="zh-CN"/>
        </w:rPr>
        <w:t>三级公共文化服务设施建设。推进旗县级图书馆、文化馆总分馆制建设，推动优质资源向基层延伸。推动图书馆、文化馆等公共文化机构数字化转型升级，提升公共服务效能。鼓励因地制宜建设城市书房、乡村戏台等新型公共文化空间。推进公共文化设施与新时代文明实践中心（站</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所）融合发展。推进书香赤峰建设，形成覆盖城乡的全民阅读推广服务体系。</w:t>
      </w:r>
    </w:p>
    <w:p w14:paraId="1CF8277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905" w:name="_Toc6241"/>
      <w:r>
        <w:rPr>
          <w:rFonts w:hint="eastAsia" w:ascii="Times New Roman" w:hAnsi="Times New Roman" w:eastAsia="仿宋_GB2312" w:cs="方正仿宋_GBK"/>
          <w:b w:val="0"/>
          <w:bCs w:val="0"/>
          <w:color w:val="auto"/>
          <w:highlight w:val="none"/>
          <w:lang w:val="en-US" w:eastAsia="zh-CN"/>
        </w:rPr>
        <w:t>优化公共文化服务供给</w:t>
      </w:r>
      <w:bookmarkEnd w:id="905"/>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依托各级文化阵地，开展形式多样的群众文化活动，供给高质量公共文化产品</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繁荣互联网条件下新大众文艺。</w:t>
      </w:r>
      <w:r>
        <w:rPr>
          <w:rFonts w:hint="eastAsia" w:eastAsia="仿宋_GB2312" w:cs="方正仿宋_GBK"/>
          <w:b w:val="0"/>
          <w:bCs w:val="0"/>
          <w:highlight w:val="none"/>
          <w:lang w:val="en-US" w:eastAsia="zh-CN"/>
        </w:rPr>
        <w:t>开展</w:t>
      </w:r>
      <w:r>
        <w:rPr>
          <w:rFonts w:hint="eastAsia" w:ascii="Times New Roman" w:hAnsi="Times New Roman" w:eastAsia="仿宋_GB2312" w:cs="方正仿宋_GBK"/>
          <w:b w:val="0"/>
          <w:bCs w:val="0"/>
          <w:highlight w:val="none"/>
          <w:lang w:val="en-US" w:eastAsia="zh-CN"/>
        </w:rPr>
        <w:t>新时代文化艺术创作，实施艺术精品创优工程，推出一批精品力作。</w:t>
      </w:r>
      <w:r>
        <w:rPr>
          <w:rFonts w:hint="eastAsia" w:eastAsia="仿宋_GB2312" w:cs="方正仿宋_GBK"/>
          <w:b w:val="0"/>
          <w:bCs w:val="0"/>
          <w:highlight w:val="none"/>
          <w:lang w:val="en-US" w:eastAsia="zh-CN"/>
        </w:rPr>
        <w:t>大力发展</w:t>
      </w:r>
      <w:r>
        <w:rPr>
          <w:rFonts w:hint="eastAsia" w:ascii="Times New Roman" w:hAnsi="Times New Roman" w:eastAsia="仿宋_GB2312" w:cs="方正仿宋_GBK"/>
          <w:b w:val="0"/>
          <w:bCs w:val="0"/>
          <w:highlight w:val="none"/>
          <w:lang w:val="en-US" w:eastAsia="zh-CN"/>
        </w:rPr>
        <w:t>乌兰牧骑</w:t>
      </w:r>
      <w:r>
        <w:rPr>
          <w:rFonts w:hint="eastAsia" w:eastAsia="仿宋_GB2312" w:cs="方正仿宋_GBK"/>
          <w:b w:val="0"/>
          <w:bCs w:val="0"/>
          <w:highlight w:val="none"/>
          <w:lang w:val="en-US" w:eastAsia="zh-CN"/>
        </w:rPr>
        <w:t>事业</w:t>
      </w:r>
      <w:r>
        <w:rPr>
          <w:rFonts w:hint="eastAsia" w:ascii="Times New Roman" w:hAnsi="Times New Roman" w:eastAsia="仿宋_GB2312" w:cs="方正仿宋_GBK"/>
          <w:b w:val="0"/>
          <w:bCs w:val="0"/>
          <w:highlight w:val="none"/>
          <w:lang w:val="en-US" w:eastAsia="zh-CN"/>
        </w:rPr>
        <w:t>，打造新时期“草原文艺轻骑兵”品牌，实施基层文化品牌建设工程，着力创建乌兰牧骑惠民演出全覆盖“百团千场下基层”文化活动，深入推进民族地区文化艺术发展。健全公共文化服务需求征询和反馈机制，开展“订单式”</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“菜单式”服务，提高服务供需匹配度。深入推进“戏曲进乡村”</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“农村公益电影放映”等文化惠民工程。广泛开展“百姓大舞台”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“广场舞大赛”</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“合唱节”等群众性文化活动，激发群众文化创造活力。增加面向老年人、未成年人、残疾人、农民工等特殊群体的专项</w:t>
      </w:r>
      <w:r>
        <w:rPr>
          <w:rFonts w:hint="eastAsia" w:eastAsia="仿宋_GB2312" w:cs="方正仿宋_GBK"/>
          <w:b w:val="0"/>
          <w:bCs w:val="0"/>
          <w:highlight w:val="none"/>
          <w:lang w:val="en-US" w:eastAsia="zh-CN"/>
        </w:rPr>
        <w:t>文化</w:t>
      </w:r>
      <w:r>
        <w:rPr>
          <w:rFonts w:hint="eastAsia" w:ascii="Times New Roman" w:hAnsi="Times New Roman" w:eastAsia="仿宋_GB2312" w:cs="方正仿宋_GBK"/>
          <w:b w:val="0"/>
          <w:bCs w:val="0"/>
          <w:highlight w:val="none"/>
          <w:lang w:val="en-US" w:eastAsia="zh-CN"/>
        </w:rPr>
        <w:t>服务。加强文艺人才培养。</w:t>
      </w:r>
    </w:p>
    <w:p w14:paraId="064C72EE">
      <w:pPr>
        <w:keepNext w:val="0"/>
        <w:keepLines w:val="0"/>
        <w:pageBreakBefore w:val="0"/>
        <w:shd w:val="clear" w:color="auto" w:fill="auto"/>
        <w:kinsoku/>
        <w:wordWrap/>
        <w:topLinePunct w:val="0"/>
        <w:autoSpaceDE/>
        <w:autoSpaceDN/>
        <w:bidi w:val="0"/>
        <w:adjustRightInd/>
        <w:spacing w:line="540" w:lineRule="exact"/>
        <w:textAlignment w:val="auto"/>
        <w:rPr>
          <w:rFonts w:hint="eastAsia"/>
          <w:b w:val="0"/>
          <w:bCs w:val="0"/>
          <w:highlight w:val="none"/>
          <w:lang w:val="en-US" w:eastAsia="zh-CN"/>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03D3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0679093">
            <w:pPr>
              <w:keepNext w:val="0"/>
              <w:keepLines w:val="0"/>
              <w:pageBreakBefore w:val="0"/>
              <w:kinsoku/>
              <w:wordWrap/>
              <w:topLinePunct w:val="0"/>
              <w:autoSpaceDE/>
              <w:autoSpaceDN/>
              <w:bidi w:val="0"/>
              <w:adjustRightInd/>
              <w:spacing w:line="540" w:lineRule="exact"/>
              <w:ind w:firstLine="404" w:firstLineChars="200"/>
              <w:jc w:val="center"/>
              <w:textAlignment w:val="auto"/>
              <w:rPr>
                <w:rFonts w:ascii="Times New Roman" w:hAnsi="Times New Roman" w:eastAsia="方正仿宋_GBK" w:cs="Times New Roman"/>
                <w:b w:val="0"/>
                <w:bCs w:val="0"/>
                <w:highlight w:val="none"/>
              </w:rPr>
            </w:pPr>
            <w:r>
              <w:rPr>
                <w:rFonts w:hint="eastAsia" w:ascii="Times New Roman" w:hAnsi="Times New Roman" w:eastAsia="仿宋_GB2312" w:cs="Times New Roman"/>
                <w:b w:val="0"/>
                <w:bCs w:val="0"/>
                <w:highlight w:val="none"/>
              </w:rPr>
              <w:t>专栏</w:t>
            </w:r>
            <w:r>
              <w:rPr>
                <w:rFonts w:hint="eastAsia" w:ascii="Times New Roman" w:hAnsi="Times New Roman" w:eastAsia="仿宋_GB2312" w:cs="Times New Roman"/>
                <w:b w:val="0"/>
                <w:bCs w:val="0"/>
                <w:highlight w:val="none"/>
                <w:lang w:val="en-US" w:eastAsia="zh-CN"/>
              </w:rPr>
              <w:t>16 公共文化</w:t>
            </w:r>
            <w:r>
              <w:rPr>
                <w:rFonts w:hint="eastAsia" w:ascii="Times New Roman" w:hAnsi="Times New Roman" w:eastAsia="仿宋_GB2312" w:cs="Times New Roman"/>
                <w:b w:val="0"/>
                <w:bCs w:val="0"/>
                <w:highlight w:val="none"/>
              </w:rPr>
              <w:t>重大工程</w:t>
            </w:r>
          </w:p>
        </w:tc>
      </w:tr>
      <w:tr w14:paraId="03BF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A114E2F">
            <w:pPr>
              <w:pStyle w:val="32"/>
              <w:keepNext w:val="0"/>
              <w:keepLines w:val="0"/>
              <w:pageBreakBefore w:val="0"/>
              <w:kinsoku/>
              <w:wordWrap/>
              <w:topLinePunct w:val="0"/>
              <w:autoSpaceDE/>
              <w:autoSpaceDN/>
              <w:bidi w:val="0"/>
              <w:adjustRightInd/>
              <w:spacing w:line="540" w:lineRule="exact"/>
              <w:textAlignment w:val="auto"/>
              <w:rPr>
                <w:rFonts w:hint="default"/>
                <w:b w:val="0"/>
                <w:bCs w:val="0"/>
                <w:highlight w:val="none"/>
                <w:lang w:val="en-US" w:eastAsia="zh-CN"/>
              </w:rPr>
            </w:pPr>
            <w:r>
              <w:rPr>
                <w:rFonts w:hint="eastAsia" w:eastAsia="仿宋_GB2312"/>
                <w:b w:val="0"/>
                <w:bCs w:val="0"/>
                <w:sz w:val="21"/>
                <w:highlight w:val="none"/>
                <w:lang w:val="en-US" w:eastAsia="zh-CN"/>
              </w:rPr>
              <w:t>创新实施文化惠民工程，推动建设一批重点文化设施，推动公共图书馆、文化馆晋位升级，实施好元宝山区图书馆数智化改造、元宝山区文化馆数字化改造等工程项目；完善基层文化设施，重点实施巴林左旗基层文化阵地补短板和基层文化阵地数字化提升、敖汉旗红色文化沉浸式教育基地、元宝山区镇（乡）街标准化文化综合服务中心、宁城县社区文化综合体等工程项目。</w:t>
            </w:r>
          </w:p>
        </w:tc>
      </w:tr>
    </w:tbl>
    <w:p w14:paraId="5CA962F6">
      <w:pPr>
        <w:keepNext w:val="0"/>
        <w:keepLines w:val="0"/>
        <w:pageBreakBefore w:val="0"/>
        <w:widowControl/>
        <w:numPr>
          <w:ilvl w:val="-1"/>
          <w:numId w:val="0"/>
        </w:numPr>
        <w:kinsoku/>
        <w:wordWrap/>
        <w:topLinePunct w:val="0"/>
        <w:autoSpaceDE/>
        <w:autoSpaceDN/>
        <w:bidi w:val="0"/>
        <w:adjustRightInd/>
        <w:spacing w:before="0" w:beforeLines="-2147483648" w:after="0" w:afterLines="-2147483648" w:line="540" w:lineRule="exact"/>
        <w:jc w:val="left"/>
        <w:textAlignment w:val="auto"/>
        <w:outlineLvl w:val="9"/>
        <w:rPr>
          <w:rFonts w:hint="eastAsia"/>
          <w:b w:val="0"/>
          <w:bCs w:val="0"/>
          <w:highlight w:val="none"/>
          <w:lang w:val="en-US" w:eastAsia="zh-CN"/>
        </w:rPr>
      </w:pPr>
      <w:bookmarkStart w:id="906" w:name="_Toc6892"/>
      <w:bookmarkStart w:id="907" w:name="_Toc20386"/>
      <w:bookmarkStart w:id="908" w:name="_Toc19787"/>
      <w:bookmarkStart w:id="909" w:name="_Toc20529"/>
      <w:bookmarkStart w:id="910" w:name="_Toc23832"/>
      <w:bookmarkStart w:id="911" w:name="_Toc11178"/>
    </w:p>
    <w:p w14:paraId="046B446D">
      <w:pPr>
        <w:keepNext w:val="0"/>
        <w:keepLines w:val="0"/>
        <w:pageBreakBefore w:val="0"/>
        <w:widowControl/>
        <w:numPr>
          <w:ilvl w:val="0"/>
          <w:numId w:val="11"/>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912" w:name="_Toc3384"/>
      <w:bookmarkStart w:id="913" w:name="_Toc22024"/>
      <w:bookmarkStart w:id="914" w:name="_Toc23966"/>
      <w:bookmarkStart w:id="915" w:name="_Toc29550"/>
      <w:bookmarkStart w:id="916" w:name="_Toc29090"/>
      <w:bookmarkStart w:id="917" w:name="_Toc14108"/>
      <w:bookmarkStart w:id="918" w:name="_Toc15751"/>
      <w:bookmarkStart w:id="919" w:name="_Toc5680"/>
      <w:r>
        <w:rPr>
          <w:rFonts w:hint="eastAsia" w:ascii="楷体_GB2312" w:hAnsi="楷体_GB2312" w:eastAsia="楷体_GB2312" w:cs="楷体_GB2312"/>
          <w:b w:val="0"/>
          <w:bCs w:val="0"/>
          <w:color w:val="auto"/>
          <w:sz w:val="32"/>
          <w:szCs w:val="40"/>
          <w:highlight w:val="none"/>
          <w:u w:val="none"/>
          <w:lang w:val="en-US" w:eastAsia="zh-CN"/>
        </w:rPr>
        <w:t>推进文化产业高质量发展</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74978CC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highlight w:val="none"/>
          <w:lang w:val="en-US" w:eastAsia="zh-CN"/>
        </w:rPr>
        <w:t>坚持把社会效益放在首位、社会效益和经济效益相统一，完善文化管理体制和生产经营机制，健全文化产业体系和市场体系，将文化资源优势转变为发展优势。</w:t>
      </w:r>
    </w:p>
    <w:p w14:paraId="408F51D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color w:val="auto"/>
          <w:highlight w:val="none"/>
          <w:lang w:val="en-US" w:eastAsia="zh-CN"/>
        </w:rPr>
        <w:t>健全现代文化产业体系</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优化文化产业布局，科学规划和发展文化产业园区，促进文化产业集群化发展。大力发展非遗技艺、手工艺品制作、会展服务等文化产业，鼓励数字传媒、文化创意等新兴业态加快发展。培育壮大文化</w:t>
      </w:r>
      <w:r>
        <w:rPr>
          <w:rFonts w:hint="eastAsia" w:eastAsia="仿宋_GB2312" w:cs="方正仿宋_GBK"/>
          <w:b w:val="0"/>
          <w:bCs w:val="0"/>
          <w:highlight w:val="none"/>
          <w:lang w:val="en-US" w:eastAsia="zh-CN"/>
        </w:rPr>
        <w:t>经营主体</w:t>
      </w:r>
      <w:r>
        <w:rPr>
          <w:rFonts w:hint="eastAsia" w:ascii="Times New Roman" w:hAnsi="Times New Roman" w:eastAsia="仿宋_GB2312" w:cs="方正仿宋_GBK"/>
          <w:b w:val="0"/>
          <w:bCs w:val="0"/>
          <w:highlight w:val="none"/>
          <w:lang w:val="en-US" w:eastAsia="zh-CN"/>
        </w:rPr>
        <w:t>，推动一批文化及相关产业企业进入规模以上企业行列。加大文创产品的设计开发和销售运营，精心开发赤峰味道、赤峰服饰、赤峰记忆等系列文化产品。</w:t>
      </w:r>
    </w:p>
    <w:p w14:paraId="691E8B7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color w:val="auto"/>
          <w:highlight w:val="none"/>
          <w:lang w:val="en-US" w:eastAsia="zh-CN"/>
        </w:rPr>
        <w:t>深化文化体制机制改革</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健全党委领导、政府管理、行业自律、社会监督、企事业单位依法运营的文化管理体制和生产经营机制。推动国有文艺院团改革走上良性发展道路，实现社会效益和经济效益相统一，推动国有文艺院团呈现精品迭出、演出活跃、人才辈出、效益良好的生动局面。加大政府购买公共文化服务力度，引导社会力量参与公共文化设施运营、活动承办、服务</w:t>
      </w:r>
      <w:r>
        <w:rPr>
          <w:rFonts w:hint="eastAsia" w:eastAsia="仿宋_GB2312" w:cs="方正仿宋_GBK"/>
          <w:b w:val="0"/>
          <w:bCs w:val="0"/>
          <w:highlight w:val="none"/>
          <w:lang w:val="en-US" w:eastAsia="zh-CN"/>
        </w:rPr>
        <w:t>供给</w:t>
      </w:r>
      <w:r>
        <w:rPr>
          <w:rFonts w:hint="eastAsia" w:ascii="Times New Roman" w:hAnsi="Times New Roman" w:eastAsia="仿宋_GB2312" w:cs="方正仿宋_GBK"/>
          <w:b w:val="0"/>
          <w:bCs w:val="0"/>
          <w:highlight w:val="none"/>
          <w:lang w:val="en-US" w:eastAsia="zh-CN"/>
        </w:rPr>
        <w:t>。健全公共文化服务绩效评估制度，将群众满意度作为重要评价标准。推动公共文化服务与教育、旅游、工会、共青团、妇联等工作相结合，实现资源共享和效能提升。</w:t>
      </w:r>
    </w:p>
    <w:p w14:paraId="545AE64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920" w:name="_Toc22720"/>
      <w:bookmarkStart w:id="921" w:name="_Toc6822"/>
      <w:bookmarkStart w:id="922" w:name="_Toc31027"/>
      <w:bookmarkStart w:id="923" w:name="_Toc2754"/>
      <w:bookmarkStart w:id="924" w:name="_Toc206"/>
      <w:bookmarkStart w:id="925" w:name="_Toc15265"/>
      <w:bookmarkStart w:id="926" w:name="_Toc11715"/>
      <w:bookmarkStart w:id="927" w:name="_Toc32226"/>
      <w:bookmarkStart w:id="928" w:name="_Toc10601"/>
      <w:bookmarkStart w:id="929" w:name="_Toc28470"/>
      <w:bookmarkStart w:id="930" w:name="_Toc19483"/>
      <w:bookmarkStart w:id="931" w:name="_Toc14974"/>
      <w:bookmarkStart w:id="932" w:name="_Toc4974"/>
      <w:bookmarkStart w:id="933" w:name="_Toc30925"/>
      <w:bookmarkStart w:id="934" w:name="_Toc29976"/>
      <w:bookmarkStart w:id="935" w:name="_Toc25566"/>
      <w:bookmarkStart w:id="936" w:name="_Toc21743"/>
      <w:bookmarkStart w:id="937" w:name="_Toc23401"/>
      <w:bookmarkStart w:id="938" w:name="_Toc12697"/>
      <w:bookmarkStart w:id="939" w:name="_Toc19285"/>
      <w:bookmarkStart w:id="940" w:name="_Toc7157"/>
      <w:bookmarkStart w:id="941" w:name="_Toc28620"/>
      <w:bookmarkStart w:id="942" w:name="_Toc8704"/>
      <w:bookmarkStart w:id="943" w:name="_Toc28236"/>
      <w:bookmarkStart w:id="944" w:name="_Toc19861"/>
      <w:bookmarkStart w:id="945" w:name="_Toc9028"/>
      <w:bookmarkStart w:id="946" w:name="_Toc17486"/>
      <w:bookmarkStart w:id="947" w:name="_Toc28427"/>
      <w:bookmarkStart w:id="948" w:name="_Toc13754"/>
      <w:bookmarkStart w:id="949" w:name="_Toc20968"/>
      <w:bookmarkStart w:id="950" w:name="_Toc20325"/>
      <w:bookmarkStart w:id="951" w:name="_Toc25748"/>
      <w:bookmarkStart w:id="952" w:name="_Toc8306"/>
      <w:bookmarkStart w:id="953" w:name="_Toc14716"/>
      <w:r>
        <w:rPr>
          <w:rFonts w:hint="eastAsia" w:ascii="黑体" w:hAnsi="黑体" w:eastAsia="黑体" w:cs="黑体"/>
          <w:b w:val="0"/>
          <w:bCs w:val="0"/>
          <w:sz w:val="32"/>
          <w:szCs w:val="32"/>
          <w:highlight w:val="none"/>
          <w:u w:val="none"/>
          <w:lang w:eastAsia="zh-CN"/>
        </w:rPr>
        <w:t>统筹发展和安全，</w:t>
      </w:r>
      <w:r>
        <w:rPr>
          <w:rFonts w:hint="eastAsia" w:ascii="黑体" w:hAnsi="黑体" w:eastAsia="黑体" w:cs="黑体"/>
          <w:b w:val="0"/>
          <w:bCs w:val="0"/>
          <w:sz w:val="32"/>
          <w:szCs w:val="32"/>
          <w:highlight w:val="none"/>
          <w:u w:val="none"/>
          <w:lang w:val="en-US" w:eastAsia="zh-CN"/>
        </w:rPr>
        <w:t>建设更高水平平安赤峰</w:t>
      </w:r>
      <w:bookmarkEnd w:id="920"/>
      <w:bookmarkEnd w:id="921"/>
      <w:bookmarkEnd w:id="922"/>
      <w:bookmarkEnd w:id="923"/>
      <w:bookmarkEnd w:id="924"/>
      <w:bookmarkEnd w:id="925"/>
      <w:bookmarkEnd w:id="926"/>
      <w:bookmarkEnd w:id="927"/>
      <w:bookmarkEnd w:id="928"/>
      <w:bookmarkEnd w:id="929"/>
      <w:bookmarkEnd w:id="930"/>
      <w:bookmarkEnd w:id="931"/>
      <w:bookmarkEnd w:id="932"/>
    </w:p>
    <w:p w14:paraId="02A5F4EB">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定不移贯彻总体国家安全观，把维护国家安全贯穿于赤峰市经济社会发展各方面全过程，围绕实施北疆屏障国家安全保障能力一体化提升工程，加快国家安全体系和能力现代化建设，有效防范化解重大风险，完善社会治理体系，提升社会治理效能，以新安全格局保障新发展格局，</w:t>
      </w:r>
      <w:r>
        <w:rPr>
          <w:rFonts w:hint="eastAsia" w:eastAsia="仿宋_GB2312" w:cs="方正仿宋_GBK"/>
          <w:b w:val="0"/>
          <w:bCs w:val="0"/>
          <w:color w:val="auto"/>
          <w:highlight w:val="none"/>
          <w:lang w:val="en-US" w:eastAsia="zh-CN"/>
        </w:rPr>
        <w:t>为</w:t>
      </w:r>
      <w:r>
        <w:rPr>
          <w:rFonts w:hint="eastAsia" w:ascii="Times New Roman" w:hAnsi="Times New Roman" w:eastAsia="仿宋_GB2312" w:cs="方正仿宋_GBK"/>
          <w:b w:val="0"/>
          <w:bCs w:val="0"/>
          <w:color w:val="auto"/>
          <w:highlight w:val="none"/>
        </w:rPr>
        <w:t>筑牢祖国北疆安全稳定屏障</w:t>
      </w:r>
      <w:r>
        <w:rPr>
          <w:rFonts w:hint="eastAsia" w:eastAsia="仿宋_GB2312" w:cs="方正仿宋_GBK"/>
          <w:b w:val="0"/>
          <w:bCs w:val="0"/>
          <w:color w:val="auto"/>
          <w:highlight w:val="none"/>
          <w:lang w:val="en-US" w:eastAsia="zh-CN"/>
        </w:rPr>
        <w:t>做出更大贡献</w:t>
      </w:r>
      <w:r>
        <w:rPr>
          <w:rFonts w:hint="eastAsia" w:ascii="Times New Roman" w:hAnsi="Times New Roman" w:eastAsia="仿宋_GB2312" w:cs="方正仿宋_GBK"/>
          <w:b w:val="0"/>
          <w:bCs w:val="0"/>
          <w:color w:val="auto"/>
          <w:highlight w:val="none"/>
        </w:rPr>
        <w:t>。</w:t>
      </w:r>
    </w:p>
    <w:p w14:paraId="7FB42672">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54" w:name="_Toc5864"/>
      <w:bookmarkStart w:id="955" w:name="_Toc4959"/>
      <w:bookmarkStart w:id="956" w:name="_Toc9672"/>
      <w:bookmarkStart w:id="957" w:name="_Toc20394"/>
      <w:bookmarkStart w:id="958" w:name="_Toc9385"/>
      <w:bookmarkStart w:id="959" w:name="_Toc27254"/>
      <w:bookmarkStart w:id="960" w:name="_Toc24196"/>
      <w:bookmarkStart w:id="961" w:name="_Toc27060"/>
      <w:bookmarkStart w:id="962" w:name="_Toc10863"/>
      <w:bookmarkStart w:id="963" w:name="_Toc20323"/>
      <w:bookmarkStart w:id="964" w:name="_Toc17899"/>
      <w:bookmarkStart w:id="965" w:name="_Toc20256"/>
      <w:bookmarkStart w:id="966" w:name="_Toc13508"/>
      <w:r>
        <w:rPr>
          <w:rFonts w:hint="eastAsia" w:ascii="楷体_GB2312" w:hAnsi="楷体_GB2312" w:eastAsia="楷体_GB2312" w:cs="楷体_GB2312"/>
          <w:b w:val="0"/>
          <w:bCs w:val="0"/>
          <w:color w:val="auto"/>
          <w:sz w:val="32"/>
          <w:szCs w:val="40"/>
          <w:highlight w:val="none"/>
          <w:lang w:val="en-US" w:eastAsia="zh-CN"/>
        </w:rPr>
        <w:t>坚决维护国家政治安全</w:t>
      </w:r>
      <w:bookmarkEnd w:id="954"/>
      <w:bookmarkEnd w:id="955"/>
      <w:bookmarkEnd w:id="956"/>
      <w:bookmarkEnd w:id="957"/>
      <w:bookmarkEnd w:id="958"/>
      <w:bookmarkEnd w:id="959"/>
      <w:bookmarkEnd w:id="960"/>
      <w:bookmarkEnd w:id="961"/>
      <w:bookmarkEnd w:id="962"/>
      <w:bookmarkEnd w:id="963"/>
      <w:bookmarkEnd w:id="964"/>
      <w:bookmarkEnd w:id="965"/>
      <w:bookmarkEnd w:id="966"/>
    </w:p>
    <w:p w14:paraId="49BA69D5">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lang w:val="en-US" w:eastAsia="zh-CN"/>
        </w:rPr>
        <w:t>坚持把捍卫政治安全摆在首位，深入抓好政治安全风险隐患排查化解，坚定维护国家政权安全、制度安全、意识形态安全。坚决防范和打击各种渗透破坏颠覆活动、暴力恐怖活动、民族分裂活动、宗教极端活动和邪教活动。加强网络生态综合治理，健全完善重大舆情、突发事件舆论引导和处置机制，提升信息化时代网络舆情监测研判和应急处置、媒体应对能力。广泛开展国家安全宣传教育，加强国防动员能力建设，巩固国家安全人民防线。</w:t>
      </w:r>
    </w:p>
    <w:p w14:paraId="71972F64">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67" w:name="_Toc3951"/>
      <w:bookmarkStart w:id="968" w:name="_Toc15615"/>
      <w:bookmarkStart w:id="969" w:name="_Toc30170"/>
      <w:bookmarkStart w:id="970" w:name="_Toc6523"/>
      <w:bookmarkStart w:id="971" w:name="_Toc10181"/>
      <w:bookmarkStart w:id="972" w:name="_Toc22779"/>
      <w:bookmarkStart w:id="973" w:name="_Toc8490"/>
      <w:bookmarkStart w:id="974" w:name="_Toc26150"/>
      <w:bookmarkStart w:id="975" w:name="_Toc21756"/>
      <w:bookmarkStart w:id="976" w:name="_Toc6585"/>
      <w:bookmarkStart w:id="977" w:name="_Toc8110"/>
      <w:bookmarkStart w:id="978" w:name="_Toc16227"/>
      <w:bookmarkStart w:id="979" w:name="_Toc22444"/>
      <w:r>
        <w:rPr>
          <w:rFonts w:hint="eastAsia" w:ascii="楷体_GB2312" w:hAnsi="楷体_GB2312" w:eastAsia="楷体_GB2312" w:cs="楷体_GB2312"/>
          <w:b w:val="0"/>
          <w:bCs w:val="0"/>
          <w:color w:val="auto"/>
          <w:sz w:val="32"/>
          <w:szCs w:val="40"/>
          <w:highlight w:val="none"/>
          <w:lang w:val="en-US" w:eastAsia="zh-CN"/>
        </w:rPr>
        <w:t>抓好重点领域风险防控</w:t>
      </w:r>
      <w:bookmarkEnd w:id="967"/>
      <w:bookmarkEnd w:id="968"/>
      <w:bookmarkEnd w:id="969"/>
      <w:bookmarkEnd w:id="970"/>
      <w:bookmarkEnd w:id="971"/>
      <w:bookmarkEnd w:id="972"/>
      <w:bookmarkEnd w:id="973"/>
      <w:bookmarkEnd w:id="974"/>
      <w:bookmarkEnd w:id="975"/>
      <w:bookmarkEnd w:id="976"/>
      <w:bookmarkEnd w:id="977"/>
      <w:bookmarkEnd w:id="978"/>
      <w:bookmarkEnd w:id="979"/>
    </w:p>
    <w:p w14:paraId="5C8A595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强化经济安全风险预警、防控机制和能力建设</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加强对重点领域、重点行业、重点市场风险的动态监测和分析研判</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保障经济运行在合理区间，做好稳增长、促改革、调结构、惠民生、防风险、保稳定各项工作。构建房地产市场发展新模式，促进房地产市场平稳健康发展。健全房地产企业主体监管制度，推进“保交楼、保民生、保稳定”工作。压实政府责任，保障购房人合法权益</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建立政府债务风险防范化解长效机制和同高质量发展相适应的政府债务管理机制</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严格落实政府债务限额管理和预算管理制度，坚决遏制隐性债务增量，稳妥化解隐性债务存量。强化财政约束，优化财政支出结构，兜牢基层“三保”底线。健全政府债务风险评估和预警机制。探索市场化、法治化的债务违约处置机制。</w:t>
      </w:r>
    </w:p>
    <w:p w14:paraId="6BEF869D">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80" w:name="_Toc26185"/>
      <w:bookmarkStart w:id="981" w:name="_Toc20298"/>
      <w:bookmarkStart w:id="982" w:name="_Toc25584"/>
      <w:bookmarkStart w:id="983" w:name="_Toc27593"/>
      <w:bookmarkStart w:id="984" w:name="_Toc17118"/>
      <w:bookmarkStart w:id="985" w:name="_Toc31887"/>
      <w:bookmarkStart w:id="986" w:name="_Toc17112"/>
      <w:bookmarkStart w:id="987" w:name="_Toc4193"/>
      <w:bookmarkStart w:id="988" w:name="_Toc10366"/>
      <w:bookmarkStart w:id="989" w:name="_Toc10739"/>
      <w:bookmarkStart w:id="990" w:name="_Toc28285"/>
      <w:bookmarkStart w:id="991" w:name="_Toc13903"/>
      <w:bookmarkStart w:id="992" w:name="_Toc12057"/>
      <w:r>
        <w:rPr>
          <w:rFonts w:hint="eastAsia" w:ascii="楷体_GB2312" w:hAnsi="楷体_GB2312" w:eastAsia="楷体_GB2312" w:cs="楷体_GB2312"/>
          <w:b w:val="0"/>
          <w:bCs w:val="0"/>
          <w:color w:val="auto"/>
          <w:sz w:val="32"/>
          <w:szCs w:val="40"/>
          <w:highlight w:val="none"/>
          <w:lang w:val="en-US" w:eastAsia="zh-CN"/>
        </w:rPr>
        <w:t>加强公共安全体系建设</w:t>
      </w:r>
      <w:bookmarkEnd w:id="980"/>
      <w:bookmarkEnd w:id="981"/>
      <w:bookmarkEnd w:id="982"/>
      <w:bookmarkEnd w:id="983"/>
      <w:bookmarkEnd w:id="984"/>
      <w:bookmarkEnd w:id="985"/>
      <w:bookmarkEnd w:id="986"/>
      <w:bookmarkEnd w:id="987"/>
      <w:bookmarkEnd w:id="988"/>
      <w:bookmarkEnd w:id="989"/>
      <w:bookmarkEnd w:id="990"/>
      <w:bookmarkEnd w:id="991"/>
      <w:bookmarkEnd w:id="992"/>
    </w:p>
    <w:p w14:paraId="2BCF238D">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坚持专项治理和系统治理、综合治理、依法治理、源头治理相结合，不断提升公共安全治理水平。</w:t>
      </w:r>
    </w:p>
    <w:p w14:paraId="7ED0381D">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加强安全风险监测预警体系和突发事件隐患排查治理。健全统一指挥、专常兼备、反应灵敏、上下联动的应急管理体制。完善风险分级管控和隐患排查治理双重预防机制，对危险化学品、矿山、交通运输、建筑施工、燃气、消防等重点行业领域实行常态化风险排查专项整治。推动公共安全治理模式向事前预防转型，强化源头管控，做到关口前移、重心下移。加强多灾种和灾害链综合监测、风险早期识别和预报预警能力建设。</w:t>
      </w:r>
    </w:p>
    <w:p w14:paraId="07D3798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加强重点行业领域安全</w:t>
      </w:r>
      <w:r>
        <w:rPr>
          <w:rFonts w:hint="eastAsia" w:eastAsia="仿宋_GB2312" w:cs="方正仿宋_GBK"/>
          <w:b w:val="0"/>
          <w:bCs w:val="0"/>
          <w:color w:val="auto"/>
          <w:highlight w:val="none"/>
          <w:lang w:val="en-US" w:eastAsia="zh-CN"/>
        </w:rPr>
        <w:t>生产</w:t>
      </w:r>
      <w:r>
        <w:rPr>
          <w:rFonts w:hint="eastAsia" w:ascii="Times New Roman" w:hAnsi="Times New Roman" w:eastAsia="仿宋_GB2312" w:cs="方正仿宋_GBK"/>
          <w:b w:val="0"/>
          <w:bCs w:val="0"/>
          <w:color w:val="auto"/>
          <w:highlight w:val="none"/>
        </w:rPr>
        <w:t>监管。严格落实“三管三必须”要求，压实</w:t>
      </w:r>
      <w:r>
        <w:rPr>
          <w:rFonts w:hint="eastAsia" w:eastAsia="仿宋_GB2312" w:cs="方正仿宋_GBK"/>
          <w:b w:val="0"/>
          <w:bCs w:val="0"/>
          <w:color w:val="auto"/>
          <w:highlight w:val="none"/>
          <w:lang w:val="en-US" w:eastAsia="zh-CN"/>
        </w:rPr>
        <w:t>属地管理责任</w:t>
      </w:r>
      <w:r>
        <w:rPr>
          <w:rFonts w:hint="eastAsia" w:ascii="Times New Roman" w:hAnsi="Times New Roman" w:eastAsia="仿宋_GB2312" w:cs="方正仿宋_GBK"/>
          <w:b w:val="0"/>
          <w:bCs w:val="0"/>
          <w:color w:val="auto"/>
          <w:highlight w:val="none"/>
        </w:rPr>
        <w:t>、部门监管</w:t>
      </w:r>
      <w:r>
        <w:rPr>
          <w:rFonts w:hint="eastAsia" w:eastAsia="仿宋_GB2312" w:cs="方正仿宋_GBK"/>
          <w:b w:val="0"/>
          <w:bCs w:val="0"/>
          <w:color w:val="auto"/>
          <w:highlight w:val="none"/>
          <w:lang w:val="en-US" w:eastAsia="zh-CN"/>
        </w:rPr>
        <w:t>职责和</w:t>
      </w:r>
      <w:r>
        <w:rPr>
          <w:rFonts w:hint="eastAsia" w:ascii="Times New Roman" w:hAnsi="Times New Roman" w:eastAsia="仿宋_GB2312" w:cs="方正仿宋_GBK"/>
          <w:b w:val="0"/>
          <w:bCs w:val="0"/>
          <w:color w:val="auto"/>
          <w:highlight w:val="none"/>
        </w:rPr>
        <w:t>企业主体责任。运用信息化、智能化手段提升监管效能。加强道路交通、危险物品、大型活动、“三品一特”和新业态等重点行业领域安全监管，严防各类重特大安全事故发生。</w:t>
      </w:r>
    </w:p>
    <w:p w14:paraId="7B2F6B87">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 w:eastAsia="zh-CN"/>
        </w:rPr>
      </w:pPr>
      <w:r>
        <w:rPr>
          <w:rFonts w:hint="eastAsia" w:ascii="Times New Roman" w:hAnsi="Times New Roman" w:eastAsia="仿宋_GB2312" w:cs="方正仿宋_GBK"/>
          <w:b w:val="0"/>
          <w:bCs w:val="0"/>
          <w:color w:val="auto"/>
          <w:highlight w:val="none"/>
        </w:rPr>
        <w:t>扎实推进自然灾害</w:t>
      </w:r>
      <w:r>
        <w:rPr>
          <w:rFonts w:hint="eastAsia" w:eastAsia="仿宋_GB2312" w:cs="方正仿宋_GBK"/>
          <w:b w:val="0"/>
          <w:bCs w:val="0"/>
          <w:color w:val="auto"/>
          <w:highlight w:val="none"/>
          <w:lang w:val="en-US" w:eastAsia="zh-CN"/>
        </w:rPr>
        <w:t>应对</w:t>
      </w:r>
      <w:r>
        <w:rPr>
          <w:rFonts w:hint="eastAsia" w:ascii="Times New Roman" w:hAnsi="Times New Roman" w:eastAsia="仿宋_GB2312" w:cs="方正仿宋_GBK"/>
          <w:b w:val="0"/>
          <w:bCs w:val="0"/>
          <w:color w:val="auto"/>
          <w:highlight w:val="none"/>
        </w:rPr>
        <w:t>能力建设。</w:t>
      </w:r>
      <w:r>
        <w:rPr>
          <w:rFonts w:hint="eastAsia" w:ascii="Times New Roman" w:hAnsi="Times New Roman" w:eastAsia="仿宋_GB2312" w:cs="方正仿宋_GBK"/>
          <w:b w:val="0"/>
          <w:bCs w:val="0"/>
          <w:color w:val="auto"/>
          <w:highlight w:val="none"/>
          <w:lang w:val="en-US" w:eastAsia="zh-CN"/>
        </w:rPr>
        <w:t>加强</w:t>
      </w:r>
      <w:r>
        <w:rPr>
          <w:rFonts w:hint="eastAsia" w:eastAsia="仿宋_GB2312" w:cs="方正仿宋_GBK"/>
          <w:b w:val="0"/>
          <w:bCs w:val="0"/>
          <w:color w:val="auto"/>
          <w:highlight w:val="none"/>
          <w:lang w:val="en-US" w:eastAsia="zh-CN"/>
        </w:rPr>
        <w:t>防灾</w:t>
      </w:r>
      <w:r>
        <w:rPr>
          <w:rFonts w:hint="eastAsia" w:ascii="Times New Roman" w:hAnsi="Times New Roman" w:eastAsia="仿宋_GB2312" w:cs="方正仿宋_GBK"/>
          <w:b w:val="0"/>
          <w:bCs w:val="0"/>
          <w:color w:val="auto"/>
          <w:highlight w:val="none"/>
        </w:rPr>
        <w:t>减灾救灾</w:t>
      </w:r>
      <w:r>
        <w:rPr>
          <w:rFonts w:hint="eastAsia" w:ascii="Times New Roman" w:hAnsi="Times New Roman" w:eastAsia="仿宋_GB2312" w:cs="方正仿宋_GBK"/>
          <w:b w:val="0"/>
          <w:bCs w:val="0"/>
          <w:color w:val="auto"/>
          <w:highlight w:val="none"/>
          <w:lang w:val="en-US" w:eastAsia="zh-CN"/>
        </w:rPr>
        <w:t>能力建设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针对洪涝、干旱、森林草原火灾、地震、地质灾害、气象灾害等，完善防灾减灾工程设施，提升防灾减灾救灾能力。</w:t>
      </w:r>
      <w:r>
        <w:rPr>
          <w:rFonts w:hint="eastAsia" w:ascii="Times New Roman" w:hAnsi="Times New Roman" w:eastAsia="仿宋_GB2312" w:cs="方正仿宋_GBK"/>
          <w:b w:val="0"/>
          <w:bCs w:val="0"/>
          <w:color w:val="auto"/>
          <w:highlight w:val="none"/>
          <w:lang w:val="en" w:eastAsia="zh-CN"/>
        </w:rPr>
        <w:t>加强气象监测预报预警体系建设，健全以气象灾害预警为先导的多灾种联动响应机制，提高应对极端天气气候事件的能力。</w:t>
      </w:r>
    </w:p>
    <w:p w14:paraId="77F0565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深入推进应急管理体系和能力现代化。完善</w:t>
      </w:r>
      <w:r>
        <w:rPr>
          <w:rFonts w:hint="eastAsia" w:eastAsia="仿宋_GB2312" w:cs="方正仿宋_GBK"/>
          <w:b w:val="0"/>
          <w:bCs w:val="0"/>
          <w:color w:val="auto"/>
          <w:highlight w:val="none"/>
          <w:lang w:val="en-US" w:eastAsia="zh-CN"/>
        </w:rPr>
        <w:t>各领域</w:t>
      </w:r>
      <w:r>
        <w:rPr>
          <w:rFonts w:hint="eastAsia" w:ascii="Times New Roman" w:hAnsi="Times New Roman" w:eastAsia="仿宋_GB2312" w:cs="方正仿宋_GBK"/>
          <w:b w:val="0"/>
          <w:bCs w:val="0"/>
          <w:color w:val="auto"/>
          <w:highlight w:val="none"/>
        </w:rPr>
        <w:t>应急预案体系。加强应急管理干部队伍和能力建设。优化应急物资储备布局和调运分配机制，支持建设赤峰市应急煤炭储运基地。强化应急通信保障能力。</w:t>
      </w:r>
      <w:r>
        <w:rPr>
          <w:rFonts w:hint="eastAsia" w:ascii="Times New Roman" w:hAnsi="Times New Roman" w:eastAsia="仿宋_GB2312" w:cs="方正仿宋_GBK"/>
          <w:b w:val="0"/>
          <w:bCs w:val="0"/>
          <w:color w:val="auto"/>
          <w:highlight w:val="none"/>
          <w:lang w:eastAsia="zh-CN"/>
        </w:rPr>
        <w:t>进一步提升基层应急管理能力建设，</w:t>
      </w:r>
      <w:r>
        <w:rPr>
          <w:rFonts w:hint="eastAsia" w:ascii="Times New Roman" w:hAnsi="Times New Roman" w:eastAsia="仿宋_GB2312" w:cs="方正仿宋_GBK"/>
          <w:b w:val="0"/>
          <w:bCs w:val="0"/>
          <w:color w:val="auto"/>
          <w:highlight w:val="none"/>
          <w:lang w:val="en-US" w:eastAsia="zh-CN"/>
        </w:rPr>
        <w:t>加强</w:t>
      </w:r>
      <w:r>
        <w:rPr>
          <w:rFonts w:hint="eastAsia" w:eastAsia="仿宋_GB2312" w:cs="方正仿宋_GBK"/>
          <w:b w:val="0"/>
          <w:bCs w:val="0"/>
          <w:color w:val="auto"/>
          <w:highlight w:val="none"/>
          <w:lang w:val="en-US" w:eastAsia="zh-CN"/>
        </w:rPr>
        <w:t>基层</w:t>
      </w:r>
      <w:r>
        <w:rPr>
          <w:rFonts w:hint="eastAsia" w:ascii="Times New Roman" w:hAnsi="Times New Roman" w:eastAsia="仿宋_GB2312" w:cs="方正仿宋_GBK"/>
          <w:b w:val="0"/>
          <w:bCs w:val="0"/>
          <w:color w:val="auto"/>
          <w:highlight w:val="none"/>
          <w:lang w:eastAsia="zh-CN"/>
        </w:rPr>
        <w:t>救援队伍和应急</w:t>
      </w:r>
      <w:r>
        <w:rPr>
          <w:rFonts w:hint="eastAsia" w:eastAsia="仿宋_GB2312" w:cs="方正仿宋_GBK"/>
          <w:b w:val="0"/>
          <w:bCs w:val="0"/>
          <w:color w:val="auto"/>
          <w:highlight w:val="none"/>
          <w:lang w:val="en-US" w:eastAsia="zh-CN"/>
        </w:rPr>
        <w:t>避难</w:t>
      </w:r>
      <w:r>
        <w:rPr>
          <w:rFonts w:hint="eastAsia" w:ascii="Times New Roman" w:hAnsi="Times New Roman" w:eastAsia="仿宋_GB2312" w:cs="方正仿宋_GBK"/>
          <w:b w:val="0"/>
          <w:bCs w:val="0"/>
          <w:color w:val="auto"/>
          <w:highlight w:val="none"/>
          <w:lang w:eastAsia="zh-CN"/>
        </w:rPr>
        <w:t>场所建设，</w:t>
      </w:r>
      <w:r>
        <w:rPr>
          <w:rFonts w:hint="eastAsia" w:ascii="Times New Roman" w:hAnsi="Times New Roman" w:eastAsia="仿宋_GB2312" w:cs="方正仿宋_GBK"/>
          <w:b w:val="0"/>
          <w:bCs w:val="0"/>
          <w:color w:val="auto"/>
          <w:highlight w:val="none"/>
          <w:lang w:val="en-US" w:eastAsia="zh-CN"/>
        </w:rPr>
        <w:t>强化</w:t>
      </w:r>
      <w:r>
        <w:rPr>
          <w:rFonts w:hint="eastAsia" w:ascii="Times New Roman" w:hAnsi="Times New Roman" w:eastAsia="仿宋_GB2312" w:cs="方正仿宋_GBK"/>
          <w:b w:val="0"/>
          <w:bCs w:val="0"/>
          <w:color w:val="auto"/>
          <w:highlight w:val="none"/>
          <w:lang w:eastAsia="zh-CN"/>
        </w:rPr>
        <w:t>应急装备物资配备、应急信息化项目</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加强综合性消防救援队伍</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政府专职消防队伍和专业应急救援力量建设，支持社会应急力量发展。整合</w:t>
      </w:r>
      <w:r>
        <w:rPr>
          <w:rFonts w:hint="eastAsia" w:eastAsia="仿宋_GB2312" w:cs="方正仿宋_GBK"/>
          <w:b w:val="0"/>
          <w:bCs w:val="0"/>
          <w:color w:val="auto"/>
          <w:highlight w:val="none"/>
          <w:lang w:val="en-US" w:eastAsia="zh-CN"/>
        </w:rPr>
        <w:t>灾害</w:t>
      </w:r>
      <w:r>
        <w:rPr>
          <w:rFonts w:hint="eastAsia" w:ascii="Times New Roman" w:hAnsi="Times New Roman" w:eastAsia="仿宋_GB2312" w:cs="方正仿宋_GBK"/>
          <w:b w:val="0"/>
          <w:bCs w:val="0"/>
          <w:color w:val="auto"/>
          <w:highlight w:val="none"/>
        </w:rPr>
        <w:t>事故救援、自然灾害救援、应急指挥演练、安全生产培训考试、应急科普宣传教育、青少年研学等多种功能，建设“一专多能”的</w:t>
      </w:r>
      <w:r>
        <w:rPr>
          <w:rFonts w:hint="eastAsia" w:eastAsia="仿宋_GB2312" w:cs="方正仿宋_GBK"/>
          <w:b w:val="0"/>
          <w:bCs w:val="0"/>
          <w:color w:val="auto"/>
          <w:highlight w:val="none"/>
          <w:lang w:val="en-US" w:eastAsia="zh-CN"/>
        </w:rPr>
        <w:t>自治区</w:t>
      </w:r>
      <w:r>
        <w:rPr>
          <w:rFonts w:hint="eastAsia" w:ascii="Times New Roman" w:hAnsi="Times New Roman" w:eastAsia="仿宋_GB2312" w:cs="方正仿宋_GBK"/>
          <w:b w:val="0"/>
          <w:bCs w:val="0"/>
          <w:color w:val="auto"/>
          <w:highlight w:val="none"/>
        </w:rPr>
        <w:t>矿山应急救援</w:t>
      </w:r>
      <w:r>
        <w:rPr>
          <w:rFonts w:hint="eastAsia" w:ascii="Times New Roman" w:hAnsi="Times New Roman" w:eastAsia="仿宋_GB2312" w:cs="方正仿宋_GBK"/>
          <w:b w:val="0"/>
          <w:bCs w:val="0"/>
          <w:color w:val="auto"/>
          <w:highlight w:val="none"/>
          <w:lang w:val="en-US" w:eastAsia="zh-CN"/>
        </w:rPr>
        <w:t>综合</w:t>
      </w:r>
      <w:r>
        <w:rPr>
          <w:rFonts w:hint="eastAsia" w:ascii="Times New Roman" w:hAnsi="Times New Roman" w:eastAsia="仿宋_GB2312" w:cs="方正仿宋_GBK"/>
          <w:b w:val="0"/>
          <w:bCs w:val="0"/>
          <w:color w:val="auto"/>
          <w:highlight w:val="none"/>
        </w:rPr>
        <w:t>基地。广泛开展安全宣传教育，提升公众安全意识和自救互救能力。</w:t>
      </w:r>
    </w:p>
    <w:p w14:paraId="76DB571E">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93" w:name="_Toc7228"/>
      <w:bookmarkStart w:id="994" w:name="_Toc23665"/>
      <w:bookmarkStart w:id="995" w:name="_Toc11200"/>
      <w:bookmarkStart w:id="996" w:name="_Toc4751"/>
      <w:bookmarkStart w:id="997" w:name="_Toc31606"/>
      <w:bookmarkStart w:id="998" w:name="_Toc23798"/>
      <w:bookmarkStart w:id="999" w:name="_Toc26316"/>
      <w:bookmarkStart w:id="1000" w:name="_Toc14381"/>
      <w:bookmarkStart w:id="1001" w:name="_Toc12021"/>
      <w:bookmarkStart w:id="1002" w:name="_Toc19413"/>
      <w:bookmarkStart w:id="1003" w:name="_Toc25166"/>
      <w:bookmarkStart w:id="1004" w:name="_Toc15123"/>
      <w:bookmarkStart w:id="1005" w:name="_Toc17898"/>
      <w:r>
        <w:rPr>
          <w:rFonts w:hint="eastAsia" w:ascii="楷体_GB2312" w:hAnsi="楷体_GB2312" w:eastAsia="楷体_GB2312" w:cs="楷体_GB2312"/>
          <w:b w:val="0"/>
          <w:bCs w:val="0"/>
          <w:color w:val="auto"/>
          <w:sz w:val="32"/>
          <w:szCs w:val="40"/>
          <w:highlight w:val="none"/>
          <w:lang w:val="en-US" w:eastAsia="zh-CN"/>
        </w:rPr>
        <w:t>健全完善社会治理体系</w:t>
      </w:r>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2DD16810">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坚持系统治理、依法治理、综合治理、源头治理，完善共建共治共享的社会治理制度机制，全面提升社会治理社会化、法治化、智能化、专业化水平。</w:t>
      </w:r>
    </w:p>
    <w:p w14:paraId="75B6A42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加强新兴领域党建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开展新兴领域党建提质增效三年行动，实施“八个专项计划”，不断增强党在新兴领域的号召力凝聚力影响力。持续优化“两新”工委运行机制，落实行业党委党建工作职责，加大党建工作指导员选派力度，探索党组织和党员作用发挥的有效形式。认真落实关心关爱新就业群体服务保障措施二十条，推进全域友好场景建设，切实保障新就业群体合法权益。</w:t>
      </w:r>
    </w:p>
    <w:p w14:paraId="23DA380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筑牢基层治理根基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坚持自治、法治、德治相结合，落实村（居）民会议、村（居）民代表会议、村（居）务</w:t>
      </w:r>
      <w:r>
        <w:rPr>
          <w:rFonts w:hint="eastAsia" w:eastAsia="仿宋_GB2312" w:cs="方正仿宋_GBK"/>
          <w:b w:val="0"/>
          <w:bCs w:val="0"/>
          <w:color w:val="auto"/>
          <w:highlight w:val="none"/>
          <w:lang w:val="en-US" w:eastAsia="zh-CN"/>
        </w:rPr>
        <w:t>公示</w:t>
      </w:r>
      <w:r>
        <w:rPr>
          <w:rFonts w:hint="eastAsia" w:ascii="Times New Roman" w:hAnsi="Times New Roman" w:eastAsia="仿宋_GB2312" w:cs="方正仿宋_GBK"/>
          <w:b w:val="0"/>
          <w:bCs w:val="0"/>
          <w:color w:val="auto"/>
          <w:highlight w:val="none"/>
          <w:lang w:val="en-US" w:eastAsia="zh-CN"/>
        </w:rPr>
        <w:t>和村（居）务监督等制度，全面实施乡镇（街道）履行职责事项清单，接续优化嘎查村（社区）工作事项清单。健全村（社区）工作事项准入制度，落实未经准入工作事项倒查机制，推动基层治理观察点</w:t>
      </w:r>
      <w:r>
        <w:rPr>
          <w:rFonts w:hint="eastAsia" w:eastAsia="仿宋_GB2312" w:cs="方正仿宋_GBK"/>
          <w:b w:val="0"/>
          <w:bCs w:val="0"/>
          <w:color w:val="auto"/>
          <w:highlight w:val="none"/>
          <w:lang w:val="en-US" w:eastAsia="zh-CN"/>
        </w:rPr>
        <w:t>充分</w:t>
      </w:r>
      <w:r>
        <w:rPr>
          <w:rFonts w:hint="eastAsia" w:ascii="Times New Roman" w:hAnsi="Times New Roman" w:eastAsia="仿宋_GB2312" w:cs="方正仿宋_GBK"/>
          <w:b w:val="0"/>
          <w:bCs w:val="0"/>
          <w:color w:val="auto"/>
          <w:highlight w:val="none"/>
          <w:lang w:val="en-US" w:eastAsia="zh-CN"/>
        </w:rPr>
        <w:t>发挥作用。全面推行村党组织书记通过法定程序担任村委会主任和村级集体经济组织、合作经济组织负责人。完善基层议事协商机制，拓展多元协商形式，建立健全协商成果采纳、落实和反馈机制。坚持和发展新时代“枫桥经验”，推深做实基层“微治理”工作，提升矛盾纠纷排查化解效能。发挥居民公约、村规民约作用，加强家庭家教家风建设，促进移风易俗。强化智慧治理支撑，推动数据资源整合共享，推进智慧社区基础设施、系统平台和应用终端等建设，加强基层服务管理力量配置，完善服务经费保障，切实提升基层治理效能。</w:t>
      </w:r>
    </w:p>
    <w:p w14:paraId="4ABCC023">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深化凝聚服务群众</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健全新时代志愿服务体系，加强志愿服务法治建设，引导各类志愿服务组织规范有序发展，推进志愿服务项目精准化、常态化、便利化、品牌化建设，持续强化“赤诚相助”志愿服务品牌创建。加强社会工作者队伍建设，健全社区工作者</w:t>
      </w:r>
      <w:r>
        <w:rPr>
          <w:rFonts w:hint="eastAsia" w:eastAsia="仿宋_GB2312" w:cs="方正仿宋_GBK"/>
          <w:b w:val="0"/>
          <w:bCs w:val="0"/>
          <w:color w:val="auto"/>
          <w:highlight w:val="none"/>
          <w:lang w:val="en-US" w:eastAsia="zh-CN"/>
        </w:rPr>
        <w:t>薪酬</w:t>
      </w:r>
      <w:r>
        <w:rPr>
          <w:rFonts w:hint="eastAsia" w:ascii="Times New Roman" w:hAnsi="Times New Roman" w:eastAsia="仿宋_GB2312" w:cs="方正仿宋_GBK"/>
          <w:b w:val="0"/>
          <w:bCs w:val="0"/>
          <w:color w:val="auto"/>
          <w:highlight w:val="none"/>
          <w:lang w:val="en-US" w:eastAsia="zh-CN"/>
        </w:rPr>
        <w:t>待遇体系和绩效考核制度，引导和鼓励各类人才到城乡社区从事社会工作。强化市民热线等公共服务平台功能，探索人民建议征集、基层治理和志愿服务投诉举报与“12345”便民服务热线协同联动工作路径，推动“接诉即办”向“未诉先办”转型升级。发挥人民群众主体作用，组建特邀建议人队伍，推广人民建议征集圆桌会议制度，有序开展人民建议征集工作优秀案例评选，推动群众合理化建议转化为社会治理的政策与实践。深化信访制度改革，推进信访工作法治化，完善信访工作责任体系，全面推行信访代办制，着力推进源头预防和前端化解。</w:t>
      </w:r>
    </w:p>
    <w:p w14:paraId="5AE7B53D">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1006" w:name="_Toc12413"/>
      <w:bookmarkStart w:id="1007" w:name="_Toc14839"/>
      <w:bookmarkStart w:id="1008" w:name="_Toc17802"/>
      <w:bookmarkStart w:id="1009" w:name="_Toc10859"/>
      <w:bookmarkStart w:id="1010" w:name="_Toc27955"/>
      <w:bookmarkStart w:id="1011" w:name="_Toc12186"/>
      <w:bookmarkStart w:id="1012" w:name="_Toc26522"/>
      <w:bookmarkStart w:id="1013" w:name="_Toc20051"/>
      <w:bookmarkStart w:id="1014" w:name="_Toc19773"/>
      <w:bookmarkStart w:id="1015" w:name="_Toc18732"/>
      <w:bookmarkStart w:id="1016" w:name="_Toc30545"/>
      <w:bookmarkStart w:id="1017" w:name="_Toc26270"/>
      <w:bookmarkStart w:id="1018" w:name="_Toc3516"/>
      <w:r>
        <w:rPr>
          <w:rFonts w:hint="eastAsia" w:ascii="黑体" w:hAnsi="黑体" w:eastAsia="黑体" w:cs="黑体"/>
          <w:b w:val="0"/>
          <w:bCs w:val="0"/>
          <w:sz w:val="32"/>
          <w:szCs w:val="32"/>
          <w:highlight w:val="none"/>
          <w:u w:val="none"/>
          <w:lang w:val="en-US" w:eastAsia="zh-CN"/>
        </w:rPr>
        <w:t>切实保障和改善民生</w:t>
      </w:r>
      <w:r>
        <w:rPr>
          <w:rFonts w:hint="eastAsia" w:ascii="黑体" w:hAnsi="黑体" w:eastAsia="黑体" w:cs="黑体"/>
          <w:b w:val="0"/>
          <w:bCs w:val="0"/>
          <w:sz w:val="32"/>
          <w:szCs w:val="32"/>
          <w:highlight w:val="none"/>
          <w:u w:val="none"/>
          <w:lang w:eastAsia="zh-CN"/>
        </w:rPr>
        <w:t>，</w:t>
      </w:r>
      <w:r>
        <w:rPr>
          <w:rFonts w:hint="eastAsia" w:ascii="黑体" w:hAnsi="黑体" w:eastAsia="黑体" w:cs="黑体"/>
          <w:b w:val="0"/>
          <w:bCs w:val="0"/>
          <w:sz w:val="32"/>
          <w:szCs w:val="32"/>
          <w:highlight w:val="none"/>
          <w:u w:val="none"/>
          <w:lang w:val="en-US" w:eastAsia="zh-CN"/>
        </w:rPr>
        <w:t>扎实推进共同富裕</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58764979">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eastAsia="仿宋_GB2312" w:cs="方正仿宋_GBK"/>
          <w:b w:val="0"/>
          <w:bCs w:val="0"/>
          <w:color w:val="auto"/>
          <w:highlight w:val="none"/>
          <w:lang w:val="en-US" w:eastAsia="zh-CN"/>
        </w:rPr>
        <w:t>深入践行</w:t>
      </w:r>
      <w:r>
        <w:rPr>
          <w:rFonts w:hint="eastAsia" w:ascii="Times New Roman" w:hAnsi="Times New Roman" w:eastAsia="仿宋_GB2312" w:cs="方正仿宋_GBK"/>
          <w:b w:val="0"/>
          <w:bCs w:val="0"/>
          <w:color w:val="auto"/>
          <w:highlight w:val="none"/>
          <w:lang w:val="en-US" w:eastAsia="zh-CN"/>
        </w:rPr>
        <w:t>以人民为中心的发展思想，</w:t>
      </w:r>
      <w:r>
        <w:rPr>
          <w:rFonts w:hint="eastAsia" w:eastAsia="仿宋_GB2312" w:cs="方正仿宋_GBK"/>
          <w:b w:val="0"/>
          <w:bCs w:val="0"/>
          <w:color w:val="auto"/>
          <w:highlight w:val="none"/>
          <w:lang w:val="en-US" w:eastAsia="zh-CN"/>
        </w:rPr>
        <w:t>坚持</w:t>
      </w:r>
      <w:r>
        <w:rPr>
          <w:rFonts w:hint="eastAsia" w:ascii="Times New Roman" w:hAnsi="Times New Roman" w:eastAsia="仿宋_GB2312" w:cs="方正仿宋_GBK"/>
          <w:b w:val="0"/>
          <w:bCs w:val="0"/>
          <w:color w:val="auto"/>
          <w:highlight w:val="none"/>
          <w:lang w:val="en-US" w:eastAsia="zh-CN"/>
        </w:rPr>
        <w:t>尽力而为、量力而行，</w:t>
      </w:r>
      <w:r>
        <w:rPr>
          <w:rFonts w:hint="eastAsia" w:eastAsia="仿宋_GB2312" w:cs="方正仿宋_GBK"/>
          <w:b w:val="0"/>
          <w:bCs w:val="0"/>
          <w:color w:val="auto"/>
          <w:highlight w:val="none"/>
          <w:lang w:val="en-US" w:eastAsia="zh-CN"/>
        </w:rPr>
        <w:t>持续</w:t>
      </w:r>
      <w:r>
        <w:rPr>
          <w:rFonts w:hint="eastAsia" w:ascii="Times New Roman" w:hAnsi="Times New Roman" w:eastAsia="仿宋_GB2312" w:cs="方正仿宋_GBK"/>
          <w:b w:val="0"/>
          <w:bCs w:val="0"/>
          <w:color w:val="auto"/>
          <w:highlight w:val="none"/>
        </w:rPr>
        <w:t>增强基本公共服务均衡性和可及性，</w:t>
      </w:r>
      <w:r>
        <w:rPr>
          <w:rFonts w:hint="eastAsia" w:ascii="Times New Roman" w:hAnsi="Times New Roman" w:eastAsia="仿宋_GB2312" w:cs="方正仿宋_GBK"/>
          <w:b w:val="0"/>
          <w:bCs w:val="0"/>
          <w:color w:val="auto"/>
          <w:highlight w:val="none"/>
          <w:lang w:val="en-US" w:eastAsia="zh-CN"/>
        </w:rPr>
        <w:t>常态化办好民生实事，解决好人民群众急难愁盼问题，不断提高人民生活品质，</w:t>
      </w:r>
      <w:r>
        <w:rPr>
          <w:rFonts w:hint="eastAsia" w:ascii="Times New Roman" w:hAnsi="Times New Roman" w:eastAsia="仿宋_GB2312" w:cs="方正仿宋_GBK"/>
          <w:b w:val="0"/>
          <w:bCs w:val="0"/>
          <w:color w:val="auto"/>
          <w:highlight w:val="none"/>
        </w:rPr>
        <w:t>推动全体人民共同富裕取得实质性进展。</w:t>
      </w:r>
    </w:p>
    <w:p w14:paraId="568D07C5">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19" w:name="_Toc22498"/>
      <w:bookmarkStart w:id="1020" w:name="_Toc18792"/>
      <w:bookmarkStart w:id="1021" w:name="_Toc14900"/>
      <w:bookmarkStart w:id="1022" w:name="_Toc9167"/>
      <w:bookmarkStart w:id="1023" w:name="_Toc14491"/>
      <w:bookmarkStart w:id="1024" w:name="_Toc10655"/>
      <w:bookmarkStart w:id="1025" w:name="_Toc5510"/>
      <w:bookmarkStart w:id="1026" w:name="_Toc9989"/>
      <w:bookmarkStart w:id="1027" w:name="_Toc22958"/>
      <w:bookmarkStart w:id="1028" w:name="_Toc4228"/>
      <w:bookmarkStart w:id="1029" w:name="_Toc22549"/>
      <w:bookmarkStart w:id="1030" w:name="_Toc13770"/>
      <w:bookmarkStart w:id="1031" w:name="_Toc13219"/>
      <w:bookmarkStart w:id="1032" w:name="_Toc265"/>
      <w:r>
        <w:rPr>
          <w:rFonts w:hint="eastAsia" w:ascii="楷体_GB2312" w:hAnsi="楷体_GB2312" w:eastAsia="楷体_GB2312" w:cs="楷体_GB2312"/>
          <w:b w:val="0"/>
          <w:bCs w:val="0"/>
          <w:color w:val="auto"/>
          <w:sz w:val="32"/>
          <w:szCs w:val="40"/>
          <w:highlight w:val="none"/>
          <w:lang w:val="en-US" w:eastAsia="zh-CN"/>
        </w:rPr>
        <w:t>促进高质量充分就业</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4308D59B">
      <w:pPr>
        <w:pStyle w:val="43"/>
        <w:keepNext w:val="0"/>
        <w:keepLines w:val="0"/>
        <w:pageBreakBefore w:val="0"/>
        <w:shd w:val="clear"/>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深入实施就业优先战略，健全更加充分</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更高质量</w:t>
      </w:r>
      <w:r>
        <w:rPr>
          <w:rFonts w:hint="eastAsia" w:ascii="Times New Roman" w:hAnsi="Times New Roman" w:eastAsia="仿宋_GB2312" w:cs="方正仿宋_GBK"/>
          <w:b w:val="0"/>
          <w:bCs w:val="0"/>
          <w:color w:val="auto"/>
          <w:highlight w:val="none"/>
          <w:lang w:eastAsia="zh-CN"/>
        </w:rPr>
        <w:t>就业促进机制</w:t>
      </w:r>
      <w:r>
        <w:rPr>
          <w:rFonts w:hint="eastAsia" w:ascii="Times New Roman" w:hAnsi="Times New Roman" w:eastAsia="仿宋_GB2312" w:cs="方正仿宋_GBK"/>
          <w:b w:val="0"/>
          <w:bCs w:val="0"/>
          <w:color w:val="auto"/>
          <w:highlight w:val="none"/>
        </w:rPr>
        <w:t>，努力实现就业规模稳步扩大、就业结构持续优化、就业质量显著提升。</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十五五</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时期</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城镇新增就业</w:t>
      </w:r>
      <w:r>
        <w:rPr>
          <w:rFonts w:hint="eastAsia" w:eastAsia="仿宋_GB2312" w:cs="方正仿宋_GBK"/>
          <w:b w:val="0"/>
          <w:bCs w:val="0"/>
          <w:color w:val="auto"/>
          <w:highlight w:val="none"/>
          <w:lang w:val="en-US" w:eastAsia="zh-CN"/>
        </w:rPr>
        <w:t>累计7.5</w:t>
      </w:r>
      <w:r>
        <w:rPr>
          <w:rFonts w:hint="eastAsia" w:ascii="Times New Roman" w:hAnsi="Times New Roman" w:eastAsia="仿宋_GB2312" w:cs="方正仿宋_GBK"/>
          <w:b w:val="0"/>
          <w:bCs w:val="0"/>
          <w:color w:val="auto"/>
          <w:highlight w:val="none"/>
          <w:lang w:val="en-US" w:eastAsia="zh-CN"/>
        </w:rPr>
        <w:t>万人</w:t>
      </w:r>
      <w:r>
        <w:rPr>
          <w:rFonts w:hint="eastAsia" w:eastAsia="仿宋_GB2312" w:cs="方正仿宋_GBK"/>
          <w:b w:val="0"/>
          <w:bCs w:val="0"/>
          <w:color w:val="auto"/>
          <w:highlight w:val="none"/>
          <w:lang w:val="en-US" w:eastAsia="zh-CN"/>
        </w:rPr>
        <w:t>次</w:t>
      </w:r>
      <w:r>
        <w:rPr>
          <w:rFonts w:hint="eastAsia" w:ascii="Times New Roman" w:hAnsi="Times New Roman" w:eastAsia="仿宋_GB2312" w:cs="方正仿宋_GBK"/>
          <w:b w:val="0"/>
          <w:bCs w:val="0"/>
          <w:color w:val="auto"/>
          <w:highlight w:val="none"/>
          <w:lang w:val="en-US" w:eastAsia="zh-CN"/>
        </w:rPr>
        <w:t>。</w:t>
      </w:r>
    </w:p>
    <w:p w14:paraId="3473C2A8">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highlight w:val="none"/>
        </w:rPr>
      </w:pPr>
      <w:bookmarkStart w:id="1033" w:name="_Toc23051"/>
      <w:r>
        <w:rPr>
          <w:rFonts w:hint="eastAsia" w:ascii="Times New Roman" w:hAnsi="Times New Roman" w:eastAsia="仿宋_GB2312" w:cs="方正仿宋_GBK"/>
          <w:b w:val="0"/>
          <w:bCs w:val="0"/>
          <w:color w:val="auto"/>
          <w:highlight w:val="none"/>
          <w:lang w:val="en-US" w:eastAsia="zh-CN"/>
        </w:rPr>
        <w:t>提高产业发展就业带动能力</w:t>
      </w:r>
      <w:bookmarkEnd w:id="1033"/>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持续强化就业优先导向，把高质量充分就业作为经济社会发展的优先目标</w:t>
      </w:r>
      <w:r>
        <w:rPr>
          <w:rFonts w:hint="eastAsia" w:ascii="Times New Roman" w:hAnsi="Times New Roman" w:eastAsia="仿宋_GB2312" w:cs="方正仿宋_GBK"/>
          <w:b w:val="0"/>
          <w:bCs w:val="0"/>
          <w:color w:val="auto"/>
          <w:highlight w:val="none"/>
        </w:rPr>
        <w:t>，在</w:t>
      </w:r>
      <w:r>
        <w:rPr>
          <w:rFonts w:hint="eastAsia" w:eastAsia="仿宋_GB2312" w:cs="方正仿宋_GBK"/>
          <w:b w:val="0"/>
          <w:bCs w:val="0"/>
          <w:color w:val="auto"/>
          <w:highlight w:val="none"/>
          <w:lang w:val="en-US" w:eastAsia="zh-CN"/>
        </w:rPr>
        <w:t>谋划</w:t>
      </w:r>
      <w:r>
        <w:rPr>
          <w:rFonts w:hint="eastAsia" w:ascii="Times New Roman" w:hAnsi="Times New Roman" w:eastAsia="仿宋_GB2312" w:cs="方正仿宋_GBK"/>
          <w:b w:val="0"/>
          <w:bCs w:val="0"/>
          <w:color w:val="auto"/>
          <w:highlight w:val="none"/>
        </w:rPr>
        <w:t>项目、布局产业时，</w:t>
      </w:r>
      <w:r>
        <w:rPr>
          <w:rFonts w:hint="eastAsia" w:eastAsia="仿宋_GB2312" w:cs="方正仿宋_GBK"/>
          <w:b w:val="0"/>
          <w:bCs w:val="0"/>
          <w:color w:val="auto"/>
          <w:highlight w:val="none"/>
          <w:lang w:val="en-US" w:eastAsia="zh-CN"/>
        </w:rPr>
        <w:t>注重</w:t>
      </w:r>
      <w:r>
        <w:rPr>
          <w:rFonts w:hint="eastAsia" w:ascii="Times New Roman" w:hAnsi="Times New Roman" w:eastAsia="仿宋_GB2312" w:cs="方正仿宋_GBK"/>
          <w:b w:val="0"/>
          <w:bCs w:val="0"/>
          <w:color w:val="auto"/>
          <w:highlight w:val="none"/>
        </w:rPr>
        <w:t>吸纳就业能力强的产业和企业，推动招商引资和产业落地与促进本地就业紧密结合。</w:t>
      </w:r>
      <w:r>
        <w:rPr>
          <w:rFonts w:hint="eastAsia" w:eastAsia="仿宋_GB2312" w:cs="方正仿宋_GBK"/>
          <w:b w:val="0"/>
          <w:bCs w:val="0"/>
          <w:color w:val="auto"/>
          <w:highlight w:val="none"/>
          <w:lang w:val="en-US" w:eastAsia="zh-CN"/>
        </w:rPr>
        <w:t>发展</w:t>
      </w:r>
      <w:r>
        <w:rPr>
          <w:rFonts w:hint="eastAsia" w:ascii="Times New Roman" w:hAnsi="Times New Roman" w:eastAsia="仿宋_GB2312" w:cs="方正仿宋_GBK"/>
          <w:b w:val="0"/>
          <w:bCs w:val="0"/>
          <w:color w:val="auto"/>
          <w:highlight w:val="none"/>
        </w:rPr>
        <w:t>农牧业带动就业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重点培育农牧业产业化企业、农牧民合作社、家庭农牧场等新型农牧业经营主体带动就业。提升制造业吸纳就业能力</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壮大</w:t>
      </w:r>
      <w:r>
        <w:rPr>
          <w:rFonts w:hint="eastAsia" w:ascii="Times New Roman" w:hAnsi="Times New Roman" w:eastAsia="仿宋_GB2312" w:cs="方正仿宋_GBK"/>
          <w:b w:val="0"/>
          <w:bCs w:val="0"/>
          <w:color w:val="auto"/>
          <w:highlight w:val="none"/>
        </w:rPr>
        <w:t>五个千亿级产业链条和新能源、新材料两大产业</w:t>
      </w:r>
      <w:r>
        <w:rPr>
          <w:rFonts w:hint="eastAsia" w:eastAsia="仿宋_GB2312" w:cs="方正仿宋_GBK"/>
          <w:b w:val="0"/>
          <w:bCs w:val="0"/>
          <w:color w:val="auto"/>
          <w:highlight w:val="none"/>
          <w:lang w:val="en-US" w:eastAsia="zh-CN"/>
        </w:rPr>
        <w:t>集群</w:t>
      </w:r>
      <w:r>
        <w:rPr>
          <w:rFonts w:hint="eastAsia" w:ascii="Times New Roman" w:hAnsi="Times New Roman" w:eastAsia="仿宋_GB2312" w:cs="方正仿宋_GBK"/>
          <w:b w:val="0"/>
          <w:bCs w:val="0"/>
          <w:color w:val="auto"/>
          <w:highlight w:val="none"/>
        </w:rPr>
        <w:t>，扩大就业岗位供给。拓展服务业就业空间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大力发展现代物流、邮政快递、科技信息等生产性服务业，积极培育直</w:t>
      </w:r>
      <w:r>
        <w:rPr>
          <w:rFonts w:hint="eastAsia" w:ascii="Times New Roman" w:hAnsi="Times New Roman" w:eastAsia="仿宋_GB2312" w:cs="方正仿宋_GBK"/>
          <w:b w:val="0"/>
          <w:bCs w:val="0"/>
          <w:color w:val="auto"/>
          <w:spacing w:val="-6"/>
          <w:highlight w:val="none"/>
        </w:rPr>
        <w:t>播电商、网络货运、在线教育、数字文化等新业态</w:t>
      </w:r>
      <w:r>
        <w:rPr>
          <w:rFonts w:hint="eastAsia" w:ascii="Times New Roman" w:hAnsi="Times New Roman" w:eastAsia="仿宋_GB2312" w:cs="方正仿宋_GBK"/>
          <w:b w:val="0"/>
          <w:bCs w:val="0"/>
          <w:color w:val="auto"/>
          <w:spacing w:val="-6"/>
          <w:highlight w:val="none"/>
          <w:lang w:val="en-US" w:eastAsia="zh-CN"/>
        </w:rPr>
        <w:t>带动就业。促进灵活就业，积极发展平台就业、网络就业、共享用工等新就业形态。</w:t>
      </w:r>
    </w:p>
    <w:p w14:paraId="109A7A5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eastAsia="zh-CN"/>
        </w:rPr>
      </w:pPr>
      <w:bookmarkStart w:id="1034" w:name="_Toc32497"/>
      <w:r>
        <w:rPr>
          <w:rFonts w:hint="eastAsia" w:ascii="Times New Roman" w:hAnsi="Times New Roman" w:eastAsia="仿宋_GB2312" w:cs="方正仿宋_GBK"/>
          <w:b w:val="0"/>
          <w:bCs w:val="0"/>
          <w:color w:val="auto"/>
          <w:highlight w:val="none"/>
        </w:rPr>
        <w:t>完善重点群体就业支持体系</w:t>
      </w:r>
      <w:bookmarkEnd w:id="1034"/>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稳定和扩大高校毕业生、农民工、退役军人等重点群体就业</w:t>
      </w:r>
      <w:r>
        <w:rPr>
          <w:rFonts w:hint="eastAsia" w:ascii="Times New Roman" w:hAnsi="Times New Roman" w:eastAsia="仿宋_GB2312" w:cs="方正仿宋_GBK"/>
          <w:b w:val="0"/>
          <w:bCs w:val="0"/>
          <w:color w:val="auto"/>
          <w:highlight w:val="none"/>
        </w:rPr>
        <w:t>。拓展高校毕业生就业渠道</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通过公务员招录、事业单位招聘、绿色通道人才引进、“文明红山·青春赤峰”校园专项引才等方式</w:t>
      </w:r>
      <w:r>
        <w:rPr>
          <w:rFonts w:hint="eastAsia" w:ascii="Times New Roman" w:hAnsi="Times New Roman" w:eastAsia="仿宋_GB2312" w:cs="方正仿宋_GBK"/>
          <w:b w:val="0"/>
          <w:bCs w:val="0"/>
          <w:color w:val="auto"/>
          <w:highlight w:val="none"/>
          <w:lang w:val="en-US" w:eastAsia="zh-CN"/>
        </w:rPr>
        <w:t>吸纳</w:t>
      </w:r>
      <w:r>
        <w:rPr>
          <w:rFonts w:hint="eastAsia" w:ascii="Times New Roman" w:hAnsi="Times New Roman" w:eastAsia="仿宋_GB2312" w:cs="方正仿宋_GBK"/>
          <w:b w:val="0"/>
          <w:bCs w:val="0"/>
          <w:color w:val="auto"/>
          <w:highlight w:val="none"/>
        </w:rPr>
        <w:t>高校毕业生就业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引导高校毕业生等青年群体到企业就业、灵活就业、自主创业等多渠道就业。促进农牧民工就近就地就业</w:t>
      </w:r>
      <w:bookmarkStart w:id="1035" w:name="_Hlk188432213"/>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引导农牧民积极参与防沙治沙、交通水利、市政基础设施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高标准农田</w:t>
      </w:r>
      <w:r>
        <w:rPr>
          <w:rFonts w:hint="eastAsia" w:ascii="Times New Roman" w:hAnsi="Times New Roman" w:eastAsia="仿宋_GB2312" w:cs="方正仿宋_GBK"/>
          <w:b w:val="0"/>
          <w:bCs w:val="0"/>
          <w:color w:val="auto"/>
          <w:highlight w:val="none"/>
        </w:rPr>
        <w:t>等工程建设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实施</w:t>
      </w:r>
      <w:r>
        <w:rPr>
          <w:rFonts w:hint="eastAsia" w:ascii="Times New Roman" w:hAnsi="Times New Roman" w:eastAsia="仿宋_GB2312" w:cs="方正仿宋_GBK"/>
          <w:b w:val="0"/>
          <w:bCs w:val="0"/>
          <w:color w:val="auto"/>
          <w:highlight w:val="none"/>
        </w:rPr>
        <w:t>以工代赈项目</w:t>
      </w:r>
      <w:bookmarkEnd w:id="1035"/>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带动当地群众务工就业。加强退役军人就业安置</w:t>
      </w:r>
      <w:r>
        <w:rPr>
          <w:rFonts w:hint="eastAsia"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rPr>
        <w:t>创业扶持。加强对妇女、残疾人等群体就业支持，消除就业歧视。开展困难群体精准帮扶</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推动登记失业人员、就业困难人员精准服务向街道、社区下沉，摸清就业、培训等需求，“一对一”落实服务措施。</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就业援助兜底和市场化就业相结合，通过公益性岗位兜底安置就业。</w:t>
      </w:r>
    </w:p>
    <w:p w14:paraId="589255A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1036" w:name="_Toc19754"/>
      <w:r>
        <w:rPr>
          <w:rFonts w:hint="eastAsia" w:ascii="Times New Roman" w:hAnsi="Times New Roman" w:eastAsia="仿宋_GB2312" w:cs="方正仿宋_GBK"/>
          <w:b w:val="0"/>
          <w:bCs w:val="0"/>
          <w:color w:val="auto"/>
          <w:highlight w:val="none"/>
          <w:lang w:val="en-US" w:eastAsia="zh-CN"/>
        </w:rPr>
        <w:t>持续提升各类群体就业技能</w:t>
      </w:r>
      <w:bookmarkEnd w:id="1036"/>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完善人力资源供需匹配机制，强化择业和用人观念引导，促进人岗相适、用人所长、人尽其才。</w:t>
      </w:r>
      <w:r>
        <w:rPr>
          <w:rFonts w:hint="eastAsia" w:ascii="Times New Roman" w:hAnsi="Times New Roman" w:eastAsia="仿宋_GB2312" w:cs="方正仿宋_GBK"/>
          <w:b w:val="0"/>
          <w:bCs w:val="0"/>
          <w:color w:val="auto"/>
          <w:highlight w:val="none"/>
        </w:rPr>
        <w:t>紧扣市场需求和产业发展方向，</w:t>
      </w:r>
      <w:r>
        <w:rPr>
          <w:rFonts w:hint="eastAsia" w:ascii="Times New Roman" w:hAnsi="Times New Roman" w:eastAsia="仿宋_GB2312" w:cs="方正仿宋_GBK"/>
          <w:b w:val="0"/>
          <w:bCs w:val="0"/>
          <w:color w:val="auto"/>
          <w:highlight w:val="none"/>
          <w:lang w:val="en-US" w:eastAsia="zh-CN"/>
        </w:rPr>
        <w:t>分行业、领域</w:t>
      </w:r>
      <w:r>
        <w:rPr>
          <w:rFonts w:hint="eastAsia" w:ascii="Times New Roman" w:hAnsi="Times New Roman" w:eastAsia="仿宋_GB2312" w:cs="方正仿宋_GBK"/>
          <w:b w:val="0"/>
          <w:bCs w:val="0"/>
          <w:color w:val="auto"/>
          <w:highlight w:val="none"/>
        </w:rPr>
        <w:t>开展大规模多层次职业技能培训</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实施“技能强企”行动，</w:t>
      </w:r>
      <w:r>
        <w:rPr>
          <w:rFonts w:hint="eastAsia" w:ascii="Times New Roman" w:hAnsi="Times New Roman" w:eastAsia="仿宋_GB2312" w:cs="方正仿宋_GBK"/>
          <w:b w:val="0"/>
          <w:bCs w:val="0"/>
          <w:color w:val="auto"/>
          <w:highlight w:val="none"/>
        </w:rPr>
        <w:t>鼓励企业全过程参与职业院校人才培养，开展订单式培养、新型学徒制培训。支持企业培养技工人才</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建设企业技能培训中心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深入推行工学一体化技能人才培养模式。</w:t>
      </w:r>
      <w:r>
        <w:rPr>
          <w:rFonts w:hint="eastAsia" w:eastAsia="仿宋_GB2312" w:cs="方正仿宋_GBK"/>
          <w:b w:val="0"/>
          <w:bCs w:val="0"/>
          <w:color w:val="auto"/>
          <w:highlight w:val="none"/>
          <w:lang w:val="en-US" w:eastAsia="zh-CN"/>
        </w:rPr>
        <w:t>实施</w:t>
      </w:r>
      <w:r>
        <w:rPr>
          <w:rFonts w:hint="eastAsia" w:ascii="Times New Roman" w:hAnsi="Times New Roman" w:eastAsia="仿宋_GB2312" w:cs="方正仿宋_GBK"/>
          <w:b w:val="0"/>
          <w:bCs w:val="0"/>
          <w:color w:val="auto"/>
          <w:highlight w:val="none"/>
        </w:rPr>
        <w:t>“特色产业+特色劳务”</w:t>
      </w:r>
      <w:r>
        <w:rPr>
          <w:rFonts w:hint="eastAsia" w:eastAsia="仿宋_GB2312" w:cs="方正仿宋_GBK"/>
          <w:b w:val="0"/>
          <w:bCs w:val="0"/>
          <w:color w:val="auto"/>
          <w:highlight w:val="none"/>
          <w:lang w:val="en-US" w:eastAsia="zh-CN"/>
        </w:rPr>
        <w:t>品牌行动</w:t>
      </w:r>
      <w:r>
        <w:rPr>
          <w:rFonts w:hint="eastAsia" w:ascii="Times New Roman" w:hAnsi="Times New Roman" w:eastAsia="仿宋_GB2312" w:cs="方正仿宋_GBK"/>
          <w:b w:val="0"/>
          <w:bCs w:val="0"/>
          <w:color w:val="auto"/>
          <w:highlight w:val="none"/>
        </w:rPr>
        <w:t>，</w:t>
      </w:r>
      <w:r>
        <w:rPr>
          <w:rFonts w:hint="eastAsia" w:ascii="仿宋_GB2312" w:hAnsi="仿宋_GB2312" w:eastAsia="仿宋_GB2312" w:cs="仿宋_GB2312"/>
          <w:b w:val="0"/>
          <w:bCs w:val="0"/>
          <w:kern w:val="2"/>
          <w:sz w:val="32"/>
          <w:szCs w:val="32"/>
          <w:highlight w:val="none"/>
          <w:u w:val="none" w:color="auto"/>
          <w:lang w:val="en-US" w:eastAsia="zh-CN" w:bidi="ar-SA"/>
        </w:rPr>
        <w:t>打造敖汉架线工、京东家政、中药材农机工等更多劳务品牌</w:t>
      </w:r>
      <w:r>
        <w:rPr>
          <w:rFonts w:hint="eastAsia" w:ascii="Times New Roman" w:hAnsi="Times New Roman" w:eastAsia="仿宋_GB2312" w:cs="方正仿宋_GBK"/>
          <w:b w:val="0"/>
          <w:bCs w:val="0"/>
          <w:color w:val="auto"/>
          <w:highlight w:val="none"/>
        </w:rPr>
        <w:t>。</w:t>
      </w:r>
      <w:r>
        <w:rPr>
          <w:rFonts w:hint="eastAsia" w:eastAsia="仿宋_GB2312" w:cs="方正仿宋_GBK"/>
          <w:b w:val="0"/>
          <w:bCs w:val="0"/>
          <w:color w:val="auto"/>
          <w:highlight w:val="none"/>
          <w:lang w:val="en-US" w:eastAsia="zh-CN"/>
        </w:rPr>
        <w:t>加强区域合作，</w:t>
      </w:r>
      <w:r>
        <w:rPr>
          <w:rFonts w:hint="eastAsia" w:ascii="Times New Roman" w:hAnsi="Times New Roman" w:eastAsia="仿宋_GB2312" w:cs="方正仿宋_GBK"/>
          <w:b w:val="0"/>
          <w:bCs w:val="0"/>
          <w:color w:val="auto"/>
          <w:highlight w:val="none"/>
        </w:rPr>
        <w:t>依托内蒙古民族工业技师学院、内蒙古自治区民族交通技师学院等院校，广泛吸纳内蒙古东部地区以及东三省优质技工院校，联合建设具有区域性辐射优势的蒙东技工院校联盟，实现共享资源、共同发展。加强高技能人才队伍建设，畅通技能人才职业发展通道。</w:t>
      </w:r>
    </w:p>
    <w:p w14:paraId="206B723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kern w:val="2"/>
          <w:sz w:val="32"/>
          <w:szCs w:val="32"/>
          <w:highlight w:val="none"/>
          <w:u w:val="none" w:color="auto"/>
          <w:lang w:val="en-US" w:eastAsia="zh-CN" w:bidi="ar-SA"/>
        </w:rPr>
      </w:pPr>
      <w:bookmarkStart w:id="1037" w:name="_Toc3379"/>
      <w:r>
        <w:rPr>
          <w:rFonts w:hint="eastAsia" w:ascii="Times New Roman" w:hAnsi="Times New Roman" w:eastAsia="仿宋_GB2312" w:cs="方正仿宋_GBK"/>
          <w:b w:val="0"/>
          <w:bCs w:val="0"/>
          <w:color w:val="auto"/>
          <w:highlight w:val="none"/>
        </w:rPr>
        <w:t>全面提升公共就业服务水平</w:t>
      </w:r>
      <w:bookmarkEnd w:id="1037"/>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强化就业公共服务体系建设，提升就业公共服务水平。</w:t>
      </w:r>
      <w:r>
        <w:rPr>
          <w:rFonts w:hint="eastAsia" w:ascii="Times New Roman" w:hAnsi="Times New Roman" w:eastAsia="仿宋_GB2312" w:cs="方正仿宋_GBK"/>
          <w:b w:val="0"/>
          <w:bCs w:val="0"/>
          <w:color w:val="auto"/>
          <w:highlight w:val="none"/>
        </w:rPr>
        <w:t>实施公共就业服务能力提升示范项目，</w:t>
      </w:r>
      <w:r>
        <w:rPr>
          <w:rFonts w:hint="eastAsia" w:eastAsia="仿宋_GB2312" w:cs="方正仿宋_GBK"/>
          <w:b w:val="0"/>
          <w:bCs w:val="0"/>
          <w:color w:val="auto"/>
          <w:highlight w:val="none"/>
          <w:lang w:val="en-US" w:eastAsia="zh-CN"/>
        </w:rPr>
        <w:t>加快推进</w:t>
      </w:r>
      <w:r>
        <w:rPr>
          <w:rFonts w:hint="eastAsia" w:ascii="Times New Roman" w:hAnsi="Times New Roman" w:eastAsia="仿宋_GB2312" w:cs="方正仿宋_GBK"/>
          <w:b w:val="0"/>
          <w:bCs w:val="0"/>
          <w:color w:val="auto"/>
          <w:highlight w:val="none"/>
        </w:rPr>
        <w:t>“玉龙腾飞”就业促进工程</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“草原匠心”</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“温暖龙乡”</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“红山智谷”计划。</w:t>
      </w:r>
      <w:r>
        <w:rPr>
          <w:rFonts w:hint="eastAsia" w:eastAsia="仿宋_GB2312" w:cs="方正仿宋_GBK"/>
          <w:b w:val="0"/>
          <w:bCs w:val="0"/>
          <w:color w:val="auto"/>
          <w:highlight w:val="none"/>
          <w:lang w:val="en-US" w:eastAsia="zh-CN"/>
        </w:rPr>
        <w:t>推动就业公共服务下沉基层，</w:t>
      </w:r>
      <w:r>
        <w:rPr>
          <w:rFonts w:hint="eastAsia" w:ascii="Times New Roman" w:hAnsi="Times New Roman" w:eastAsia="仿宋_GB2312" w:cs="方正仿宋_GBK"/>
          <w:b w:val="0"/>
          <w:bCs w:val="0"/>
          <w:color w:val="auto"/>
          <w:highlight w:val="none"/>
        </w:rPr>
        <w:t>依托党群服务中心、高校、零工市场、工会驿站、商圈等</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“家门口”就业服务站，强化网格员、社区民生志愿服务计划人员等力量配备</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打造“15分钟就业服务圈”。创新公共就业服务模式</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主动对接自治区“一网通”公共就业服务平台，依托人工智能工具库，建设赤峰人社智能客服，提供7</w:t>
      </w:r>
      <w:r>
        <w:rPr>
          <w:rFonts w:hint="default" w:ascii="Arial" w:hAnsi="Arial" w:eastAsia="仿宋_GB2312" w:cs="Arial"/>
          <w:b w:val="0"/>
          <w:bCs w:val="0"/>
          <w:color w:val="auto"/>
          <w:highlight w:val="none"/>
          <w:lang w:val="en-US"/>
        </w:rPr>
        <w:t>×</w:t>
      </w:r>
      <w:r>
        <w:rPr>
          <w:rFonts w:hint="eastAsia" w:ascii="Times New Roman" w:hAnsi="Times New Roman" w:eastAsia="仿宋_GB2312" w:cs="方正仿宋_GBK"/>
          <w:b w:val="0"/>
          <w:bCs w:val="0"/>
          <w:color w:val="auto"/>
          <w:highlight w:val="none"/>
        </w:rPr>
        <w:t>24小时不间断服务。打造“赤峰就业红娘”IP形象，提供精准职业介绍，开发人社助企服务小程序，全面提升公共就业服务智能化、信息化水平。</w:t>
      </w:r>
      <w:r>
        <w:rPr>
          <w:rFonts w:hint="eastAsia" w:eastAsia="仿宋_GB2312" w:cs="方正仿宋_GBK"/>
          <w:b w:val="0"/>
          <w:bCs w:val="0"/>
          <w:color w:val="auto"/>
          <w:highlight w:val="none"/>
          <w:lang w:val="en-US" w:eastAsia="zh-CN"/>
        </w:rPr>
        <w:t>加强平台载体建设，</w:t>
      </w:r>
      <w:r>
        <w:rPr>
          <w:rFonts w:hint="eastAsia" w:ascii="Times New Roman" w:hAnsi="Times New Roman" w:eastAsia="仿宋_GB2312" w:cs="方正仿宋_GBK"/>
          <w:b w:val="0"/>
          <w:bCs w:val="0"/>
          <w:color w:val="auto"/>
          <w:highlight w:val="none"/>
        </w:rPr>
        <w:t>推动赤峰人力资源服务产业园提质增效，引进</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培育一批具有核心竞争力的</w:t>
      </w:r>
      <w:r>
        <w:rPr>
          <w:rFonts w:hint="eastAsia" w:eastAsia="仿宋_GB2312" w:cs="方正仿宋_GBK"/>
          <w:b w:val="0"/>
          <w:bCs w:val="0"/>
          <w:color w:val="auto"/>
          <w:highlight w:val="none"/>
          <w:lang w:val="en-US" w:eastAsia="zh-CN"/>
        </w:rPr>
        <w:t>服务</w:t>
      </w:r>
      <w:r>
        <w:rPr>
          <w:rFonts w:hint="eastAsia" w:ascii="Times New Roman" w:hAnsi="Times New Roman" w:eastAsia="仿宋_GB2312" w:cs="方正仿宋_GBK"/>
          <w:b w:val="0"/>
          <w:bCs w:val="0"/>
          <w:color w:val="auto"/>
          <w:highlight w:val="none"/>
        </w:rPr>
        <w:t>机构</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加快推进创业孵化基地</w:t>
      </w:r>
      <w:r>
        <w:rPr>
          <w:rFonts w:hint="eastAsia" w:eastAsia="仿宋_GB2312" w:cs="方正仿宋_GBK"/>
          <w:b w:val="0"/>
          <w:bCs w:val="0"/>
          <w:color w:val="auto"/>
          <w:highlight w:val="none"/>
          <w:lang w:val="en-US" w:eastAsia="zh-CN"/>
        </w:rPr>
        <w:t>和</w:t>
      </w:r>
      <w:r>
        <w:rPr>
          <w:rFonts w:hint="eastAsia" w:ascii="仿宋_GB2312" w:hAnsi="仿宋_GB2312" w:eastAsia="仿宋_GB2312" w:cs="仿宋_GB2312"/>
          <w:b w:val="0"/>
          <w:bCs w:val="0"/>
          <w:kern w:val="2"/>
          <w:sz w:val="32"/>
          <w:szCs w:val="32"/>
          <w:highlight w:val="none"/>
          <w:u w:val="none" w:color="auto"/>
          <w:lang w:val="en-US" w:eastAsia="zh-CN" w:bidi="ar-SA"/>
        </w:rPr>
        <w:t>家政类就业服务基地建设。</w:t>
      </w:r>
      <w:r>
        <w:rPr>
          <w:rFonts w:hint="eastAsia" w:ascii="Times New Roman" w:hAnsi="Times New Roman" w:eastAsia="仿宋_GB2312" w:cs="方正仿宋_GBK"/>
          <w:b w:val="0"/>
          <w:bCs w:val="0"/>
          <w:color w:val="auto"/>
          <w:highlight w:val="none"/>
        </w:rPr>
        <w:t>加强同京津冀地区合作，建立蒙东人力资源共享联盟，辐射东北地区，巩固区域中心地位</w:t>
      </w:r>
      <w:r>
        <w:rPr>
          <w:rFonts w:hint="eastAsia" w:ascii="仿宋_GB2312" w:hAnsi="仿宋_GB2312" w:eastAsia="仿宋_GB2312" w:cs="仿宋_GB2312"/>
          <w:b w:val="0"/>
          <w:bCs w:val="0"/>
          <w:kern w:val="2"/>
          <w:sz w:val="32"/>
          <w:szCs w:val="32"/>
          <w:highlight w:val="none"/>
          <w:u w:val="none" w:color="auto"/>
          <w:lang w:val="en-US" w:eastAsia="zh-CN" w:bidi="ar-SA"/>
        </w:rPr>
        <w:t>。</w:t>
      </w:r>
      <w:r>
        <w:rPr>
          <w:rFonts w:hint="eastAsia" w:ascii="Times New Roman" w:hAnsi="Times New Roman" w:eastAsia="仿宋_GB2312" w:cs="方正仿宋_GBK"/>
          <w:b w:val="0"/>
          <w:bCs w:val="0"/>
          <w:color w:val="auto"/>
          <w:highlight w:val="none"/>
        </w:rPr>
        <w:t>强化劳动者权益保障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加强劳动保障监察、劳动关系协调、劳动人事争议调解仲裁队伍建设，严厉打击欠薪欠保、违法裁员、虚假招聘、“黑中介”等违法违规行为。</w:t>
      </w:r>
    </w:p>
    <w:p w14:paraId="72EBA551">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38" w:name="_Toc17119"/>
      <w:bookmarkStart w:id="1039" w:name="_Toc26799"/>
      <w:bookmarkStart w:id="1040" w:name="_Toc651"/>
      <w:bookmarkStart w:id="1041" w:name="_Toc32052"/>
      <w:bookmarkStart w:id="1042" w:name="_Toc10826"/>
      <w:bookmarkStart w:id="1043" w:name="_Toc17082"/>
      <w:bookmarkStart w:id="1044" w:name="_Toc9036"/>
      <w:bookmarkStart w:id="1045" w:name="_Toc14692"/>
      <w:bookmarkStart w:id="1046" w:name="_Toc17009"/>
      <w:bookmarkStart w:id="1047" w:name="_Toc28841"/>
      <w:bookmarkStart w:id="1048" w:name="_Toc31732"/>
      <w:bookmarkStart w:id="1049" w:name="_Toc5860"/>
      <w:bookmarkStart w:id="1050" w:name="_Toc9900"/>
      <w:bookmarkStart w:id="1051" w:name="_Toc27745"/>
      <w:bookmarkStart w:id="1052" w:name="_Toc20350"/>
      <w:bookmarkStart w:id="1053" w:name="_Toc18185"/>
      <w:bookmarkStart w:id="1054" w:name="_Toc31964"/>
      <w:bookmarkStart w:id="1055" w:name="_Toc28994"/>
      <w:bookmarkStart w:id="1056" w:name="_Toc13690"/>
      <w:bookmarkStart w:id="1057" w:name="_Toc392"/>
      <w:bookmarkStart w:id="1058" w:name="_Toc22692"/>
      <w:bookmarkStart w:id="1059" w:name="_Toc8932"/>
      <w:bookmarkStart w:id="1060" w:name="_Toc3936"/>
      <w:r>
        <w:rPr>
          <w:rFonts w:hint="eastAsia" w:ascii="楷体_GB2312" w:hAnsi="楷体_GB2312" w:eastAsia="楷体_GB2312" w:cs="楷体_GB2312"/>
          <w:b w:val="0"/>
          <w:bCs w:val="0"/>
          <w:color w:val="auto"/>
          <w:sz w:val="32"/>
          <w:szCs w:val="40"/>
          <w:highlight w:val="none"/>
          <w:lang w:val="en-US" w:eastAsia="zh-CN"/>
        </w:rPr>
        <w:t>促进居民持续增收</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14:paraId="00B1A47A">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坚持按劳分配为主体、多种分配方式并存，着重保护劳动所得，提高劳动报酬在初次分配中的比重，健全再分配调节机制，重视发挥第三次分配作用，</w:t>
      </w:r>
      <w:r>
        <w:rPr>
          <w:rFonts w:hint="eastAsia" w:ascii="Times New Roman" w:hAnsi="Times New Roman" w:eastAsia="仿宋_GB2312" w:cs="方正仿宋_GBK"/>
          <w:b w:val="0"/>
          <w:bCs w:val="0"/>
          <w:color w:val="auto"/>
          <w:highlight w:val="none"/>
          <w:lang w:val="en-US" w:eastAsia="zh-CN"/>
        </w:rPr>
        <w:t>确保居民收入</w:t>
      </w:r>
      <w:r>
        <w:rPr>
          <w:rFonts w:hint="eastAsia" w:eastAsia="仿宋_GB2312" w:cs="方正仿宋_GBK"/>
          <w:b w:val="0"/>
          <w:bCs w:val="0"/>
          <w:color w:val="auto"/>
          <w:highlight w:val="none"/>
          <w:lang w:val="en-US" w:eastAsia="zh-CN"/>
        </w:rPr>
        <w:t>稳步增长</w:t>
      </w:r>
      <w:r>
        <w:rPr>
          <w:rFonts w:hint="eastAsia" w:ascii="Times New Roman" w:hAnsi="Times New Roman" w:eastAsia="仿宋_GB2312" w:cs="方正仿宋_GBK"/>
          <w:b w:val="0"/>
          <w:bCs w:val="0"/>
          <w:color w:val="auto"/>
          <w:highlight w:val="none"/>
          <w:lang w:val="en-US" w:eastAsia="zh-CN"/>
        </w:rPr>
        <w:t>。</w:t>
      </w:r>
    </w:p>
    <w:p w14:paraId="1BC23B76">
      <w:pPr>
        <w:pStyle w:val="43"/>
        <w:keepNext w:val="0"/>
        <w:keepLines w:val="0"/>
        <w:pageBreakBefore w:val="0"/>
        <w:shd w:val="clear" w:color="auto" w:fill="auto"/>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highlight w:val="none"/>
        </w:rPr>
      </w:pPr>
      <w:r>
        <w:rPr>
          <w:rFonts w:hint="eastAsia" w:eastAsia="仿宋_GB2312" w:cs="方正仿宋_GBK"/>
          <w:b w:val="0"/>
          <w:bCs w:val="0"/>
          <w:color w:val="auto"/>
          <w:kern w:val="2"/>
          <w:sz w:val="32"/>
          <w:szCs w:val="32"/>
          <w:highlight w:val="none"/>
          <w:u w:val="none" w:color="auto"/>
          <w:lang w:val="en-US" w:eastAsia="zh-CN" w:bidi="ar-SA"/>
        </w:rPr>
        <w:t>多渠道增加居民收入。</w:t>
      </w:r>
      <w:r>
        <w:rPr>
          <w:rFonts w:hint="eastAsia" w:ascii="Times New Roman" w:hAnsi="Times New Roman" w:eastAsia="仿宋_GB2312" w:cs="方正仿宋_GBK"/>
          <w:b w:val="0"/>
          <w:bCs w:val="0"/>
          <w:color w:val="auto"/>
          <w:highlight w:val="none"/>
          <w:lang w:val="en-US" w:eastAsia="zh-CN"/>
        </w:rPr>
        <w:t>实施城乡居民增收计划，有效增加低收入群体收入，提高中等收入群体比重，推动形成橄榄型分配格局。提高居民工资性收入，落实工资合理增长、</w:t>
      </w:r>
      <w:r>
        <w:rPr>
          <w:rFonts w:hint="eastAsia" w:eastAsia="仿宋_GB2312" w:cs="方正仿宋_GBK"/>
          <w:b w:val="0"/>
          <w:bCs w:val="0"/>
          <w:color w:val="auto"/>
          <w:highlight w:val="none"/>
          <w:lang w:val="en-US" w:eastAsia="zh-CN"/>
        </w:rPr>
        <w:t>支付保障和</w:t>
      </w:r>
      <w:r>
        <w:rPr>
          <w:rFonts w:hint="eastAsia" w:ascii="Times New Roman" w:hAnsi="Times New Roman" w:eastAsia="仿宋_GB2312" w:cs="方正仿宋_GBK"/>
          <w:b w:val="0"/>
          <w:bCs w:val="0"/>
          <w:color w:val="auto"/>
          <w:highlight w:val="none"/>
          <w:lang w:val="en-US" w:eastAsia="zh-CN"/>
        </w:rPr>
        <w:t>最低工资标准调整机制</w:t>
      </w:r>
      <w:r>
        <w:rPr>
          <w:rFonts w:hint="eastAsia" w:eastAsia="仿宋_GB2312" w:cs="方正仿宋_GBK"/>
          <w:b w:val="0"/>
          <w:bCs w:val="0"/>
          <w:color w:val="auto"/>
          <w:highlight w:val="none"/>
          <w:lang w:val="en-US" w:eastAsia="zh-CN"/>
        </w:rPr>
        <w:t>，推行工资集体协商制度</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lang w:val="en-US" w:eastAsia="zh-CN"/>
        </w:rPr>
        <w:t>国有企业工资决定机制</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机关事业单位工资和津补贴制度。加力扩围实施以工代赈，鼓励有条件的苏木乡镇、嘎查村建立劳务合作社和乡村施工队参与工程建设。大力发展富民产业，完善联农带农机制，让农牧民获得更多产业收益。积极发展乡村旅游，推进文旅富民。鼓励引导农牧户合法拥有的住房通过出租、入股、合作等方式盘活利用，有效增加农牧民财产性收入。落实惠农强农政策，将各类惠农补贴及时足额发放到农牧民手中，增加群众转移性收入。</w:t>
      </w:r>
    </w:p>
    <w:p w14:paraId="24070C5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061" w:name="_Toc1004"/>
      <w:r>
        <w:rPr>
          <w:rFonts w:hint="eastAsia" w:eastAsia="仿宋_GB2312" w:cs="方正仿宋_GBK"/>
          <w:b w:val="0"/>
          <w:bCs w:val="0"/>
          <w:color w:val="auto"/>
          <w:sz w:val="32"/>
          <w:szCs w:val="32"/>
          <w:highlight w:val="none"/>
          <w:lang w:val="en-US" w:eastAsia="zh-CN"/>
        </w:rPr>
        <w:t>健全收入分配制度</w:t>
      </w:r>
      <w:bookmarkEnd w:id="1061"/>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提高居民收入在国民收入分配中的比重，提高劳动报酬在初次分配中的比重。</w:t>
      </w:r>
      <w:r>
        <w:rPr>
          <w:rFonts w:hint="eastAsia" w:ascii="Times New Roman" w:hAnsi="Times New Roman" w:eastAsia="仿宋_GB2312" w:cs="方正仿宋_GBK"/>
          <w:b w:val="0"/>
          <w:bCs w:val="0"/>
          <w:color w:val="auto"/>
          <w:highlight w:val="none"/>
        </w:rPr>
        <w:t>充分发挥市场对企业工资分配的决定性作用，完善企业工资决定及正常增长机制</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发挥再分配调节作用，落实个人所得税专项附加扣除及税收优惠政策</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社会保险、社会救助、转移支付等政策。</w:t>
      </w:r>
      <w:r>
        <w:rPr>
          <w:rFonts w:hint="eastAsia" w:ascii="Times New Roman" w:hAnsi="Times New Roman" w:eastAsia="仿宋_GB2312" w:cs="方正仿宋_GBK"/>
          <w:b w:val="0"/>
          <w:bCs w:val="0"/>
          <w:color w:val="auto"/>
          <w:highlight w:val="none"/>
        </w:rPr>
        <w:t>发挥第三次分配作用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促进和规范公益慈善事业发展，</w:t>
      </w:r>
      <w:r>
        <w:rPr>
          <w:rFonts w:hint="eastAsia" w:ascii="Times New Roman" w:hAnsi="Times New Roman" w:eastAsia="仿宋_GB2312" w:cs="方正仿宋_GBK"/>
          <w:b w:val="0"/>
          <w:bCs w:val="0"/>
          <w:color w:val="auto"/>
          <w:highlight w:val="none"/>
        </w:rPr>
        <w:t>引导</w:t>
      </w:r>
      <w:r>
        <w:rPr>
          <w:rFonts w:hint="eastAsia" w:ascii="Times New Roman" w:hAnsi="Times New Roman" w:eastAsia="仿宋_GB2312" w:cs="方正仿宋_GBK"/>
          <w:b w:val="0"/>
          <w:bCs w:val="0"/>
          <w:color w:val="auto"/>
          <w:highlight w:val="none"/>
          <w:lang w:val="en-US" w:eastAsia="zh-CN"/>
        </w:rPr>
        <w:t>支持有意愿有能力的企业、社会组织和个人积极参与公益慈善事业</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加强慈善活动和资金监管，提升公信力和透明度。</w:t>
      </w:r>
      <w:r>
        <w:rPr>
          <w:rFonts w:hint="eastAsia" w:ascii="Times New Roman" w:hAnsi="Times New Roman" w:eastAsia="仿宋_GB2312" w:cs="方正仿宋_GBK"/>
          <w:b w:val="0"/>
          <w:bCs w:val="0"/>
          <w:color w:val="auto"/>
          <w:highlight w:val="none"/>
          <w:lang w:val="en-US" w:eastAsia="zh-CN"/>
        </w:rPr>
        <w:t>规范收入分配秩序和财富积累机制，支持勤劳创新合法致富，鼓励</w:t>
      </w:r>
      <w:r>
        <w:rPr>
          <w:rFonts w:hint="eastAsia" w:eastAsia="仿宋_GB2312" w:cs="方正仿宋_GBK"/>
          <w:b w:val="0"/>
          <w:bCs w:val="0"/>
          <w:color w:val="auto"/>
          <w:highlight w:val="none"/>
          <w:lang w:val="en-US" w:eastAsia="zh-CN"/>
        </w:rPr>
        <w:t>先富带后富促共富</w:t>
      </w:r>
      <w:r>
        <w:rPr>
          <w:rFonts w:hint="eastAsia" w:ascii="Times New Roman" w:hAnsi="Times New Roman" w:eastAsia="仿宋_GB2312" w:cs="方正仿宋_GBK"/>
          <w:b w:val="0"/>
          <w:bCs w:val="0"/>
          <w:color w:val="auto"/>
          <w:highlight w:val="none"/>
          <w:lang w:val="en-US" w:eastAsia="zh-CN"/>
        </w:rPr>
        <w:t>，合理调节过高收入，取缔非法收入。</w:t>
      </w:r>
    </w:p>
    <w:p w14:paraId="6E448384">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62" w:name="_Toc12107"/>
      <w:bookmarkStart w:id="1063" w:name="_Toc15550"/>
      <w:bookmarkStart w:id="1064" w:name="_Toc27823"/>
      <w:bookmarkStart w:id="1065" w:name="_Toc2679"/>
      <w:bookmarkStart w:id="1066" w:name="_Toc16506"/>
      <w:bookmarkStart w:id="1067" w:name="_Toc24127"/>
      <w:bookmarkStart w:id="1068" w:name="_Toc13214"/>
      <w:bookmarkStart w:id="1069" w:name="_Toc29602"/>
      <w:bookmarkStart w:id="1070" w:name="_Toc28446"/>
      <w:bookmarkStart w:id="1071" w:name="_Toc24005"/>
      <w:bookmarkStart w:id="1072" w:name="_Toc7625"/>
      <w:bookmarkStart w:id="1073" w:name="_Toc935"/>
      <w:bookmarkStart w:id="1074" w:name="_Toc1219"/>
      <w:bookmarkStart w:id="1075" w:name="_Toc20840"/>
      <w:r>
        <w:rPr>
          <w:rFonts w:hint="eastAsia" w:ascii="楷体_GB2312" w:hAnsi="楷体_GB2312" w:eastAsia="楷体_GB2312" w:cs="楷体_GB2312"/>
          <w:b w:val="0"/>
          <w:bCs w:val="0"/>
          <w:color w:val="auto"/>
          <w:sz w:val="32"/>
          <w:szCs w:val="40"/>
          <w:highlight w:val="none"/>
          <w:lang w:val="en-US" w:eastAsia="zh-CN"/>
        </w:rPr>
        <w:t>着力建设教育强市</w:t>
      </w:r>
      <w:bookmarkEnd w:id="1052"/>
      <w:bookmarkEnd w:id="1053"/>
      <w:bookmarkEnd w:id="1054"/>
      <w:bookmarkEnd w:id="1055"/>
      <w:bookmarkEnd w:id="1056"/>
      <w:bookmarkEnd w:id="1057"/>
      <w:bookmarkEnd w:id="1058"/>
      <w:bookmarkEnd w:id="1059"/>
      <w:bookmarkEnd w:id="1060"/>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14:paraId="2BC4A635">
      <w:pPr>
        <w:pStyle w:val="43"/>
        <w:keepNext w:val="0"/>
        <w:keepLines w:val="0"/>
        <w:pageBreakBefore w:val="0"/>
        <w:shd w:val="clear"/>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highlight w:val="none"/>
          <w:lang w:eastAsia="zh-CN"/>
        </w:rPr>
      </w:pPr>
      <w:r>
        <w:rPr>
          <w:rFonts w:hint="eastAsia" w:ascii="Times New Roman" w:hAnsi="Times New Roman" w:eastAsia="仿宋_GB2312" w:cs="方正仿宋_GBK"/>
          <w:b w:val="0"/>
          <w:bCs w:val="0"/>
          <w:color w:val="auto"/>
          <w:highlight w:val="none"/>
          <w:lang w:val="en-US" w:eastAsia="zh-CN"/>
        </w:rPr>
        <w:t>坚持和加强党对教育工作的全面领导，实施新时代立德树人工程，</w:t>
      </w:r>
      <w:r>
        <w:rPr>
          <w:rFonts w:hint="eastAsia" w:ascii="Times New Roman" w:hAnsi="Times New Roman" w:eastAsia="仿宋_GB2312" w:cs="方正仿宋_GBK"/>
          <w:b w:val="0"/>
          <w:bCs w:val="0"/>
          <w:color w:val="auto"/>
          <w:highlight w:val="none"/>
        </w:rPr>
        <w:t>深入实施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教育强市</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战略，</w:t>
      </w:r>
      <w:r>
        <w:rPr>
          <w:rFonts w:hint="eastAsia" w:ascii="Times New Roman" w:hAnsi="Times New Roman" w:eastAsia="仿宋_GB2312" w:cs="方正仿宋_GBK"/>
          <w:b w:val="0"/>
          <w:bCs w:val="0"/>
          <w:color w:val="auto"/>
          <w:highlight w:val="none"/>
          <w:lang w:val="en-US" w:eastAsia="zh-CN"/>
        </w:rPr>
        <w:t>以“教育提质行动”为抓手，</w:t>
      </w:r>
      <w:r>
        <w:rPr>
          <w:rFonts w:hint="eastAsia" w:ascii="Times New Roman" w:hAnsi="Times New Roman" w:eastAsia="仿宋_GB2312" w:cs="方正仿宋_GBK"/>
          <w:b w:val="0"/>
          <w:bCs w:val="0"/>
          <w:color w:val="auto"/>
          <w:highlight w:val="none"/>
        </w:rPr>
        <w:t>着眼教育现代化需求，加快建设高质量教育体系</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到2030年，劳动年龄人口平均受教育年限达到</w:t>
      </w:r>
      <w:r>
        <w:rPr>
          <w:rFonts w:hint="eastAsia" w:eastAsia="仿宋_GB2312" w:cs="方正仿宋_GBK"/>
          <w:b w:val="0"/>
          <w:bCs w:val="0"/>
          <w:color w:val="auto"/>
          <w:highlight w:val="none"/>
          <w:lang w:val="en-US" w:eastAsia="zh-CN"/>
        </w:rPr>
        <w:t>11.7</w:t>
      </w:r>
      <w:r>
        <w:rPr>
          <w:rFonts w:hint="eastAsia" w:ascii="Times New Roman" w:hAnsi="Times New Roman" w:eastAsia="仿宋_GB2312" w:cs="方正仿宋_GBK"/>
          <w:b w:val="0"/>
          <w:bCs w:val="0"/>
          <w:color w:val="auto"/>
          <w:highlight w:val="none"/>
          <w:lang w:val="en-US" w:eastAsia="zh-CN"/>
        </w:rPr>
        <w:t>年。</w:t>
      </w:r>
    </w:p>
    <w:p w14:paraId="3DE9556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eastAsia="zh-CN"/>
        </w:rPr>
      </w:pPr>
      <w:bookmarkStart w:id="1076" w:name="_Toc5520"/>
      <w:r>
        <w:rPr>
          <w:rFonts w:hint="eastAsia" w:ascii="Times New Roman" w:hAnsi="Times New Roman" w:eastAsia="仿宋_GB2312" w:cs="方正仿宋_GBK"/>
          <w:b w:val="0"/>
          <w:bCs w:val="0"/>
          <w:color w:val="auto"/>
          <w:highlight w:val="none"/>
          <w:lang w:val="en-US" w:eastAsia="zh-CN"/>
        </w:rPr>
        <w:t>建设高质量教育体系</w:t>
      </w:r>
      <w:bookmarkEnd w:id="1076"/>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推动学前教育优质均衡发展，扩大公办园学位供给，到2030年，普惠性幼儿园覆盖率、公办幼儿园在园幼儿占比分别稳定在</w:t>
      </w:r>
      <w:r>
        <w:rPr>
          <w:rFonts w:hint="eastAsia" w:eastAsia="仿宋_GB2312" w:cs="方正仿宋_GBK"/>
          <w:b w:val="0"/>
          <w:bCs w:val="0"/>
          <w:color w:val="auto"/>
          <w:highlight w:val="none"/>
          <w:lang w:val="en-US" w:eastAsia="zh-CN"/>
        </w:rPr>
        <w:t>95</w:t>
      </w:r>
      <w:r>
        <w:rPr>
          <w:rFonts w:hint="default" w:ascii="Times New Roman" w:hAnsi="Times New Roman" w:eastAsia="仿宋_GB2312" w:cs="Times New Roman"/>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80</w:t>
      </w:r>
      <w:r>
        <w:rPr>
          <w:rFonts w:hint="default" w:ascii="Times New Roman" w:hAnsi="Times New Roman" w:eastAsia="仿宋_GB2312" w:cs="Times New Roman"/>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以上</w:t>
      </w:r>
      <w:r>
        <w:rPr>
          <w:rFonts w:hint="eastAsia" w:eastAsia="仿宋_GB2312" w:cs="方正仿宋_GBK"/>
          <w:b w:val="0"/>
          <w:bCs w:val="0"/>
          <w:color w:val="auto"/>
          <w:highlight w:val="none"/>
          <w:lang w:val="en-US" w:eastAsia="zh-CN"/>
        </w:rPr>
        <w:t>，全面完成“国家学前教育普及普惠县”创建任务。</w:t>
      </w:r>
      <w:r>
        <w:rPr>
          <w:rFonts w:hint="eastAsia" w:ascii="Times New Roman" w:hAnsi="Times New Roman" w:eastAsia="仿宋_GB2312" w:cs="方正仿宋_GBK"/>
          <w:b w:val="0"/>
          <w:bCs w:val="0"/>
          <w:color w:val="auto"/>
          <w:highlight w:val="none"/>
          <w:lang w:val="en-US" w:eastAsia="zh-CN"/>
        </w:rPr>
        <w:t>推动义务教育优质均衡发展，进一步缩小区域、城乡、校际、群体差距，基本完成“全国义务教育优质均衡县”创建任务。</w:t>
      </w:r>
      <w:r>
        <w:rPr>
          <w:rFonts w:hint="eastAsia" w:eastAsia="仿宋_GB2312" w:cs="方正仿宋_GBK"/>
          <w:b w:val="0"/>
          <w:bCs w:val="0"/>
          <w:color w:val="auto"/>
          <w:highlight w:val="none"/>
          <w:lang w:val="en-US" w:eastAsia="zh-CN"/>
        </w:rPr>
        <w:t>深入实施</w:t>
      </w:r>
      <w:r>
        <w:rPr>
          <w:rFonts w:hint="eastAsia" w:ascii="Times New Roman" w:hAnsi="Times New Roman" w:eastAsia="仿宋_GB2312" w:cs="方正仿宋_GBK"/>
          <w:b w:val="0"/>
          <w:bCs w:val="0"/>
          <w:color w:val="auto"/>
          <w:highlight w:val="none"/>
          <w:lang w:val="en-US" w:eastAsia="zh-CN"/>
        </w:rPr>
        <w:t>“县中振兴”</w:t>
      </w:r>
      <w:r>
        <w:rPr>
          <w:rFonts w:hint="eastAsia" w:eastAsia="仿宋_GB2312" w:cs="方正仿宋_GBK"/>
          <w:b w:val="0"/>
          <w:bCs w:val="0"/>
          <w:color w:val="auto"/>
          <w:highlight w:val="none"/>
          <w:lang w:val="en-US" w:eastAsia="zh-CN"/>
        </w:rPr>
        <w:t>计划，</w:t>
      </w:r>
      <w:r>
        <w:rPr>
          <w:rFonts w:hint="eastAsia" w:ascii="Times New Roman" w:hAnsi="Times New Roman" w:eastAsia="仿宋_GB2312" w:cs="方正仿宋_GBK"/>
          <w:b w:val="0"/>
          <w:bCs w:val="0"/>
          <w:color w:val="auto"/>
          <w:highlight w:val="none"/>
          <w:lang w:val="en-US" w:eastAsia="zh-CN"/>
        </w:rPr>
        <w:t>深化“高中带动战略”，推动普通高中优质特色多样发展</w:t>
      </w:r>
      <w:r>
        <w:rPr>
          <w:rFonts w:hint="eastAsia" w:eastAsia="仿宋_GB2312" w:cs="方正仿宋_GBK"/>
          <w:b w:val="0"/>
          <w:bCs w:val="0"/>
          <w:color w:val="auto"/>
          <w:highlight w:val="none"/>
          <w:lang w:val="en-US" w:eastAsia="zh-CN"/>
        </w:rPr>
        <w:t>。实施好</w:t>
      </w:r>
      <w:r>
        <w:rPr>
          <w:rFonts w:hint="eastAsia" w:ascii="Times New Roman" w:hAnsi="Times New Roman" w:eastAsia="仿宋_GB2312" w:cs="方正仿宋_GBK"/>
          <w:b w:val="0"/>
          <w:bCs w:val="0"/>
          <w:color w:val="auto"/>
          <w:highlight w:val="none"/>
        </w:rPr>
        <w:t>“强基计划培养基地”</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“高水平特长生培养基地”</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“学科基地”建设培育工作</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全力推行基础教育“1+3”拔尖创新人才贯通式一体化培养策略</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强化特殊教育保障，推动特殊教育优质融合发展。推进现代职业教育体系建设改革，打造自治区职业教育综合改革试验区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推动内涵式高质量发展，加强“双高双优”建设，提升职业学校办学能力，推动中等职业教育优质特色多元化发展；推动高等职业教育扩优提质，依托优质中职学校新建1-2所高职院校</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整合现有高等职业教育资源，推动创建赤峰职业本科大学。推进普通高等教育提质扩容，加强高校学科专业建设，深化人才培养模式改革，提高高校人才培养质量；加大对赤峰大学投入力度，努力建成特色鲜明的区域性高水平应用型大学。</w:t>
      </w:r>
    </w:p>
    <w:p w14:paraId="4A11FDB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1077" w:name="_Toc22036"/>
      <w:r>
        <w:rPr>
          <w:rFonts w:hint="eastAsia" w:ascii="Times New Roman" w:hAnsi="Times New Roman" w:eastAsia="仿宋_GB2312" w:cs="方正仿宋_GBK"/>
          <w:b w:val="0"/>
          <w:bCs w:val="0"/>
          <w:color w:val="auto"/>
          <w:highlight w:val="none"/>
          <w:lang w:val="en-US" w:eastAsia="zh-CN"/>
        </w:rPr>
        <w:t>优化教育资源配置</w:t>
      </w:r>
      <w:bookmarkEnd w:id="1077"/>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进一步优化学位供给</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健全与人口变化相协调的基本公共教育服务供给机制，建立分学段、分区域学龄人口变化监测制度，科学调整学校布局。完善教育投入保障机制，确保一般公共预算教育支出逐年只增不减。全面推进集团化办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扩大优质资源带动作用，以市直教育集团引领带动旗县区推行集团化办学，推动优质学校与薄弱学校深度融合、协同发展。大力开展联优联强合作办学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加大对现有京蒙帮扶合作校的指导力度，着力在教师培养、课程建设、研学活动等方面提升合作帮扶质效。实施教育数字化战略行动，</w:t>
      </w:r>
      <w:r>
        <w:rPr>
          <w:rFonts w:hint="eastAsia" w:ascii="Times New Roman" w:hAnsi="Times New Roman" w:eastAsia="仿宋_GB2312" w:cs="方正仿宋_GBK"/>
          <w:b w:val="0"/>
          <w:bCs w:val="0"/>
          <w:color w:val="auto"/>
          <w:highlight w:val="none"/>
          <w:lang w:val="en-US" w:eastAsia="zh-CN"/>
        </w:rPr>
        <w:t>建立完善人工智能赋能教育体系，</w:t>
      </w:r>
      <w:r>
        <w:rPr>
          <w:rFonts w:hint="eastAsia" w:ascii="Times New Roman" w:hAnsi="Times New Roman" w:eastAsia="仿宋_GB2312" w:cs="方正仿宋_GBK"/>
          <w:b w:val="0"/>
          <w:bCs w:val="0"/>
          <w:color w:val="auto"/>
          <w:highlight w:val="none"/>
        </w:rPr>
        <w:t>建设</w:t>
      </w:r>
      <w:r>
        <w:rPr>
          <w:rFonts w:hint="eastAsia" w:eastAsia="仿宋_GB2312" w:cs="方正仿宋_GBK"/>
          <w:b w:val="0"/>
          <w:bCs w:val="0"/>
          <w:color w:val="auto"/>
          <w:highlight w:val="none"/>
          <w:lang w:val="en-US" w:eastAsia="zh-CN"/>
        </w:rPr>
        <w:t>并优化升级“赤峰市</w:t>
      </w:r>
      <w:r>
        <w:rPr>
          <w:rFonts w:hint="eastAsia" w:ascii="Times New Roman" w:hAnsi="Times New Roman" w:eastAsia="仿宋_GB2312" w:cs="方正仿宋_GBK"/>
          <w:b w:val="0"/>
          <w:bCs w:val="0"/>
          <w:color w:val="auto"/>
          <w:highlight w:val="none"/>
        </w:rPr>
        <w:t>智慧教育</w:t>
      </w:r>
      <w:r>
        <w:rPr>
          <w:rFonts w:hint="eastAsia" w:eastAsia="仿宋_GB2312" w:cs="方正仿宋_GBK"/>
          <w:b w:val="0"/>
          <w:bCs w:val="0"/>
          <w:color w:val="auto"/>
          <w:highlight w:val="none"/>
          <w:lang w:val="en-US" w:eastAsia="zh-CN"/>
        </w:rPr>
        <w:t>云</w:t>
      </w:r>
      <w:r>
        <w:rPr>
          <w:rFonts w:hint="eastAsia" w:ascii="Times New Roman" w:hAnsi="Times New Roman" w:eastAsia="仿宋_GB2312" w:cs="方正仿宋_GBK"/>
          <w:b w:val="0"/>
          <w:bCs w:val="0"/>
          <w:color w:val="auto"/>
          <w:highlight w:val="none"/>
        </w:rPr>
        <w:t>平台</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促进教育教学与数字化技术融合创新，进一步提升教育数字化水平。</w:t>
      </w:r>
    </w:p>
    <w:p w14:paraId="68F62E0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078" w:name="_Toc29998"/>
      <w:r>
        <w:rPr>
          <w:rFonts w:hint="eastAsia" w:ascii="Times New Roman" w:hAnsi="Times New Roman" w:eastAsia="仿宋_GB2312" w:cs="方正仿宋_GBK"/>
          <w:b w:val="0"/>
          <w:bCs w:val="0"/>
          <w:color w:val="auto"/>
          <w:highlight w:val="none"/>
          <w:lang w:val="en-US" w:eastAsia="zh-CN"/>
        </w:rPr>
        <w:t>建设高素质专业化教师队伍</w:t>
      </w:r>
      <w:bookmarkEnd w:id="1078"/>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健全师德师风建设长效机制，将教育家精神融入教师培养、管理全职业周期，加强教师队伍思想政治建设。选树宣传优秀教师典型，营造尊师重教的社会氛围。完善教师培养培训体系，提升教师教书育人能力。深化教师管理体制机制改革，健全完善职称评定、绩效考核等奖励激励机制。加快补齐教师队伍建设突出短板，打造一支师德高尚、业务精湛、结构合理、充满活力的高素质专业化教师队伍。</w:t>
      </w:r>
    </w:p>
    <w:p w14:paraId="4793F638">
      <w:pPr>
        <w:keepNext w:val="0"/>
        <w:keepLines w:val="0"/>
        <w:pageBreakBefore w:val="0"/>
        <w:shd w:val="clear"/>
        <w:kinsoku/>
        <w:wordWrap/>
        <w:topLinePunct w:val="0"/>
        <w:autoSpaceDE/>
        <w:autoSpaceDN/>
        <w:bidi w:val="0"/>
        <w:adjustRightInd/>
        <w:spacing w:line="540" w:lineRule="exact"/>
        <w:textAlignment w:val="auto"/>
        <w:rPr>
          <w:rFonts w:hint="eastAsia"/>
          <w:b w:val="0"/>
          <w:bCs w:val="0"/>
          <w:highlight w:val="none"/>
          <w:lang w:val="en-US" w:eastAsia="zh-CN"/>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1430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59" w:type="dxa"/>
            <w:noWrap w:val="0"/>
            <w:vAlign w:val="top"/>
          </w:tcPr>
          <w:p w14:paraId="45FDF16B">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17 教育事业</w:t>
            </w:r>
            <w:r>
              <w:rPr>
                <w:rFonts w:hint="eastAsia" w:ascii="Times New Roman" w:hAnsi="Times New Roman" w:eastAsia="仿宋_GB2312" w:cs="Times New Roman"/>
                <w:b w:val="0"/>
                <w:bCs w:val="0"/>
                <w:sz w:val="24"/>
                <w:highlight w:val="none"/>
              </w:rPr>
              <w:t>重大工程</w:t>
            </w:r>
          </w:p>
        </w:tc>
      </w:tr>
      <w:tr w14:paraId="00FD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59" w:type="dxa"/>
            <w:noWrap w:val="0"/>
            <w:vAlign w:val="top"/>
          </w:tcPr>
          <w:p w14:paraId="424B0812">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基础教育重点工程：适应学龄人口变化趋势，优化基础教育资源配置，推进人口流入和学位短缺地区新建、改扩建学校，解决学位紧张问题，补齐基础设施短板，持续改善办学条件，重点推进赤诚中学、乌丹一中易址新建、红山区第三十八小学等工程项目。</w:t>
            </w:r>
          </w:p>
          <w:p w14:paraId="4ACCDD3F">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职业教育重点工程：聚焦提升职业教育服务地方经济社会发展能力，提高职业院校办学育人水平，重点推进赤峰职业本科大学建设、赤峰工业职业技术学院教学设备更新置换、内蒙古交通职业技术学院节能与新能源汽车产教融合实训基地等项目。</w:t>
            </w:r>
          </w:p>
          <w:p w14:paraId="3252612C">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高等教育重点工程：推动高等教育提质扩容，着力推进</w:t>
            </w:r>
            <w:r>
              <w:rPr>
                <w:rFonts w:hint="default" w:ascii="Times New Roman" w:hAnsi="Times New Roman" w:eastAsia="仿宋_GB2312" w:cs="Times New Roman"/>
                <w:b w:val="0"/>
                <w:bCs w:val="0"/>
                <w:highlight w:val="none"/>
              </w:rPr>
              <w:t>赤峰</w:t>
            </w:r>
            <w:r>
              <w:rPr>
                <w:rFonts w:hint="eastAsia" w:ascii="Times New Roman" w:hAnsi="Times New Roman" w:eastAsia="仿宋_GB2312" w:cs="Times New Roman"/>
                <w:b w:val="0"/>
                <w:bCs w:val="0"/>
                <w:highlight w:val="none"/>
                <w:lang w:val="en-US" w:eastAsia="zh-CN"/>
              </w:rPr>
              <w:t>大学</w:t>
            </w:r>
            <w:r>
              <w:rPr>
                <w:rFonts w:hint="default" w:ascii="Times New Roman" w:hAnsi="Times New Roman" w:eastAsia="仿宋_GB2312" w:cs="Times New Roman"/>
                <w:b w:val="0"/>
                <w:bCs w:val="0"/>
                <w:highlight w:val="none"/>
              </w:rPr>
              <w:t>学生宿舍楼</w:t>
            </w:r>
            <w:r>
              <w:rPr>
                <w:rFonts w:hint="eastAsia" w:ascii="Times New Roman" w:hAnsi="Times New Roman" w:eastAsia="仿宋_GB2312" w:cs="Times New Roman"/>
                <w:b w:val="0"/>
                <w:bCs w:val="0"/>
                <w:highlight w:val="none"/>
                <w:lang w:eastAsia="zh-CN"/>
              </w:rPr>
              <w:t>、室内体育场馆</w:t>
            </w:r>
            <w:r>
              <w:rPr>
                <w:rFonts w:hint="eastAsia" w:ascii="Times New Roman" w:hAnsi="Times New Roman" w:eastAsia="仿宋_GB2312" w:cs="Times New Roman"/>
                <w:b w:val="0"/>
                <w:bCs w:val="0"/>
                <w:highlight w:val="none"/>
                <w:lang w:val="en-US" w:eastAsia="zh-CN"/>
              </w:rPr>
              <w:t>、赤峰有色金属矿产学院楼</w:t>
            </w:r>
            <w:r>
              <w:rPr>
                <w:rFonts w:hint="eastAsia" w:ascii="Times New Roman" w:hAnsi="Times New Roman" w:eastAsia="仿宋_GB2312" w:cs="Times New Roman"/>
                <w:b w:val="0"/>
                <w:bCs w:val="0"/>
                <w:highlight w:val="none"/>
                <w:lang w:eastAsia="zh-CN"/>
              </w:rPr>
              <w:t>、</w:t>
            </w:r>
            <w:r>
              <w:rPr>
                <w:rFonts w:hint="default" w:ascii="Times New Roman" w:hAnsi="Times New Roman" w:eastAsia="仿宋_GB2312" w:cs="Times New Roman"/>
                <w:b w:val="0"/>
                <w:bCs w:val="0"/>
                <w:highlight w:val="none"/>
              </w:rPr>
              <w:t>生物医药产教融合实训基地</w:t>
            </w:r>
            <w:r>
              <w:rPr>
                <w:rFonts w:hint="eastAsia" w:ascii="Times New Roman" w:hAnsi="Times New Roman" w:eastAsia="仿宋_GB2312" w:cs="Times New Roman"/>
                <w:b w:val="0"/>
                <w:bCs w:val="0"/>
                <w:highlight w:val="none"/>
                <w:lang w:eastAsia="zh-CN"/>
              </w:rPr>
              <w:t>、</w:t>
            </w:r>
            <w:r>
              <w:rPr>
                <w:rFonts w:hint="default" w:ascii="Times New Roman" w:hAnsi="Times New Roman" w:eastAsia="仿宋_GB2312" w:cs="Times New Roman"/>
                <w:b w:val="0"/>
                <w:bCs w:val="0"/>
                <w:highlight w:val="none"/>
              </w:rPr>
              <w:t>素质教育基地</w:t>
            </w:r>
            <w:r>
              <w:rPr>
                <w:rFonts w:hint="eastAsia" w:ascii="Times New Roman" w:hAnsi="Times New Roman" w:eastAsia="仿宋_GB2312" w:cs="Times New Roman"/>
                <w:b w:val="0"/>
                <w:bCs w:val="0"/>
                <w:highlight w:val="none"/>
                <w:lang w:val="en-US" w:eastAsia="zh-CN"/>
              </w:rPr>
              <w:t>等项目建设。</w:t>
            </w:r>
          </w:p>
        </w:tc>
      </w:tr>
    </w:tbl>
    <w:p w14:paraId="756AE8B9">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19C412D2">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79" w:name="_Toc29428"/>
      <w:bookmarkStart w:id="1080" w:name="_Toc10910"/>
      <w:bookmarkStart w:id="1081" w:name="_Toc2022"/>
      <w:bookmarkStart w:id="1082" w:name="_Toc15777"/>
      <w:bookmarkStart w:id="1083" w:name="_Toc23910"/>
      <w:bookmarkStart w:id="1084" w:name="_Toc32523"/>
      <w:bookmarkStart w:id="1085" w:name="_Toc11611"/>
      <w:bookmarkStart w:id="1086" w:name="_Toc10627"/>
      <w:bookmarkStart w:id="1087" w:name="_Toc15900"/>
      <w:bookmarkStart w:id="1088" w:name="_Toc15249"/>
      <w:bookmarkStart w:id="1089" w:name="_Toc1396"/>
      <w:bookmarkStart w:id="1090" w:name="_Toc3929"/>
      <w:bookmarkStart w:id="1091" w:name="_Toc22716"/>
      <w:bookmarkStart w:id="1092" w:name="_Toc15459"/>
      <w:bookmarkStart w:id="1093" w:name="_Toc10578"/>
      <w:bookmarkStart w:id="1094" w:name="_Toc26998"/>
      <w:bookmarkStart w:id="1095" w:name="_Toc15518"/>
      <w:bookmarkStart w:id="1096" w:name="_Toc6723"/>
      <w:bookmarkStart w:id="1097" w:name="_Toc10758"/>
      <w:bookmarkStart w:id="1098" w:name="_Toc21282"/>
      <w:bookmarkStart w:id="1099" w:name="_Toc15325"/>
      <w:bookmarkStart w:id="1100" w:name="_Toc6267"/>
      <w:bookmarkStart w:id="1101" w:name="_Toc29400"/>
      <w:r>
        <w:rPr>
          <w:rFonts w:hint="eastAsia" w:ascii="楷体_GB2312" w:hAnsi="楷体_GB2312" w:eastAsia="楷体_GB2312" w:cs="楷体_GB2312"/>
          <w:b w:val="0"/>
          <w:bCs w:val="0"/>
          <w:color w:val="auto"/>
          <w:sz w:val="32"/>
          <w:szCs w:val="40"/>
          <w:highlight w:val="none"/>
          <w:lang w:val="en-US" w:eastAsia="zh-CN"/>
        </w:rPr>
        <w:t>推进健康赤峰建设</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0CB5E3BD">
      <w:pPr>
        <w:pStyle w:val="43"/>
        <w:keepNext w:val="0"/>
        <w:keepLines w:val="0"/>
        <w:pageBreakBefore w:val="0"/>
        <w:shd w:val="clear"/>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坚持把人民健康放在优先发展的战略位置，落实新时代党的卫生与健康工作方针，深入实施“医疗提质行动”，推动从以治病为中心向以健康为中心转变，提高</w:t>
      </w:r>
      <w:r>
        <w:rPr>
          <w:rFonts w:hint="eastAsia" w:eastAsia="仿宋_GB2312" w:cs="方正仿宋_GBK"/>
          <w:b w:val="0"/>
          <w:bCs w:val="0"/>
          <w:color w:val="auto"/>
          <w:highlight w:val="none"/>
          <w:lang w:val="en-US" w:eastAsia="zh-CN"/>
        </w:rPr>
        <w:t>全民</w:t>
      </w:r>
      <w:r>
        <w:rPr>
          <w:rFonts w:hint="eastAsia" w:ascii="Times New Roman" w:hAnsi="Times New Roman" w:eastAsia="仿宋_GB2312" w:cs="方正仿宋_GBK"/>
          <w:b w:val="0"/>
          <w:bCs w:val="0"/>
          <w:color w:val="auto"/>
          <w:highlight w:val="none"/>
          <w:lang w:val="en-US" w:eastAsia="zh-CN"/>
        </w:rPr>
        <w:t>健康水平。</w:t>
      </w:r>
    </w:p>
    <w:p w14:paraId="51C77FA6">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sz w:val="32"/>
          <w:szCs w:val="32"/>
          <w:highlight w:val="none"/>
          <w:lang w:val="en-US" w:eastAsia="zh-CN"/>
        </w:rPr>
        <w:t>健全公共卫生体系</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强化公共卫生</w:t>
      </w:r>
      <w:r>
        <w:rPr>
          <w:rFonts w:hint="eastAsia" w:ascii="Times New Roman" w:hAnsi="Times New Roman" w:eastAsia="仿宋_GB2312" w:cs="方正仿宋_GBK"/>
          <w:b w:val="0"/>
          <w:bCs w:val="0"/>
          <w:color w:val="auto"/>
          <w:highlight w:val="none"/>
          <w:lang w:val="en-US"/>
        </w:rPr>
        <w:t>能力</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强化医疗机构疾病预防控制职能，</w:t>
      </w:r>
      <w:r>
        <w:rPr>
          <w:rFonts w:hint="eastAsia" w:ascii="Times New Roman" w:hAnsi="Times New Roman" w:eastAsia="仿宋_GB2312" w:cs="方正仿宋_GBK"/>
          <w:b w:val="0"/>
          <w:bCs w:val="0"/>
          <w:color w:val="auto"/>
          <w:highlight w:val="none"/>
          <w:lang w:val="en-US"/>
        </w:rPr>
        <w:t>促进社会共治、医防协同、医防融合</w:t>
      </w:r>
      <w:r>
        <w:rPr>
          <w:rFonts w:hint="eastAsia" w:ascii="Times New Roman" w:hAnsi="Times New Roman" w:eastAsia="仿宋_GB2312" w:cs="方正仿宋_GBK"/>
          <w:b w:val="0"/>
          <w:bCs w:val="0"/>
          <w:color w:val="auto"/>
          <w:highlight w:val="none"/>
        </w:rPr>
        <w:t>。巩固拓展国家级传染病防控医防协同医防融合试点城市建设成果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推进自治区级区域公共卫生中心建设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rPr>
        <w:t>健全传染病预防控制、应急处置、医疗救治、物资保障和监督管理体系，加强鼠疫、布病等重大传染病防治</w:t>
      </w:r>
      <w:r>
        <w:rPr>
          <w:rFonts w:hint="eastAsia" w:ascii="Times New Roman" w:hAnsi="Times New Roman" w:eastAsia="仿宋_GB2312" w:cs="方正仿宋_GBK"/>
          <w:b w:val="0"/>
          <w:bCs w:val="0"/>
          <w:color w:val="auto"/>
          <w:highlight w:val="none"/>
        </w:rPr>
        <w:t>。加强检验检测、流行病学调查、传染病救治、公共卫生干预、宣传教育等疾控专业能力建设。</w:t>
      </w:r>
      <w:r>
        <w:rPr>
          <w:rFonts w:hint="eastAsia" w:ascii="Times New Roman" w:hAnsi="Times New Roman" w:eastAsia="仿宋_GB2312" w:cs="方正仿宋_GBK"/>
          <w:b w:val="0"/>
          <w:bCs w:val="0"/>
          <w:color w:val="auto"/>
          <w:highlight w:val="none"/>
          <w:lang w:val="en-US"/>
        </w:rPr>
        <w:t>巩固提升慢性病综合防控和地方病防治能力。提升血液保障能力</w:t>
      </w:r>
      <w:r>
        <w:rPr>
          <w:rFonts w:hint="eastAsia" w:eastAsia="仿宋_GB2312" w:cs="方正仿宋_GBK"/>
          <w:b w:val="0"/>
          <w:bCs w:val="0"/>
          <w:color w:val="auto"/>
          <w:highlight w:val="none"/>
          <w:lang w:val="en-US" w:eastAsia="zh-CN"/>
        </w:rPr>
        <w:t>，加强全市血液采集、检测和供应能力建设，提升血液安全和信息化水平，全方位强化区域血液安全保障能力</w:t>
      </w:r>
      <w:r>
        <w:rPr>
          <w:rFonts w:hint="eastAsia" w:ascii="Times New Roman" w:hAnsi="Times New Roman" w:eastAsia="仿宋_GB2312" w:cs="方正仿宋_GBK"/>
          <w:b w:val="0"/>
          <w:bCs w:val="0"/>
          <w:color w:val="auto"/>
          <w:highlight w:val="none"/>
          <w:lang w:val="en-US"/>
        </w:rPr>
        <w:t>。</w:t>
      </w:r>
      <w:r>
        <w:rPr>
          <w:rFonts w:hint="eastAsia" w:ascii="Times New Roman" w:hAnsi="Times New Roman" w:eastAsia="仿宋_GB2312" w:cs="方正仿宋_GBK"/>
          <w:b w:val="0"/>
          <w:bCs w:val="0"/>
          <w:color w:val="auto"/>
          <w:highlight w:val="none"/>
        </w:rPr>
        <w:t>健全完善职业病监测评估和诊断救治技术支撑体系</w:t>
      </w:r>
      <w:r>
        <w:rPr>
          <w:rFonts w:hint="eastAsia" w:eastAsia="仿宋_GB2312" w:cs="方正仿宋_GBK"/>
          <w:b w:val="0"/>
          <w:bCs w:val="0"/>
          <w:color w:val="auto"/>
          <w:highlight w:val="none"/>
          <w:lang w:eastAsia="zh-CN"/>
        </w:rPr>
        <w:t>。</w:t>
      </w:r>
    </w:p>
    <w:p w14:paraId="032BA16F">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sz w:val="32"/>
          <w:szCs w:val="32"/>
          <w:highlight w:val="none"/>
          <w:lang w:val="en-US" w:eastAsia="zh-CN"/>
        </w:rPr>
        <w:t>提升医疗服务能力</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rPr>
        <w:t>优化医疗机构功能定位和布局，促进优质医疗资源扩容下沉和均衡布局。加快建设国家、</w:t>
      </w:r>
      <w:r>
        <w:rPr>
          <w:rFonts w:hint="eastAsia" w:ascii="Times New Roman" w:hAnsi="Times New Roman" w:eastAsia="仿宋_GB2312" w:cs="方正仿宋_GBK"/>
          <w:b w:val="0"/>
          <w:bCs w:val="0"/>
          <w:color w:val="auto"/>
          <w:highlight w:val="none"/>
        </w:rPr>
        <w:t>自治区级区域医疗中心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w:t>
      </w:r>
      <w:r>
        <w:rPr>
          <w:rFonts w:hint="eastAsia" w:ascii="Times New Roman" w:hAnsi="Times New Roman" w:eastAsia="仿宋_GB2312" w:cs="方正仿宋_GBK"/>
          <w:b w:val="0"/>
          <w:bCs w:val="0"/>
          <w:color w:val="auto"/>
          <w:highlight w:val="none"/>
          <w:lang w:val="en-US"/>
        </w:rPr>
        <w:t>与区内外高水平医院对口协作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提升市级医院服务能力，遴选建设一批国家、自治区、市级临床重点专科。强化旗县级医院综合能力建设，实现区域医疗资源整合共享</w:t>
      </w:r>
      <w:r>
        <w:rPr>
          <w:rFonts w:hint="eastAsia" w:ascii="Times New Roman" w:hAnsi="Times New Roman" w:eastAsia="仿宋_GB2312" w:cs="方正仿宋_GBK"/>
          <w:b w:val="0"/>
          <w:bCs w:val="0"/>
          <w:color w:val="auto"/>
          <w:highlight w:val="none"/>
        </w:rPr>
        <w:t>。实施</w:t>
      </w:r>
      <w:r>
        <w:rPr>
          <w:rFonts w:hint="eastAsia" w:eastAsia="仿宋_GB2312" w:cs="方正仿宋_GBK"/>
          <w:b w:val="0"/>
          <w:bCs w:val="0"/>
          <w:color w:val="auto"/>
          <w:highlight w:val="none"/>
          <w:lang w:eastAsia="zh-CN"/>
        </w:rPr>
        <w:t>医疗卫生“强基工程”</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社区医院</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促进中（蒙）西医协同发展，推进旗县级及以上公立综合医院中医（蒙医）科全覆盖、专科医院和妇幼保健机构中医药（蒙医药）服务全覆盖。组建基层中医药（蒙医药）特色健康服务综合体，全面提升中医药（蒙医药）治未病、疾病治疗、康复、公共卫生、健康宣教等整体服务水平。</w:t>
      </w:r>
      <w:r>
        <w:rPr>
          <w:rFonts w:hint="eastAsia" w:ascii="Times New Roman" w:hAnsi="Times New Roman" w:eastAsia="仿宋_GB2312" w:cs="方正仿宋_GBK"/>
          <w:b w:val="0"/>
          <w:bCs w:val="0"/>
          <w:color w:val="auto"/>
          <w:highlight w:val="none"/>
          <w:lang w:val="en-US"/>
        </w:rPr>
        <w:t>实施医疗机构能力提升、病房楼改造和设备更新项目，推动卫生健康信息一体化应用，大力发展“互联网+医疗健康”。</w:t>
      </w:r>
    </w:p>
    <w:p w14:paraId="555216AE">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lang w:eastAsia="zh-CN"/>
        </w:rPr>
      </w:pPr>
      <w:r>
        <w:rPr>
          <w:rFonts w:hint="eastAsia" w:ascii="Times New Roman" w:hAnsi="Times New Roman" w:eastAsia="仿宋_GB2312" w:cs="方正仿宋_GBK"/>
          <w:b w:val="0"/>
          <w:bCs w:val="0"/>
          <w:color w:val="auto"/>
          <w:sz w:val="32"/>
          <w:szCs w:val="32"/>
          <w:highlight w:val="none"/>
          <w:lang w:val="en-US" w:eastAsia="zh-CN"/>
        </w:rPr>
        <w:t>深化医药卫生体制改革</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因地制宜学习推广三明医改经验，</w:t>
      </w:r>
      <w:r>
        <w:rPr>
          <w:rFonts w:hint="eastAsia" w:ascii="Times New Roman" w:hAnsi="Times New Roman" w:eastAsia="仿宋_GB2312" w:cs="方正仿宋_GBK"/>
          <w:b w:val="0"/>
          <w:bCs w:val="0"/>
          <w:color w:val="auto"/>
          <w:highlight w:val="none"/>
        </w:rPr>
        <w:t>推进医疗、医保、医药协同发展</w:t>
      </w:r>
      <w:r>
        <w:rPr>
          <w:rFonts w:hint="eastAsia" w:ascii="Times New Roman" w:hAnsi="Times New Roman" w:eastAsia="仿宋_GB2312" w:cs="方正仿宋_GBK"/>
          <w:b w:val="0"/>
          <w:bCs w:val="0"/>
          <w:color w:val="auto"/>
          <w:highlight w:val="none"/>
          <w:lang w:val="en-US" w:eastAsia="zh-CN"/>
        </w:rPr>
        <w:t>和治理。</w:t>
      </w:r>
      <w:r>
        <w:rPr>
          <w:rFonts w:hint="eastAsia" w:ascii="Times New Roman" w:hAnsi="Times New Roman" w:eastAsia="仿宋_GB2312" w:cs="方正仿宋_GBK"/>
          <w:b w:val="0"/>
          <w:bCs w:val="0"/>
          <w:color w:val="auto"/>
          <w:highlight w:val="none"/>
        </w:rPr>
        <w:t>深化紧密型城市医疗集团</w:t>
      </w:r>
      <w:r>
        <w:rPr>
          <w:rFonts w:hint="eastAsia" w:ascii="Times New Roman" w:hAnsi="Times New Roman"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rPr>
        <w:t>紧密型县域医共体建设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健全</w:t>
      </w:r>
      <w:r>
        <w:rPr>
          <w:rFonts w:hint="eastAsia" w:ascii="Times New Roman" w:hAnsi="Times New Roman" w:eastAsia="仿宋_GB2312" w:cs="方正仿宋_GBK"/>
          <w:b w:val="0"/>
          <w:bCs w:val="0"/>
          <w:color w:val="auto"/>
          <w:highlight w:val="none"/>
          <w:lang w:val="en-US" w:eastAsia="zh-CN"/>
        </w:rPr>
        <w:t>医共体内部</w:t>
      </w:r>
      <w:r>
        <w:rPr>
          <w:rFonts w:hint="eastAsia" w:ascii="Times New Roman" w:hAnsi="Times New Roman" w:eastAsia="仿宋_GB2312" w:cs="方正仿宋_GBK"/>
          <w:b w:val="0"/>
          <w:bCs w:val="0"/>
          <w:color w:val="auto"/>
          <w:highlight w:val="none"/>
        </w:rPr>
        <w:t>医保总额付费制度，实现</w:t>
      </w:r>
      <w:r>
        <w:rPr>
          <w:rFonts w:hint="eastAsia" w:ascii="Times New Roman" w:hAnsi="Times New Roman" w:eastAsia="仿宋_GB2312" w:cs="方正仿宋_GBK"/>
          <w:b w:val="0"/>
          <w:bCs w:val="0"/>
          <w:color w:val="auto"/>
          <w:highlight w:val="none"/>
          <w:lang w:val="en-US" w:eastAsia="zh-CN"/>
        </w:rPr>
        <w:t>医联体</w:t>
      </w:r>
      <w:r>
        <w:rPr>
          <w:rFonts w:hint="eastAsia" w:ascii="Times New Roman" w:hAnsi="Times New Roman" w:eastAsia="仿宋_GB2312" w:cs="方正仿宋_GBK"/>
          <w:b w:val="0"/>
          <w:bCs w:val="0"/>
          <w:color w:val="auto"/>
          <w:highlight w:val="none"/>
        </w:rPr>
        <w:t>成员单位检查检验结果互认</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促进</w:t>
      </w:r>
      <w:r>
        <w:rPr>
          <w:rFonts w:hint="eastAsia" w:ascii="Times New Roman" w:hAnsi="Times New Roman" w:eastAsia="仿宋_GB2312" w:cs="方正仿宋_GBK"/>
          <w:b w:val="0"/>
          <w:bCs w:val="0"/>
          <w:color w:val="auto"/>
          <w:highlight w:val="none"/>
        </w:rPr>
        <w:t>分级诊疗。深化以公益性为导向的公立医院综合改革，</w:t>
      </w:r>
      <w:r>
        <w:rPr>
          <w:rFonts w:hint="eastAsia" w:ascii="Times New Roman" w:hAnsi="Times New Roman" w:eastAsia="仿宋_GB2312" w:cs="方正仿宋_GBK"/>
          <w:b w:val="0"/>
          <w:bCs w:val="0"/>
          <w:color w:val="auto"/>
          <w:highlight w:val="none"/>
          <w:lang w:val="en-US" w:eastAsia="zh-CN"/>
        </w:rPr>
        <w:t>加快</w:t>
      </w:r>
      <w:r>
        <w:rPr>
          <w:rFonts w:hint="eastAsia" w:ascii="Times New Roman" w:hAnsi="Times New Roman" w:eastAsia="仿宋_GB2312" w:cs="方正仿宋_GBK"/>
          <w:b w:val="0"/>
          <w:bCs w:val="0"/>
          <w:color w:val="auto"/>
          <w:highlight w:val="none"/>
        </w:rPr>
        <w:t>公立医院编制、服务价格、薪酬制度、综合监管改革</w:t>
      </w:r>
      <w:r>
        <w:rPr>
          <w:rFonts w:hint="eastAsia" w:ascii="Times New Roman" w:hAnsi="Times New Roman" w:eastAsia="仿宋_GB2312" w:cs="方正仿宋_GBK"/>
          <w:b w:val="0"/>
          <w:bCs w:val="0"/>
          <w:color w:val="auto"/>
          <w:highlight w:val="none"/>
          <w:lang w:val="en-US" w:eastAsia="zh-CN"/>
        </w:rPr>
        <w:t>进程</w:t>
      </w:r>
      <w:r>
        <w:rPr>
          <w:rFonts w:hint="eastAsia" w:ascii="Times New Roman" w:hAnsi="Times New Roman" w:eastAsia="仿宋_GB2312" w:cs="方正仿宋_GBK"/>
          <w:b w:val="0"/>
          <w:bCs w:val="0"/>
          <w:color w:val="auto"/>
          <w:highlight w:val="none"/>
          <w:lang w:eastAsia="zh-CN"/>
        </w:rPr>
        <w:t>。加强</w:t>
      </w:r>
      <w:r>
        <w:rPr>
          <w:rFonts w:hint="eastAsia" w:ascii="Times New Roman" w:hAnsi="Times New Roman" w:eastAsia="仿宋_GB2312" w:cs="方正仿宋_GBK"/>
          <w:b w:val="0"/>
          <w:bCs w:val="0"/>
          <w:color w:val="auto"/>
          <w:highlight w:val="none"/>
          <w:lang w:val="en-US" w:eastAsia="zh-CN"/>
        </w:rPr>
        <w:t>公立医疗机构</w:t>
      </w:r>
      <w:r>
        <w:rPr>
          <w:rFonts w:hint="eastAsia" w:ascii="Times New Roman" w:hAnsi="Times New Roman" w:eastAsia="仿宋_GB2312" w:cs="方正仿宋_GBK"/>
          <w:b w:val="0"/>
          <w:bCs w:val="0"/>
          <w:color w:val="auto"/>
          <w:highlight w:val="none"/>
          <w:lang w:eastAsia="zh-CN"/>
        </w:rPr>
        <w:t>运行保障。</w:t>
      </w:r>
    </w:p>
    <w:p w14:paraId="54A320FB">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102" w:name="_Toc17287"/>
      <w:r>
        <w:rPr>
          <w:rFonts w:hint="eastAsia" w:ascii="Times New Roman" w:hAnsi="Times New Roman" w:eastAsia="仿宋_GB2312" w:cs="方正仿宋_GBK"/>
          <w:b w:val="0"/>
          <w:bCs w:val="0"/>
          <w:color w:val="auto"/>
          <w:sz w:val="32"/>
          <w:szCs w:val="32"/>
          <w:highlight w:val="none"/>
          <w:lang w:val="en-US" w:eastAsia="zh-CN"/>
        </w:rPr>
        <w:t>强化医疗人才队伍建设</w:t>
      </w:r>
      <w:bookmarkEnd w:id="1102"/>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实施急需紧缺人才培养计划，加强公共卫生、全科、儿科、重症医学、呼吸、精神科、传染病、老年医学等领域急需紧缺专业人才培养培训，完善公共卫生与临床医学复合型人才培养机制。加强基层医疗卫生人才队伍建设</w:t>
      </w:r>
      <w:r>
        <w:rPr>
          <w:rFonts w:hint="eastAsia"/>
          <w:b w:val="0"/>
          <w:bCs w:val="0"/>
          <w:highlight w:val="none"/>
          <w:lang w:eastAsia="zh-CN"/>
        </w:rPr>
        <w:t>，</w:t>
      </w:r>
      <w:r>
        <w:rPr>
          <w:rFonts w:hint="eastAsia" w:ascii="Times New Roman" w:hAnsi="Times New Roman" w:eastAsia="仿宋_GB2312" w:cs="方正仿宋_GBK"/>
          <w:b w:val="0"/>
          <w:bCs w:val="0"/>
          <w:color w:val="auto"/>
          <w:highlight w:val="none"/>
          <w:lang w:val="en-US" w:eastAsia="zh-CN"/>
        </w:rPr>
        <w:t>落实执业医师服务基层制度。强化住院医师规范化培训基地建设，扩大“西学中”培训规模，夯实基层人才能力基础，落实卫生人才评价机制。</w:t>
      </w:r>
    </w:p>
    <w:p w14:paraId="630609F8">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方正仿宋_GBK" w:cs="方正仿宋_GBK"/>
          <w:b w:val="0"/>
          <w:bCs w:val="0"/>
          <w:color w:val="auto"/>
          <w:highlight w:val="none"/>
        </w:rPr>
      </w:pPr>
      <w:bookmarkStart w:id="1103" w:name="_Toc27121"/>
      <w:r>
        <w:rPr>
          <w:rFonts w:hint="eastAsia" w:ascii="Times New Roman" w:hAnsi="Times New Roman" w:eastAsia="仿宋_GB2312" w:cs="方正仿宋_GBK"/>
          <w:b w:val="0"/>
          <w:bCs w:val="0"/>
          <w:color w:val="auto"/>
          <w:sz w:val="32"/>
          <w:szCs w:val="32"/>
          <w:highlight w:val="none"/>
          <w:lang w:val="en-US" w:eastAsia="zh-CN"/>
        </w:rPr>
        <w:t>提升全民健康水平</w:t>
      </w:r>
      <w:bookmarkEnd w:id="1103"/>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普及健康知识，倡导文明健康的生活方式。加强重点人群健康服务，完善老年健康服务体系，保障妇幼健康，促进儿童青少年健康成长</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加强职业病防治。完善心理健康和精神卫生服务体系。</w:t>
      </w:r>
      <w:r>
        <w:rPr>
          <w:rFonts w:hint="eastAsia" w:ascii="Times New Roman" w:hAnsi="Times New Roman" w:eastAsia="仿宋_GB2312" w:cs="方正仿宋_GBK"/>
          <w:b w:val="0"/>
          <w:bCs w:val="0"/>
          <w:color w:val="auto"/>
          <w:highlight w:val="none"/>
          <w:lang w:val="en-US"/>
        </w:rPr>
        <w:t>实施合理膳食行动和国民营养计划，持续开展健康体重管理行动</w:t>
      </w:r>
      <w:r>
        <w:rPr>
          <w:rFonts w:hint="eastAsia" w:ascii="Times New Roman" w:hAnsi="Times New Roman" w:eastAsia="仿宋_GB2312" w:cs="方正仿宋_GBK"/>
          <w:b w:val="0"/>
          <w:bCs w:val="0"/>
          <w:color w:val="auto"/>
          <w:highlight w:val="none"/>
        </w:rPr>
        <w:t>。深入开展爱国卫生运动。</w:t>
      </w:r>
      <w:r>
        <w:rPr>
          <w:rFonts w:hint="eastAsia" w:ascii="Times New Roman" w:hAnsi="Times New Roman" w:eastAsia="仿宋_GB2312" w:cs="方正仿宋_GBK"/>
          <w:b w:val="0"/>
          <w:bCs w:val="0"/>
          <w:color w:val="auto"/>
          <w:highlight w:val="none"/>
          <w:lang w:val="en-US" w:eastAsia="zh-CN"/>
        </w:rPr>
        <w:t>完善全民健身公共服务体系，积极发展群众体育、竞技体育。</w:t>
      </w:r>
      <w:r>
        <w:rPr>
          <w:rFonts w:hint="eastAsia" w:ascii="Times New Roman" w:hAnsi="Times New Roman" w:eastAsia="仿宋_GB2312" w:cs="方正仿宋_GBK"/>
          <w:b w:val="0"/>
          <w:bCs w:val="0"/>
          <w:color w:val="auto"/>
          <w:highlight w:val="none"/>
        </w:rPr>
        <w:t>提高全民身体素质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均衡布局构建城市公园绿地体系，打造“1</w:t>
      </w:r>
      <w:r>
        <w:rPr>
          <w:rFonts w:hint="eastAsia" w:eastAsia="仿宋_GB2312" w:cs="方正仿宋_GBK"/>
          <w:b w:val="0"/>
          <w:bCs w:val="0"/>
          <w:color w:val="auto"/>
          <w:highlight w:val="none"/>
          <w:lang w:val="en-US" w:eastAsia="zh-CN"/>
        </w:rPr>
        <w:t>0</w:t>
      </w:r>
      <w:r>
        <w:rPr>
          <w:rFonts w:hint="eastAsia" w:ascii="Times New Roman" w:hAnsi="Times New Roman" w:eastAsia="仿宋_GB2312" w:cs="方正仿宋_GBK"/>
          <w:b w:val="0"/>
          <w:bCs w:val="0"/>
          <w:color w:val="auto"/>
          <w:highlight w:val="none"/>
        </w:rPr>
        <w:t>分钟健身圈”。支持社会力量参与全民健身设施的建设、管理和运营，推动企事业单位体育设施向社会开放，推进公共体育设施免费或低收费开放。推动各类体育社会组织向基层群众身边覆盖延伸，加强社会体育指导员队伍建设。整合公共体育和医疗卫生资源，推广建设体医融合服务机构和平台，创新体医融合的疾病管理和健康服务模式。</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C63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6DA863F">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18 健康赤峰</w:t>
            </w:r>
            <w:r>
              <w:rPr>
                <w:rFonts w:hint="eastAsia" w:ascii="Times New Roman" w:hAnsi="Times New Roman" w:eastAsia="仿宋_GB2312" w:cs="Times New Roman"/>
                <w:b w:val="0"/>
                <w:bCs w:val="0"/>
                <w:sz w:val="24"/>
                <w:highlight w:val="none"/>
              </w:rPr>
              <w:t>重大工程</w:t>
            </w:r>
          </w:p>
        </w:tc>
      </w:tr>
      <w:tr w14:paraId="63B4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19894C5">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医疗服务能力提升工程：实现国家区域医疗中心、自治区级专科区域医疗中心高效运营。推进医疗机构病房改造及能力提升，开展医疗设备设施更新，提升医疗机构康复护理能力。</w:t>
            </w:r>
          </w:p>
          <w:p w14:paraId="7266BE3B">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医疗卫生“强基工程”：实施紧密型县域医共体设备更新项目。推进旗县级医院、重点中心乡镇卫生院提质升级，建设紧密型县域医共体五大中心。</w:t>
            </w:r>
          </w:p>
          <w:p w14:paraId="6D6301C6">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中医药（蒙医药）传承创新工程：开展中医（蒙医）优势专科中心建设，提升中医药（蒙医药）防病治病能力。</w:t>
            </w:r>
          </w:p>
          <w:p w14:paraId="4A1F26E8">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血液安全保障工程：实施血液安全保障体系建设项目，加强血液采集、监测、储备能力。</w:t>
            </w:r>
          </w:p>
          <w:p w14:paraId="6DBD5383">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疾病预防控制体系建设工程：建设国家级传染病防控医防协同医防融合试点，建成自治区区域公共卫生中心，提升传染病智能监测预警能力。</w:t>
            </w:r>
          </w:p>
          <w:p w14:paraId="2C0664CB">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医疗卫生信息化重点工程：完善市级区域全民健康信息平台。探索AI辅助诊断、智能分诊、慢病管理等场景应用。提升紧密型县域医共体、紧密型城市医疗集团信息化管理水平。</w:t>
            </w:r>
          </w:p>
        </w:tc>
      </w:tr>
    </w:tbl>
    <w:p w14:paraId="01F2F05A">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332B7061">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104" w:name="_Toc15022"/>
      <w:bookmarkStart w:id="1105" w:name="_Toc523"/>
      <w:bookmarkStart w:id="1106" w:name="_Toc27052"/>
      <w:bookmarkStart w:id="1107" w:name="_Toc5286"/>
      <w:bookmarkStart w:id="1108" w:name="_Toc15837"/>
      <w:bookmarkStart w:id="1109" w:name="_Toc4195"/>
      <w:bookmarkStart w:id="1110" w:name="_Toc26064"/>
      <w:bookmarkStart w:id="1111" w:name="_Toc1980"/>
      <w:bookmarkStart w:id="1112" w:name="_Toc15405"/>
      <w:bookmarkStart w:id="1113" w:name="_Toc30594"/>
      <w:bookmarkStart w:id="1114" w:name="_Toc19626"/>
      <w:bookmarkStart w:id="1115" w:name="_Toc13021"/>
      <w:bookmarkStart w:id="1116" w:name="_Toc17904"/>
      <w:bookmarkStart w:id="1117" w:name="_Toc22945"/>
      <w:bookmarkStart w:id="1118" w:name="_Toc2541"/>
      <w:bookmarkStart w:id="1119" w:name="_Toc21958"/>
      <w:bookmarkStart w:id="1120" w:name="_Toc7153"/>
      <w:bookmarkStart w:id="1121" w:name="_Toc7763"/>
      <w:bookmarkStart w:id="1122" w:name="_Toc1010"/>
      <w:bookmarkStart w:id="1123" w:name="_Toc3267"/>
      <w:bookmarkStart w:id="1124" w:name="_Toc239"/>
      <w:bookmarkStart w:id="1125" w:name="_Toc20833"/>
      <w:bookmarkStart w:id="1126" w:name="_Toc720"/>
      <w:r>
        <w:rPr>
          <w:rFonts w:hint="eastAsia" w:ascii="楷体_GB2312" w:hAnsi="楷体_GB2312" w:eastAsia="楷体_GB2312" w:cs="楷体_GB2312"/>
          <w:b w:val="0"/>
          <w:bCs w:val="0"/>
          <w:color w:val="auto"/>
          <w:sz w:val="32"/>
          <w:szCs w:val="40"/>
          <w:highlight w:val="none"/>
          <w:lang w:val="en-US" w:eastAsia="zh-CN"/>
        </w:rPr>
        <w:t>健全社会保障体系</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14:paraId="3468EDA8">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eastAsia="zh-CN"/>
        </w:rPr>
      </w:pPr>
      <w:r>
        <w:rPr>
          <w:rFonts w:hint="eastAsia" w:ascii="Times New Roman" w:hAnsi="Times New Roman" w:eastAsia="仿宋_GB2312" w:cs="方正仿宋_GBK"/>
          <w:b w:val="0"/>
          <w:bCs w:val="0"/>
          <w:color w:val="auto"/>
          <w:highlight w:val="none"/>
        </w:rPr>
        <w:t>围绕建设覆盖全民、统筹城乡、公平统一、安全规范、可持续的多层次社会保障体系，织密扎牢社会保障安全网。</w:t>
      </w:r>
    </w:p>
    <w:p w14:paraId="445A3BD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127" w:name="_Toc24797"/>
      <w:r>
        <w:rPr>
          <w:rFonts w:hint="eastAsia" w:ascii="Times New Roman" w:hAnsi="Times New Roman" w:eastAsia="仿宋_GB2312" w:cs="方正仿宋_GBK"/>
          <w:b w:val="0"/>
          <w:bCs w:val="0"/>
          <w:color w:val="auto"/>
          <w:highlight w:val="none"/>
        </w:rPr>
        <w:t>完善</w:t>
      </w:r>
      <w:r>
        <w:rPr>
          <w:rFonts w:hint="eastAsia" w:ascii="Times New Roman" w:hAnsi="Times New Roman" w:eastAsia="仿宋_GB2312" w:cs="方正仿宋_GBK"/>
          <w:b w:val="0"/>
          <w:bCs w:val="0"/>
          <w:color w:val="auto"/>
          <w:highlight w:val="none"/>
          <w:lang w:val="en-US" w:eastAsia="zh-CN"/>
        </w:rPr>
        <w:t>社会</w:t>
      </w:r>
      <w:r>
        <w:rPr>
          <w:rFonts w:hint="eastAsia" w:ascii="Times New Roman" w:hAnsi="Times New Roman" w:eastAsia="仿宋_GB2312" w:cs="方正仿宋_GBK"/>
          <w:b w:val="0"/>
          <w:bCs w:val="0"/>
          <w:color w:val="auto"/>
          <w:highlight w:val="none"/>
        </w:rPr>
        <w:t>保险体系</w:t>
      </w:r>
      <w:bookmarkEnd w:id="1127"/>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高质量实施全民参保计划</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提高</w:t>
      </w:r>
      <w:r>
        <w:rPr>
          <w:rFonts w:hint="eastAsia" w:ascii="Times New Roman" w:hAnsi="Times New Roman" w:eastAsia="仿宋_GB2312" w:cs="方正仿宋_GBK"/>
          <w:b w:val="0"/>
          <w:bCs w:val="0"/>
          <w:color w:val="auto"/>
          <w:highlight w:val="none"/>
          <w:lang w:val="en-US" w:eastAsia="zh-CN"/>
        </w:rPr>
        <w:t>灵活就业人员</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农牧民工</w:t>
      </w:r>
      <w:r>
        <w:rPr>
          <w:rFonts w:hint="eastAsia" w:eastAsia="仿宋_GB2312" w:cs="方正仿宋_GBK"/>
          <w:b w:val="0"/>
          <w:bCs w:val="0"/>
          <w:color w:val="auto"/>
          <w:highlight w:val="none"/>
          <w:lang w:val="en-US" w:eastAsia="zh-CN"/>
        </w:rPr>
        <w:t>、新就业形态人员参保率</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推动社会保险扩面提质。</w:t>
      </w:r>
      <w:r>
        <w:rPr>
          <w:rFonts w:hint="eastAsia" w:ascii="Times New Roman" w:hAnsi="Times New Roman" w:eastAsia="仿宋_GB2312" w:cs="方正仿宋_GBK"/>
          <w:b w:val="0"/>
          <w:bCs w:val="0"/>
          <w:color w:val="auto"/>
          <w:highlight w:val="none"/>
          <w:lang w:val="en-US" w:eastAsia="zh-CN"/>
        </w:rPr>
        <w:t>完善多层次多支柱养老保险体系，全面落实企业职工基本养老保险全国统筹，执行统一的机关事业单位养老保险政策；完善城乡居民养老保险制度体系，建立多缴多得、长缴多得的激励机制。</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lang w:val="en-US" w:eastAsia="zh-CN"/>
        </w:rPr>
        <w:t>城乡居民养老保险待遇调整机制。大力发展企业年金和职业年金，鼓励用人单位建立年金制度。推动发展个人养老金，提高个人养老储备能力，形成基本养老保险、单位年金、个人养老金相互衔接的养老保险体系。</w:t>
      </w:r>
      <w:r>
        <w:rPr>
          <w:rFonts w:hint="eastAsia" w:eastAsia="仿宋_GB2312" w:cs="方正仿宋_GBK"/>
          <w:b w:val="0"/>
          <w:bCs w:val="0"/>
          <w:color w:val="auto"/>
          <w:highlight w:val="none"/>
          <w:lang w:val="en-US" w:eastAsia="zh-CN"/>
        </w:rPr>
        <w:t>健全多层次医疗保障体系，</w:t>
      </w:r>
      <w:r>
        <w:rPr>
          <w:rFonts w:hint="eastAsia" w:ascii="Times New Roman" w:hAnsi="Times New Roman" w:eastAsia="仿宋_GB2312" w:cs="方正仿宋_GBK"/>
          <w:b w:val="0"/>
          <w:bCs w:val="0"/>
          <w:color w:val="auto"/>
          <w:highlight w:val="none"/>
        </w:rPr>
        <w:t>完善</w:t>
      </w:r>
      <w:r>
        <w:rPr>
          <w:rFonts w:hint="eastAsia" w:ascii="Times New Roman" w:hAnsi="Times New Roman" w:eastAsia="仿宋_GB2312" w:cs="方正仿宋_GBK"/>
          <w:b w:val="0"/>
          <w:bCs w:val="0"/>
          <w:color w:val="auto"/>
          <w:highlight w:val="none"/>
          <w:lang w:val="en-US" w:eastAsia="zh-CN"/>
        </w:rPr>
        <w:t>基本医疗、</w:t>
      </w:r>
      <w:r>
        <w:rPr>
          <w:rFonts w:hint="eastAsia" w:ascii="Times New Roman" w:hAnsi="Times New Roman" w:eastAsia="仿宋_GB2312" w:cs="方正仿宋_GBK"/>
          <w:b w:val="0"/>
          <w:bCs w:val="0"/>
          <w:color w:val="auto"/>
          <w:highlight w:val="none"/>
        </w:rPr>
        <w:t>大病保险和医疗救助</w:t>
      </w:r>
      <w:r>
        <w:rPr>
          <w:rFonts w:hint="eastAsia" w:eastAsia="仿宋_GB2312" w:cs="方正仿宋_GBK"/>
          <w:b w:val="0"/>
          <w:bCs w:val="0"/>
          <w:color w:val="auto"/>
          <w:highlight w:val="none"/>
          <w:lang w:val="en-US" w:eastAsia="zh-CN"/>
        </w:rPr>
        <w:t>三重</w:t>
      </w:r>
      <w:r>
        <w:rPr>
          <w:rFonts w:hint="eastAsia" w:ascii="Times New Roman" w:hAnsi="Times New Roman" w:eastAsia="仿宋_GB2312" w:cs="方正仿宋_GBK"/>
          <w:b w:val="0"/>
          <w:bCs w:val="0"/>
          <w:color w:val="auto"/>
          <w:highlight w:val="none"/>
        </w:rPr>
        <w:t>制度</w:t>
      </w:r>
      <w:r>
        <w:rPr>
          <w:rFonts w:hint="eastAsia" w:eastAsia="仿宋_GB2312" w:cs="方正仿宋_GBK"/>
          <w:b w:val="0"/>
          <w:bCs w:val="0"/>
          <w:color w:val="auto"/>
          <w:highlight w:val="none"/>
          <w:lang w:val="en-US" w:eastAsia="zh-CN"/>
        </w:rPr>
        <w:t>保障体系</w:t>
      </w:r>
      <w:r>
        <w:rPr>
          <w:rFonts w:hint="eastAsia" w:ascii="Times New Roman" w:hAnsi="Times New Roman" w:eastAsia="仿宋_GB2312" w:cs="方正仿宋_GBK"/>
          <w:b w:val="0"/>
          <w:bCs w:val="0"/>
          <w:color w:val="auto"/>
          <w:highlight w:val="none"/>
        </w:rPr>
        <w:t>。强化失业保险保障功能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扩展失业保险覆盖范围，将更多职业群体纳入保障体系</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加强失业保险防失业促就业功能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建立健全新业态从业人员失业保障机制，探索适应新就业形态的失业保险参保和待遇支付方式。推进工伤保险扩面提质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重点推进建筑业、高危行业等领域从业人员工伤保险全覆盖</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rPr>
        <w:t>职业伤害保障制度。深入推行以社会保障卡为载体的“一卡通”服务管理新模式</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到2030年，基本养老保险参保率</w:t>
      </w:r>
      <w:r>
        <w:rPr>
          <w:rFonts w:hint="eastAsia" w:eastAsia="仿宋_GB2312" w:cs="方正仿宋_GBK"/>
          <w:b w:val="0"/>
          <w:bCs w:val="0"/>
          <w:color w:val="auto"/>
          <w:highlight w:val="none"/>
          <w:lang w:val="en-US" w:eastAsia="zh-CN"/>
        </w:rPr>
        <w:t>保持在95</w:t>
      </w:r>
      <w:r>
        <w:rPr>
          <w:rFonts w:hint="eastAsia" w:ascii="Times New Roman" w:hAnsi="Times New Roman" w:eastAsia="仿宋_GB2312" w:cs="方正仿宋_GBK"/>
          <w:b w:val="0"/>
          <w:bCs w:val="0"/>
          <w:color w:val="auto"/>
          <w:highlight w:val="none"/>
          <w:lang w:val="en-US" w:eastAsia="zh-CN"/>
        </w:rPr>
        <w:t>%以上，基本医疗保险</w:t>
      </w:r>
      <w:r>
        <w:rPr>
          <w:rFonts w:hint="eastAsia" w:eastAsia="仿宋_GB2312" w:cs="方正仿宋_GBK"/>
          <w:b w:val="0"/>
          <w:bCs w:val="0"/>
          <w:color w:val="auto"/>
          <w:highlight w:val="none"/>
          <w:lang w:val="en-US" w:eastAsia="zh-CN"/>
        </w:rPr>
        <w:t>常住人口</w:t>
      </w:r>
      <w:r>
        <w:rPr>
          <w:rFonts w:hint="eastAsia" w:ascii="Times New Roman" w:hAnsi="Times New Roman" w:eastAsia="仿宋_GB2312" w:cs="方正仿宋_GBK"/>
          <w:b w:val="0"/>
          <w:bCs w:val="0"/>
          <w:color w:val="auto"/>
          <w:highlight w:val="none"/>
          <w:lang w:val="en-US" w:eastAsia="zh-CN"/>
        </w:rPr>
        <w:t>参保率稳定在</w:t>
      </w:r>
      <w:r>
        <w:rPr>
          <w:rFonts w:hint="eastAsia" w:eastAsia="仿宋_GB2312" w:cs="方正仿宋_GBK"/>
          <w:b w:val="0"/>
          <w:bCs w:val="0"/>
          <w:color w:val="auto"/>
          <w:highlight w:val="none"/>
          <w:lang w:val="en-US" w:eastAsia="zh-CN"/>
        </w:rPr>
        <w:t>95</w:t>
      </w:r>
      <w:r>
        <w:rPr>
          <w:rFonts w:hint="eastAsia" w:ascii="Times New Roman" w:hAnsi="Times New Roman" w:eastAsia="仿宋_GB2312" w:cs="方正仿宋_GBK"/>
          <w:b w:val="0"/>
          <w:bCs w:val="0"/>
          <w:color w:val="auto"/>
          <w:highlight w:val="none"/>
          <w:lang w:val="en-US" w:eastAsia="zh-CN"/>
        </w:rPr>
        <w:t>%以上，失业保险、工伤保险覆盖所有法定群体。</w:t>
      </w:r>
    </w:p>
    <w:p w14:paraId="59E8A70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highlight w:val="none"/>
        </w:rPr>
      </w:pPr>
      <w:bookmarkStart w:id="1128" w:name="_Toc25769"/>
      <w:r>
        <w:rPr>
          <w:rFonts w:hint="eastAsia" w:ascii="Times New Roman" w:hAnsi="Times New Roman" w:eastAsia="仿宋_GB2312" w:cs="方正仿宋_GBK"/>
          <w:b w:val="0"/>
          <w:bCs w:val="0"/>
          <w:color w:val="auto"/>
          <w:highlight w:val="none"/>
        </w:rPr>
        <w:t>健全社会救助体系</w:t>
      </w:r>
      <w:bookmarkEnd w:id="1128"/>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进一步完善分层分类救助制度，紧跟国家、自治区社会救助立法进程，及时修订出台</w:t>
      </w:r>
      <w:r>
        <w:rPr>
          <w:rFonts w:hint="eastAsia" w:eastAsia="仿宋_GB2312" w:cs="方正仿宋_GBK"/>
          <w:b w:val="0"/>
          <w:bCs w:val="0"/>
          <w:color w:val="auto"/>
          <w:highlight w:val="none"/>
          <w:lang w:val="en-US" w:eastAsia="zh-CN"/>
        </w:rPr>
        <w:t>赤峰市</w:t>
      </w:r>
      <w:r>
        <w:rPr>
          <w:rFonts w:hint="eastAsia" w:ascii="Times New Roman" w:hAnsi="Times New Roman" w:eastAsia="仿宋_GB2312" w:cs="方正仿宋_GBK"/>
          <w:b w:val="0"/>
          <w:bCs w:val="0"/>
          <w:color w:val="auto"/>
          <w:highlight w:val="none"/>
        </w:rPr>
        <w:t>社会救助工作办法。建立健全多部门协同发力、梯度救助工作格局。完善基本生活救助，落实低保渐退、就业成本扣减、“单人保”等政策规定，推动</w:t>
      </w:r>
      <w:r>
        <w:rPr>
          <w:rFonts w:hint="eastAsia" w:eastAsia="仿宋_GB2312" w:cs="方正仿宋_GBK"/>
          <w:b w:val="0"/>
          <w:bCs w:val="0"/>
          <w:color w:val="auto"/>
          <w:highlight w:val="none"/>
          <w:lang w:val="en-US" w:eastAsia="zh-CN"/>
        </w:rPr>
        <w:t>赤峰市</w:t>
      </w:r>
      <w:r>
        <w:rPr>
          <w:rFonts w:hint="eastAsia" w:ascii="Times New Roman" w:hAnsi="Times New Roman" w:eastAsia="仿宋_GB2312" w:cs="方正仿宋_GBK"/>
          <w:b w:val="0"/>
          <w:bCs w:val="0"/>
          <w:color w:val="auto"/>
          <w:highlight w:val="none"/>
        </w:rPr>
        <w:t>社会救助扩围增效。全面落实特困人员供养制度，健全完善分散供养特困人员探访制度。增强临时救助制度时效性，充分发挥急难型临时救助作用，进一步简化优化办理流程、提高救助效率。健全专项救助制度，加强医疗、教育、住建、人社等专项救助的部门衔接，推动部门专项救助向低保边缘家庭和刚性支出困难家庭延伸。完善低收入人口认定工作措施，提升社会救助服务能力。完善信息共享、数据比对、主动发现机制，以嘎查村（居）社会救助协理员为基础，加强政府购买社会救助服务工作，提高市级财政保障力度，强化核查工作力量。促进社会力量参与</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鼓励引导社会力量</w:t>
      </w:r>
      <w:r>
        <w:rPr>
          <w:rFonts w:hint="eastAsia" w:eastAsia="仿宋_GB2312" w:cs="方正仿宋_GBK"/>
          <w:b w:val="0"/>
          <w:bCs w:val="0"/>
          <w:color w:val="auto"/>
          <w:highlight w:val="none"/>
          <w:lang w:eastAsia="zh-CN"/>
        </w:rPr>
        <w:t>广泛</w:t>
      </w:r>
      <w:r>
        <w:rPr>
          <w:rFonts w:hint="eastAsia" w:ascii="Times New Roman" w:hAnsi="Times New Roman" w:eastAsia="仿宋_GB2312" w:cs="方正仿宋_GBK"/>
          <w:b w:val="0"/>
          <w:bCs w:val="0"/>
          <w:color w:val="auto"/>
          <w:highlight w:val="none"/>
        </w:rPr>
        <w:t>参与社会救助工作，完善救助帮扶多元供给机制，更好满足困难群众多层次多样化救助需求。建立健全政府救助与</w:t>
      </w:r>
      <w:r>
        <w:rPr>
          <w:rFonts w:hint="eastAsia" w:ascii="Times New Roman" w:hAnsi="Times New Roman" w:eastAsia="仿宋_GB2312" w:cs="方正仿宋_GBK"/>
          <w:b w:val="0"/>
          <w:bCs w:val="0"/>
          <w:color w:val="auto"/>
          <w:spacing w:val="-6"/>
          <w:highlight w:val="none"/>
        </w:rPr>
        <w:t>慈善帮扶有效衔接机制，鼓励引导慈善组织</w:t>
      </w:r>
      <w:r>
        <w:rPr>
          <w:rFonts w:hint="eastAsia" w:eastAsia="仿宋_GB2312" w:cs="方正仿宋_GBK"/>
          <w:b w:val="0"/>
          <w:bCs w:val="0"/>
          <w:color w:val="auto"/>
          <w:spacing w:val="-6"/>
          <w:highlight w:val="none"/>
          <w:lang w:eastAsia="zh-CN"/>
        </w:rPr>
        <w:t>广泛开展</w:t>
      </w:r>
      <w:r>
        <w:rPr>
          <w:rFonts w:hint="eastAsia" w:ascii="Times New Roman" w:hAnsi="Times New Roman" w:eastAsia="仿宋_GB2312" w:cs="方正仿宋_GBK"/>
          <w:b w:val="0"/>
          <w:bCs w:val="0"/>
          <w:color w:val="auto"/>
          <w:spacing w:val="-6"/>
          <w:highlight w:val="none"/>
        </w:rPr>
        <w:t>慈善帮扶活动</w:t>
      </w:r>
      <w:r>
        <w:rPr>
          <w:rFonts w:hint="eastAsia" w:eastAsia="仿宋_GB2312" w:cs="方正仿宋_GBK"/>
          <w:b w:val="0"/>
          <w:bCs w:val="0"/>
          <w:color w:val="auto"/>
          <w:spacing w:val="-6"/>
          <w:highlight w:val="none"/>
          <w:lang w:eastAsia="zh-CN"/>
        </w:rPr>
        <w:t>。</w:t>
      </w:r>
    </w:p>
    <w:p w14:paraId="1AFD472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color w:val="auto"/>
          <w:highlight w:val="none"/>
          <w:lang w:val="en-US" w:eastAsia="zh-CN"/>
        </w:rPr>
      </w:pPr>
      <w:bookmarkStart w:id="1129" w:name="_Toc30621"/>
      <w:r>
        <w:rPr>
          <w:rFonts w:hint="eastAsia" w:ascii="Times New Roman" w:hAnsi="Times New Roman" w:eastAsia="仿宋_GB2312" w:cs="方正仿宋_GBK"/>
          <w:b w:val="0"/>
          <w:bCs w:val="0"/>
          <w:color w:val="auto"/>
          <w:highlight w:val="none"/>
          <w:lang w:val="en-US" w:eastAsia="zh-CN"/>
        </w:rPr>
        <w:t>关心关爱特殊群体</w:t>
      </w:r>
      <w:bookmarkEnd w:id="1129"/>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完善儿童福利保障制度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健全孤儿和事实无人抚养儿童保障制度</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建立保障标准</w:t>
      </w:r>
      <w:r>
        <w:rPr>
          <w:rFonts w:hint="eastAsia" w:eastAsia="仿宋_GB2312" w:cs="方正仿宋_GBK"/>
          <w:b w:val="0"/>
          <w:bCs w:val="0"/>
          <w:color w:val="auto"/>
          <w:highlight w:val="none"/>
          <w:lang w:val="en-US" w:eastAsia="zh-CN"/>
        </w:rPr>
        <w:t>动态调整</w:t>
      </w:r>
      <w:r>
        <w:rPr>
          <w:rFonts w:hint="eastAsia" w:ascii="Times New Roman" w:hAnsi="Times New Roman" w:eastAsia="仿宋_GB2312" w:cs="方正仿宋_GBK"/>
          <w:b w:val="0"/>
          <w:bCs w:val="0"/>
          <w:color w:val="auto"/>
          <w:highlight w:val="none"/>
        </w:rPr>
        <w:t>机制，</w:t>
      </w:r>
      <w:r>
        <w:rPr>
          <w:rFonts w:hint="eastAsia" w:eastAsia="仿宋_GB2312" w:cs="方正仿宋_GBK"/>
          <w:b w:val="0"/>
          <w:bCs w:val="0"/>
          <w:color w:val="auto"/>
          <w:highlight w:val="none"/>
          <w:lang w:val="en-US" w:eastAsia="zh-CN"/>
        </w:rPr>
        <w:t>适时</w:t>
      </w:r>
      <w:r>
        <w:rPr>
          <w:rFonts w:hint="eastAsia" w:ascii="Times New Roman" w:hAnsi="Times New Roman" w:eastAsia="仿宋_GB2312" w:cs="方正仿宋_GBK"/>
          <w:b w:val="0"/>
          <w:bCs w:val="0"/>
          <w:color w:val="auto"/>
          <w:highlight w:val="none"/>
        </w:rPr>
        <w:t>提高保障标准。扩大保障范围，将更多事实无人抚养儿童纳入保障体系。加强困境儿童分类保障，建立困境儿童风险评估和精准帮扶制度，对困难家庭儿童提供生活、教育、医疗等多方面援助。推进儿童福利机构优化提质，推动市级儿童福利院创新转型，打造集养育、医疗、康复、教育、社会工作于一体的区域性儿童福利服务机构。加强基层儿童工作队伍建设。推进儿童友好建设，营造关心关爱下一代的社会环境</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拓展残疾人福利保障内容</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完善残疾人两项补贴制度，建立补贴标准动态调整机制。加强残疾人康复服务，实施残疾儿童康复救助制度，完善残疾儿童康复救助服务网络，逐步提高救助标准，扩大救助年龄范围。推进精神障碍社区康复服务</w:t>
      </w:r>
      <w:r>
        <w:rPr>
          <w:rFonts w:hint="eastAsia" w:ascii="Times New Roman" w:hAnsi="Times New Roman" w:eastAsia="仿宋_GB2312" w:cs="方正仿宋_GBK"/>
          <w:b w:val="0"/>
          <w:bCs w:val="0"/>
          <w:color w:val="auto"/>
          <w:highlight w:val="none"/>
          <w:lang w:eastAsia="zh-CN"/>
        </w:rPr>
        <w:t>发展</w:t>
      </w:r>
      <w:r>
        <w:rPr>
          <w:rFonts w:hint="eastAsia" w:ascii="Times New Roman" w:hAnsi="Times New Roman" w:eastAsia="仿宋_GB2312" w:cs="方正仿宋_GBK"/>
          <w:b w:val="0"/>
          <w:bCs w:val="0"/>
          <w:color w:val="auto"/>
          <w:highlight w:val="none"/>
        </w:rPr>
        <w:t>。加快无障碍环境建设，推进城市道路、公共交通、公共服务场所等无障碍改造。</w:t>
      </w:r>
      <w:r>
        <w:rPr>
          <w:rFonts w:hint="eastAsia" w:ascii="Times New Roman" w:hAnsi="Times New Roman" w:eastAsia="仿宋_GB2312" w:cs="方正仿宋_GBK"/>
          <w:b w:val="0"/>
          <w:bCs w:val="0"/>
          <w:color w:val="auto"/>
          <w:highlight w:val="none"/>
          <w:lang w:val="en-US" w:eastAsia="zh-CN"/>
        </w:rPr>
        <w:t>做好退役军人工作，围绕把退役军人“接收安置好、服务保障好、教育管理好、作用发挥好、权益维护好”目标要求，持续加强退役军人服务保障体系建设</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eastAsia="zh-CN"/>
        </w:rPr>
        <w:t>健全</w:t>
      </w:r>
      <w:r>
        <w:rPr>
          <w:rFonts w:hint="eastAsia" w:ascii="Times New Roman" w:hAnsi="Times New Roman" w:eastAsia="仿宋_GB2312" w:cs="方正仿宋_GBK"/>
          <w:b w:val="0"/>
          <w:bCs w:val="0"/>
          <w:color w:val="auto"/>
          <w:highlight w:val="none"/>
        </w:rPr>
        <w:t>完善双拥工作机制，努力争创全国双拥模范城“十一连冠”，</w:t>
      </w:r>
      <w:r>
        <w:rPr>
          <w:rFonts w:hint="eastAsia" w:ascii="Times New Roman" w:hAnsi="Times New Roman" w:eastAsia="仿宋_GB2312" w:cs="方正仿宋_GBK"/>
          <w:b w:val="0"/>
          <w:bCs w:val="0"/>
          <w:color w:val="auto"/>
          <w:highlight w:val="none"/>
          <w:lang w:val="en-US" w:eastAsia="zh-CN"/>
        </w:rPr>
        <w:t>积极开展城连共建、城舰共建工作。</w:t>
      </w:r>
    </w:p>
    <w:p w14:paraId="39FF276D">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130" w:name="_Toc11737"/>
      <w:bookmarkStart w:id="1131" w:name="_Toc19845"/>
      <w:bookmarkStart w:id="1132" w:name="_Toc9106"/>
      <w:bookmarkStart w:id="1133" w:name="_Toc28644"/>
      <w:bookmarkStart w:id="1134" w:name="_Toc16359"/>
      <w:bookmarkStart w:id="1135" w:name="_Toc26675"/>
      <w:bookmarkStart w:id="1136" w:name="_Toc2937"/>
      <w:bookmarkStart w:id="1137" w:name="_Toc24640"/>
      <w:bookmarkStart w:id="1138" w:name="_Toc11690"/>
      <w:bookmarkStart w:id="1139" w:name="_Toc1082"/>
      <w:bookmarkStart w:id="1140" w:name="_Toc7210"/>
      <w:bookmarkStart w:id="1141" w:name="_Toc28017"/>
      <w:bookmarkStart w:id="1142" w:name="_Toc28495"/>
      <w:bookmarkStart w:id="1143" w:name="_Toc26720"/>
      <w:bookmarkStart w:id="1144" w:name="_Toc7332"/>
      <w:bookmarkStart w:id="1145" w:name="_Toc30751"/>
      <w:bookmarkStart w:id="1146" w:name="_Toc2790"/>
      <w:bookmarkStart w:id="1147" w:name="_Toc10439"/>
      <w:bookmarkStart w:id="1148" w:name="_Toc9943"/>
      <w:bookmarkStart w:id="1149" w:name="_Toc23766"/>
      <w:bookmarkStart w:id="1150" w:name="_Toc14739"/>
      <w:bookmarkStart w:id="1151" w:name="_Toc3965"/>
      <w:bookmarkStart w:id="1152" w:name="_Toc13467"/>
      <w:r>
        <w:rPr>
          <w:rFonts w:hint="eastAsia" w:ascii="楷体_GB2312" w:hAnsi="楷体_GB2312" w:eastAsia="楷体_GB2312" w:cs="楷体_GB2312"/>
          <w:b w:val="0"/>
          <w:bCs w:val="0"/>
          <w:color w:val="auto"/>
          <w:sz w:val="32"/>
          <w:szCs w:val="40"/>
          <w:highlight w:val="none"/>
          <w:lang w:val="en-US" w:eastAsia="zh-CN"/>
        </w:rPr>
        <w:t>促进人口高质量发展</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14:paraId="2553ADE5">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深刻认识和全面把握人口发展新常态，以应对</w:t>
      </w:r>
      <w:r>
        <w:rPr>
          <w:rFonts w:hint="eastAsia" w:eastAsia="仿宋_GB2312" w:cs="方正仿宋_GBK"/>
          <w:b w:val="0"/>
          <w:bCs w:val="0"/>
          <w:color w:val="auto"/>
          <w:highlight w:val="none"/>
          <w:lang w:val="en-US" w:eastAsia="zh-CN"/>
        </w:rPr>
        <w:t>人口</w:t>
      </w:r>
      <w:r>
        <w:rPr>
          <w:rFonts w:hint="eastAsia" w:ascii="Times New Roman" w:hAnsi="Times New Roman" w:eastAsia="仿宋_GB2312" w:cs="方正仿宋_GBK"/>
          <w:b w:val="0"/>
          <w:bCs w:val="0"/>
          <w:color w:val="auto"/>
          <w:highlight w:val="none"/>
          <w:lang w:val="en-US" w:eastAsia="zh-CN"/>
        </w:rPr>
        <w:t>老龄化、少子化为重点完善人口发展战略，健全覆盖全人群、全生命周期的人口服务体系，进一步优化人口布局</w:t>
      </w:r>
      <w:r>
        <w:rPr>
          <w:rFonts w:hint="eastAsia" w:eastAsia="仿宋_GB2312" w:cs="方正仿宋_GBK"/>
          <w:b w:val="0"/>
          <w:bCs w:val="0"/>
          <w:color w:val="auto"/>
          <w:highlight w:val="none"/>
          <w:lang w:val="en-US" w:eastAsia="zh-CN"/>
        </w:rPr>
        <w:t>，完善人口集聚区公共服务供给，</w:t>
      </w:r>
      <w:r>
        <w:rPr>
          <w:rFonts w:hint="eastAsia" w:ascii="Times New Roman" w:hAnsi="Times New Roman" w:eastAsia="仿宋_GB2312" w:cs="方正仿宋_GBK"/>
          <w:b w:val="0"/>
          <w:bCs w:val="0"/>
          <w:color w:val="auto"/>
          <w:highlight w:val="none"/>
          <w:lang w:val="en-US" w:eastAsia="zh-CN"/>
        </w:rPr>
        <w:t>促进人口高质量发展，保持全区人口大市地位。</w:t>
      </w:r>
    </w:p>
    <w:p w14:paraId="1790705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1153" w:name="_Toc10517"/>
      <w:r>
        <w:rPr>
          <w:rFonts w:hint="eastAsia" w:ascii="Times New Roman" w:hAnsi="Times New Roman" w:eastAsia="仿宋_GB2312" w:cs="方正仿宋_GBK"/>
          <w:b w:val="0"/>
          <w:bCs w:val="0"/>
          <w:color w:val="auto"/>
          <w:highlight w:val="none"/>
          <w:lang w:val="en-US" w:eastAsia="zh-CN"/>
        </w:rPr>
        <w:t>完善</w:t>
      </w:r>
      <w:r>
        <w:rPr>
          <w:rFonts w:hint="eastAsia" w:ascii="Times New Roman" w:hAnsi="Times New Roman" w:eastAsia="仿宋_GB2312" w:cs="方正仿宋_GBK"/>
          <w:b w:val="0"/>
          <w:bCs w:val="0"/>
          <w:color w:val="auto"/>
          <w:highlight w:val="none"/>
        </w:rPr>
        <w:t>生育支持政策体系</w:t>
      </w:r>
      <w:bookmarkEnd w:id="1153"/>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强化生育服务支持</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加强生育保险对参保女职工生育医疗费用、生育津贴等保障作用，落实相关待遇保障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落实参加居民基本医疗保险的未就业人员生育医疗费用待遇保障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探索</w:t>
      </w:r>
      <w:r>
        <w:rPr>
          <w:rFonts w:hint="eastAsia" w:ascii="Times New Roman" w:hAnsi="Times New Roman" w:eastAsia="仿宋_GB2312" w:cs="方正仿宋_GBK"/>
          <w:b w:val="0"/>
          <w:bCs w:val="0"/>
          <w:color w:val="auto"/>
          <w:highlight w:val="none"/>
        </w:rPr>
        <w:t>将参加职工基本医疗保险的灵活就业人员纳入生育保险。</w:t>
      </w:r>
      <w:r>
        <w:rPr>
          <w:rFonts w:hint="eastAsia" w:ascii="Times New Roman" w:hAnsi="Times New Roman" w:eastAsia="仿宋_GB2312" w:cs="方正仿宋_GBK"/>
          <w:b w:val="0"/>
          <w:bCs w:val="0"/>
          <w:color w:val="auto"/>
          <w:highlight w:val="none"/>
          <w:lang w:val="en-US" w:eastAsia="zh-CN"/>
        </w:rPr>
        <w:t>落实育儿补贴制度和3岁以下婴幼儿照护、子女教育个人所得税专项附加扣除政策</w:t>
      </w:r>
      <w:r>
        <w:rPr>
          <w:rFonts w:hint="eastAsia" w:eastAsia="仿宋_GB2312" w:cs="方正仿宋_GBK"/>
          <w:b w:val="0"/>
          <w:bCs w:val="0"/>
          <w:color w:val="auto"/>
          <w:highlight w:val="none"/>
          <w:lang w:val="en-US" w:eastAsia="zh-CN"/>
        </w:rPr>
        <w:t>。实施早孕关爱行动、母婴安全行动、孕育和出生缺陷防治能力提升计划，提高危重孕产妇和新生儿诊断救治能力。</w:t>
      </w:r>
      <w:r>
        <w:rPr>
          <w:rFonts w:hint="eastAsia" w:ascii="Times New Roman" w:hAnsi="Times New Roman" w:eastAsia="仿宋_GB2312" w:cs="方正仿宋_GBK"/>
          <w:b w:val="0"/>
          <w:bCs w:val="0"/>
          <w:color w:val="auto"/>
          <w:sz w:val="32"/>
          <w:szCs w:val="32"/>
          <w:highlight w:val="none"/>
        </w:rPr>
        <w:t>构建生育友好就业模式</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推行有利于照顾儿童的灵活休假、弹性工作等柔性管理方式，支持用人单位将工作时间可弹性安排的岗位设置为“生育友好岗”。</w:t>
      </w:r>
      <w:r>
        <w:rPr>
          <w:rFonts w:hint="eastAsia" w:ascii="Times New Roman" w:hAnsi="Times New Roman" w:eastAsia="仿宋_GB2312" w:cs="方正仿宋_GBK"/>
          <w:b w:val="0"/>
          <w:bCs w:val="0"/>
          <w:color w:val="auto"/>
          <w:highlight w:val="none"/>
        </w:rPr>
        <w:t>营造生育友好社会氛围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大力倡导积极的婚恋观、生育观、家庭观，创作和推广一批讲述新时代美好爱情、和谐家庭、幸福生活的文艺作品，倡导适龄婚育、优生优育。加强社会宣传引导</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充分利用各类媒体渠道，加强人口和生育支持政策宣传解读，积极回应社会关切。</w:t>
      </w:r>
    </w:p>
    <w:p w14:paraId="70DEA3F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r>
        <w:rPr>
          <w:rFonts w:hint="eastAsia" w:eastAsia="仿宋_GB2312" w:cs="方正仿宋_GBK"/>
          <w:b w:val="0"/>
          <w:bCs w:val="0"/>
          <w:color w:val="auto"/>
          <w:highlight w:val="none"/>
          <w:lang w:val="en-US" w:eastAsia="zh-CN"/>
        </w:rPr>
        <w:t>健全育幼服务体系。</w:t>
      </w:r>
      <w:r>
        <w:rPr>
          <w:rFonts w:hint="eastAsia" w:ascii="Times New Roman" w:hAnsi="Times New Roman" w:eastAsia="仿宋_GB2312" w:cs="方正仿宋_GBK"/>
          <w:b w:val="0"/>
          <w:bCs w:val="0"/>
          <w:color w:val="auto"/>
          <w:highlight w:val="none"/>
        </w:rPr>
        <w:t>提高家庭婴幼儿照护能力</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建立完善健康科普资源库，通过广播、电视、报刊、网络等多种渠道，普及科学育儿知识与技能。</w:t>
      </w:r>
      <w:r>
        <w:rPr>
          <w:rFonts w:hint="eastAsia" w:ascii="Times New Roman" w:hAnsi="Times New Roman" w:eastAsia="仿宋_GB2312" w:cs="方正仿宋_GBK"/>
          <w:b w:val="0"/>
          <w:bCs w:val="0"/>
          <w:color w:val="auto"/>
          <w:highlight w:val="none"/>
          <w:lang w:val="en-US" w:eastAsia="zh-CN"/>
        </w:rPr>
        <w:t>加快普惠托育服务体系建设，多渠道扩大服务供给。引导生源减少的幼儿园整体转型或延伸发展托育服务，发展社区嵌入式托育，实施普惠托育服务机构生均定额补助项目。</w:t>
      </w:r>
      <w:r>
        <w:rPr>
          <w:rFonts w:hint="eastAsia" w:eastAsia="仿宋_GB2312" w:cs="方正仿宋_GBK"/>
          <w:b w:val="0"/>
          <w:bCs w:val="0"/>
          <w:color w:val="auto"/>
          <w:highlight w:val="none"/>
          <w:lang w:val="en-US" w:eastAsia="zh-CN"/>
        </w:rPr>
        <w:t>建设市级托育综合服务中心，</w:t>
      </w:r>
      <w:r>
        <w:rPr>
          <w:rFonts w:hint="eastAsia" w:ascii="Times New Roman" w:hAnsi="Times New Roman" w:eastAsia="仿宋_GB2312" w:cs="方正仿宋_GBK"/>
          <w:b w:val="0"/>
          <w:bCs w:val="0"/>
          <w:color w:val="auto"/>
          <w:highlight w:val="none"/>
          <w:lang w:val="en-US" w:eastAsia="zh-CN"/>
        </w:rPr>
        <w:t>实施托育服务质量提升行动，提升从业人员服务能力。</w:t>
      </w:r>
    </w:p>
    <w:p w14:paraId="1926974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eastAsia="仿宋_GB2312" w:cs="方正仿宋_GBK"/>
          <w:b w:val="0"/>
          <w:bCs w:val="0"/>
          <w:color w:val="auto"/>
          <w:spacing w:val="-6"/>
          <w:highlight w:val="none"/>
          <w:lang w:val="en-US" w:eastAsia="zh-CN"/>
        </w:rPr>
      </w:pPr>
      <w:bookmarkStart w:id="1154" w:name="_Toc4516"/>
      <w:r>
        <w:rPr>
          <w:rFonts w:hint="eastAsia" w:ascii="Times New Roman" w:hAnsi="Times New Roman" w:eastAsia="仿宋_GB2312" w:cs="方正仿宋_GBK"/>
          <w:b w:val="0"/>
          <w:bCs w:val="0"/>
          <w:color w:val="auto"/>
          <w:highlight w:val="none"/>
        </w:rPr>
        <w:t>积极应对人口老龄化</w:t>
      </w:r>
      <w:bookmarkEnd w:id="1154"/>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实施积极应对人口老龄化国家战略，</w:t>
      </w:r>
      <w:r>
        <w:rPr>
          <w:rFonts w:hint="eastAsia" w:ascii="Times New Roman" w:hAnsi="Times New Roman" w:eastAsia="仿宋_GB2312" w:cs="方正仿宋_GBK"/>
          <w:b w:val="0"/>
          <w:bCs w:val="0"/>
          <w:color w:val="auto"/>
          <w:highlight w:val="none"/>
          <w:lang w:val="en-US" w:eastAsia="zh-CN"/>
        </w:rPr>
        <w:t>强化养老服务体系建设，建立长期护理保险制度，推动养老事业和养老产业协同发展。以县域为单位，健全覆盖城乡、上下联动、相互支撑、响应</w:t>
      </w:r>
      <w:r>
        <w:rPr>
          <w:rFonts w:hint="eastAsia" w:eastAsia="仿宋_GB2312" w:cs="方正仿宋_GBK"/>
          <w:b w:val="0"/>
          <w:bCs w:val="0"/>
          <w:color w:val="auto"/>
          <w:highlight w:val="none"/>
          <w:lang w:val="en-US" w:eastAsia="zh-CN"/>
        </w:rPr>
        <w:t>迅速</w:t>
      </w:r>
      <w:r>
        <w:rPr>
          <w:rFonts w:hint="eastAsia" w:ascii="Times New Roman" w:hAnsi="Times New Roman" w:eastAsia="仿宋_GB2312" w:cs="方正仿宋_GBK"/>
          <w:b w:val="0"/>
          <w:bCs w:val="0"/>
          <w:color w:val="auto"/>
          <w:highlight w:val="none"/>
          <w:lang w:val="en-US" w:eastAsia="zh-CN"/>
        </w:rPr>
        <w:t>的旗县（区）、苏木乡镇（街道）、嘎查村（社区）三级养老服务网络。完善城市“一刻钟”养老服务圈建设，大力推进“嵌入式”社区养老服务设施建设，提升“六助”等居家上门服务水平。加大多层次养老服务供给，统筹推进兜底保障型、普惠支持型、完全市场型养老服务发展，推动形成兜底有保障、普惠可持续、高端有选择的服务供给格局。因地制宜、统筹发展符合农村牧区需要的养老服务设施和服务模式，通过优化农村牧区养老服务设施建设、发展农村牧区</w:t>
      </w:r>
      <w:r>
        <w:rPr>
          <w:rFonts w:hint="eastAsia" w:eastAsia="仿宋_GB2312" w:cs="方正仿宋_GBK"/>
          <w:b w:val="0"/>
          <w:bCs w:val="0"/>
          <w:color w:val="auto"/>
          <w:highlight w:val="none"/>
          <w:lang w:val="en-US" w:eastAsia="zh-CN"/>
        </w:rPr>
        <w:t>互助性养老服务</w:t>
      </w:r>
      <w:r>
        <w:rPr>
          <w:rFonts w:hint="eastAsia" w:ascii="Times New Roman" w:hAnsi="Times New Roman" w:eastAsia="仿宋_GB2312" w:cs="方正仿宋_GBK"/>
          <w:b w:val="0"/>
          <w:bCs w:val="0"/>
          <w:color w:val="auto"/>
          <w:highlight w:val="none"/>
          <w:lang w:val="en-US" w:eastAsia="zh-CN"/>
        </w:rPr>
        <w:t>、发展农村牧区流动养老服务等方式满足</w:t>
      </w:r>
      <w:r>
        <w:rPr>
          <w:rFonts w:hint="eastAsia" w:eastAsia="仿宋_GB2312" w:cs="方正仿宋_GBK"/>
          <w:b w:val="0"/>
          <w:bCs w:val="0"/>
          <w:color w:val="auto"/>
          <w:highlight w:val="none"/>
          <w:lang w:val="en-US" w:eastAsia="zh-CN"/>
        </w:rPr>
        <w:t>农村</w:t>
      </w:r>
      <w:r>
        <w:rPr>
          <w:rFonts w:hint="eastAsia" w:ascii="Times New Roman" w:hAnsi="Times New Roman" w:eastAsia="仿宋_GB2312" w:cs="方正仿宋_GBK"/>
          <w:b w:val="0"/>
          <w:bCs w:val="0"/>
          <w:color w:val="auto"/>
          <w:highlight w:val="none"/>
          <w:lang w:val="en-US" w:eastAsia="zh-CN"/>
        </w:rPr>
        <w:t>牧区老年人养老服务需求。实施老年健康教育和促进行动，提升老年人健康素养。加强适老化改造，加大对城市道路、公共交通工具、信号灯、隔离带等设施设备的适老化改造力度。加强老年人权益保障，落实各项老年优待政策</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深入实施“智慧助老”行动，切实解决老年人</w:t>
      </w:r>
      <w:r>
        <w:rPr>
          <w:rFonts w:hint="eastAsia" w:eastAsia="仿宋_GB2312" w:cs="方正仿宋_GBK"/>
          <w:b w:val="0"/>
          <w:bCs w:val="0"/>
          <w:color w:val="auto"/>
          <w:highlight w:val="none"/>
          <w:lang w:val="en-US" w:eastAsia="zh-CN"/>
        </w:rPr>
        <w:t>运用</w:t>
      </w:r>
      <w:r>
        <w:rPr>
          <w:rFonts w:hint="eastAsia" w:ascii="Times New Roman" w:hAnsi="Times New Roman" w:eastAsia="仿宋_GB2312" w:cs="方正仿宋_GBK"/>
          <w:b w:val="0"/>
          <w:bCs w:val="0"/>
          <w:color w:val="auto"/>
          <w:highlight w:val="none"/>
          <w:lang w:val="en-US" w:eastAsia="zh-CN"/>
        </w:rPr>
        <w:t>智能技术困难。扩大老年教育、文化、体育等服务供给，丰富老年人精神文化生活。大力发展银发经济，支持企业发展康复辅具、服装服饰、休闲娱乐、文化旅游等老年用品及</w:t>
      </w:r>
      <w:r>
        <w:rPr>
          <w:rFonts w:hint="eastAsia" w:ascii="Times New Roman" w:hAnsi="Times New Roman" w:eastAsia="仿宋_GB2312" w:cs="方正仿宋_GBK"/>
          <w:b w:val="0"/>
          <w:bCs w:val="0"/>
          <w:color w:val="auto"/>
          <w:spacing w:val="-6"/>
          <w:highlight w:val="none"/>
          <w:lang w:val="en-US" w:eastAsia="zh-CN"/>
        </w:rPr>
        <w:t>服务</w:t>
      </w:r>
      <w:r>
        <w:rPr>
          <w:rFonts w:hint="eastAsia" w:eastAsia="仿宋_GB2312" w:cs="方正仿宋_GBK"/>
          <w:b w:val="0"/>
          <w:bCs w:val="0"/>
          <w:color w:val="auto"/>
          <w:spacing w:val="-6"/>
          <w:highlight w:val="none"/>
          <w:lang w:val="en-US" w:eastAsia="zh-CN"/>
        </w:rPr>
        <w:t>，发展</w:t>
      </w:r>
      <w:r>
        <w:rPr>
          <w:rFonts w:hint="eastAsia" w:ascii="Times New Roman" w:hAnsi="Times New Roman" w:eastAsia="仿宋_GB2312" w:cs="方正仿宋_GBK"/>
          <w:b w:val="0"/>
          <w:bCs w:val="0"/>
          <w:color w:val="auto"/>
          <w:spacing w:val="-6"/>
          <w:highlight w:val="none"/>
          <w:lang w:val="en-US" w:eastAsia="zh-CN"/>
        </w:rPr>
        <w:t>旅居康养，建设“颐养赤峰”旅居康养品牌。强化养老服务发展要素保障，增加财政投入力度，扩大资金来源渠道。加强养老人才队伍建设，完善养老服务人才招聘平台，扩大养老护理员来源渠道，建立以社区为平台、社会工作者为支撑、社区社会组织为载体</w:t>
      </w:r>
      <w:r>
        <w:rPr>
          <w:rFonts w:hint="eastAsia" w:eastAsia="仿宋_GB2312" w:cs="方正仿宋_GBK"/>
          <w:b w:val="0"/>
          <w:bCs w:val="0"/>
          <w:color w:val="auto"/>
          <w:spacing w:val="-6"/>
          <w:highlight w:val="none"/>
          <w:lang w:val="en-US" w:eastAsia="zh-CN"/>
        </w:rPr>
        <w:t>，以</w:t>
      </w:r>
      <w:r>
        <w:rPr>
          <w:rFonts w:hint="eastAsia" w:ascii="Times New Roman" w:hAnsi="Times New Roman" w:eastAsia="仿宋_GB2312" w:cs="方正仿宋_GBK"/>
          <w:b w:val="0"/>
          <w:bCs w:val="0"/>
          <w:color w:val="auto"/>
          <w:spacing w:val="-6"/>
          <w:highlight w:val="none"/>
          <w:lang w:val="en-US" w:eastAsia="zh-CN"/>
        </w:rPr>
        <w:t>社区志愿者为辅助、社区公益慈善资源为补充的“五社联动”机制。</w:t>
      </w:r>
      <w:r>
        <w:rPr>
          <w:rFonts w:hint="eastAsia" w:eastAsia="仿宋_GB2312" w:cs="方正仿宋_GBK"/>
          <w:b w:val="0"/>
          <w:bCs w:val="0"/>
          <w:color w:val="auto"/>
          <w:spacing w:val="-6"/>
          <w:highlight w:val="none"/>
          <w:lang w:val="en-US" w:eastAsia="zh-CN"/>
        </w:rPr>
        <w:t>增加</w:t>
      </w:r>
      <w:r>
        <w:rPr>
          <w:rFonts w:hint="eastAsia" w:ascii="Times New Roman" w:hAnsi="Times New Roman" w:eastAsia="仿宋_GB2312" w:cs="方正仿宋_GBK"/>
          <w:b w:val="0"/>
          <w:bCs w:val="0"/>
          <w:color w:val="auto"/>
          <w:spacing w:val="-6"/>
          <w:highlight w:val="none"/>
          <w:lang w:val="en-US" w:eastAsia="zh-CN"/>
        </w:rPr>
        <w:t>养老设施供给，新建居住小区严格落实“四同步”要求，老城区和已建成居住（小）区通过购置、置换、租赁等方式配齐符合养老服务要求的养老服务设施</w:t>
      </w:r>
      <w:r>
        <w:rPr>
          <w:rFonts w:hint="eastAsia" w:eastAsia="仿宋_GB2312" w:cs="方正仿宋_GBK"/>
          <w:b w:val="0"/>
          <w:bCs w:val="0"/>
          <w:color w:val="auto"/>
          <w:spacing w:val="-6"/>
          <w:highlight w:val="none"/>
          <w:lang w:val="en-US" w:eastAsia="zh-CN"/>
        </w:rPr>
        <w:t>。</w:t>
      </w:r>
      <w:bookmarkStart w:id="1155" w:name="_Toc32308"/>
      <w:bookmarkStart w:id="1156" w:name="_Toc28468"/>
      <w:bookmarkStart w:id="1157" w:name="_Toc1030"/>
      <w:bookmarkStart w:id="1158" w:name="_Toc5449"/>
      <w:bookmarkStart w:id="1159" w:name="_Toc5852"/>
      <w:bookmarkStart w:id="1160" w:name="_Toc7034"/>
      <w:bookmarkStart w:id="1161" w:name="_Toc32730"/>
      <w:bookmarkStart w:id="1162" w:name="_Toc18165"/>
      <w:bookmarkStart w:id="1163" w:name="_Toc23003"/>
      <w:bookmarkStart w:id="1164" w:name="_Toc7491"/>
      <w:bookmarkStart w:id="1165" w:name="_Toc13583"/>
      <w:bookmarkStart w:id="1166" w:name="_Toc10126"/>
      <w:bookmarkStart w:id="1167" w:name="_Toc8505"/>
      <w:bookmarkStart w:id="1168" w:name="_Toc1473"/>
      <w:bookmarkStart w:id="1169" w:name="_Toc4993"/>
      <w:bookmarkStart w:id="1170" w:name="_Toc16525"/>
      <w:bookmarkStart w:id="1171" w:name="_Toc12340"/>
      <w:bookmarkStart w:id="1172" w:name="_Toc9871"/>
      <w:bookmarkStart w:id="1173" w:name="_Toc19421"/>
      <w:bookmarkStart w:id="1174" w:name="_Toc18743"/>
      <w:bookmarkStart w:id="1175" w:name="_Toc9072"/>
      <w:bookmarkStart w:id="1176" w:name="_Toc16168"/>
    </w:p>
    <w:p w14:paraId="306D4EED">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40" w:lineRule="exact"/>
        <w:jc w:val="center"/>
        <w:textAlignment w:val="auto"/>
        <w:outlineLvl w:val="0"/>
        <w:rPr>
          <w:rFonts w:hint="eastAsia" w:ascii="方正小标宋简体" w:hAnsi="方正小标宋简体" w:eastAsia="方正小标宋简体" w:cs="方正小标宋简体"/>
          <w:b w:val="0"/>
          <w:bCs w:val="0"/>
          <w:sz w:val="32"/>
          <w:szCs w:val="32"/>
          <w:highlight w:val="none"/>
          <w:lang w:val="en-US" w:eastAsia="zh-CN"/>
        </w:rPr>
      </w:pPr>
      <w:bookmarkStart w:id="1177" w:name="_Toc1263"/>
      <w:r>
        <w:rPr>
          <w:rFonts w:hint="eastAsia" w:ascii="方正小标宋简体" w:hAnsi="方正小标宋简体" w:eastAsia="方正小标宋简体" w:cs="方正小标宋简体"/>
          <w:b w:val="0"/>
          <w:bCs w:val="0"/>
          <w:sz w:val="32"/>
          <w:szCs w:val="32"/>
          <w:highlight w:val="none"/>
          <w:lang w:val="en-US" w:eastAsia="zh-CN"/>
        </w:rPr>
        <w:t>加强领导，强化中国式现代化赤峰实践组织保障</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28807B6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0"/>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充分发挥党总揽全局、协调各方的领导核心作用，将党的政治优势、组织优势和社会主义集中力量办大事的制度优势，转化为推进规划实施的强大动力和根本保障。</w:t>
      </w:r>
    </w:p>
    <w:p w14:paraId="303F4B67">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1178" w:name="_Toc17491"/>
      <w:bookmarkStart w:id="1179" w:name="_Toc6014"/>
      <w:bookmarkStart w:id="1180" w:name="_Toc30238"/>
      <w:bookmarkStart w:id="1181" w:name="_Toc8755"/>
      <w:bookmarkStart w:id="1182" w:name="_Toc20116"/>
      <w:bookmarkStart w:id="1183" w:name="_Toc26447"/>
      <w:bookmarkStart w:id="1184" w:name="_Toc19335"/>
      <w:bookmarkStart w:id="1185" w:name="_Toc5254"/>
      <w:bookmarkStart w:id="1186" w:name="_Toc13080"/>
      <w:bookmarkStart w:id="1187" w:name="_Toc31791"/>
      <w:bookmarkStart w:id="1188" w:name="_Toc4574"/>
      <w:bookmarkStart w:id="1189" w:name="_Toc17320"/>
      <w:bookmarkStart w:id="1190" w:name="_Toc3017"/>
      <w:bookmarkStart w:id="1191" w:name="_Toc24661"/>
      <w:bookmarkStart w:id="1192" w:name="_Toc27308"/>
      <w:bookmarkStart w:id="1193" w:name="_Toc203"/>
      <w:bookmarkStart w:id="1194" w:name="_Toc2085"/>
      <w:bookmarkStart w:id="1195" w:name="_Toc11775"/>
      <w:bookmarkStart w:id="1196" w:name="_Toc5502"/>
      <w:bookmarkStart w:id="1197" w:name="_Toc31813"/>
      <w:bookmarkStart w:id="1198" w:name="_Toc2313"/>
      <w:bookmarkStart w:id="1199" w:name="_Toc15409"/>
      <w:bookmarkStart w:id="1200" w:name="_Toc13597"/>
      <w:r>
        <w:rPr>
          <w:rFonts w:hint="eastAsia" w:ascii="黑体" w:hAnsi="黑体" w:eastAsia="黑体" w:cs="黑体"/>
          <w:b w:val="0"/>
          <w:bCs w:val="0"/>
          <w:sz w:val="32"/>
          <w:szCs w:val="32"/>
          <w:highlight w:val="none"/>
          <w:lang w:val="en-US" w:eastAsia="zh-CN"/>
        </w:rPr>
        <w:t>加强党的全面领导</w:t>
      </w:r>
      <w:bookmarkEnd w:id="1178"/>
      <w:bookmarkEnd w:id="1179"/>
      <w:bookmarkEnd w:id="1180"/>
      <w:bookmarkEnd w:id="1181"/>
      <w:bookmarkEnd w:id="1182"/>
      <w:bookmarkEnd w:id="1183"/>
      <w:bookmarkEnd w:id="1184"/>
      <w:bookmarkEnd w:id="1185"/>
      <w:r>
        <w:rPr>
          <w:rFonts w:hint="eastAsia" w:ascii="黑体" w:hAnsi="黑体" w:eastAsia="黑体" w:cs="黑体"/>
          <w:b w:val="0"/>
          <w:bCs w:val="0"/>
          <w:sz w:val="32"/>
          <w:szCs w:val="32"/>
          <w:highlight w:val="none"/>
          <w:lang w:val="en-US" w:eastAsia="zh-CN"/>
        </w:rPr>
        <w:t>和党的建设</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14:paraId="2AE39581">
      <w:pPr>
        <w:pStyle w:val="43"/>
        <w:keepNext w:val="0"/>
        <w:keepLines w:val="0"/>
        <w:pageBreakBefore w:val="0"/>
        <w:widowControl w:val="0"/>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9"/>
        <w:rPr>
          <w:rFonts w:hint="eastAsia" w:ascii="Times New Roman" w:hAnsi="Times New Roman" w:eastAsia="仿宋_GB2312" w:cs="方正仿宋_GBK"/>
          <w:b w:val="0"/>
          <w:bCs w:val="0"/>
          <w:color w:val="auto"/>
          <w:spacing w:val="-6"/>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把党的领导贯穿经济社会发展各方面全过程，持之以恒推进</w:t>
      </w:r>
      <w:r>
        <w:rPr>
          <w:rFonts w:hint="eastAsia" w:ascii="Times New Roman" w:hAnsi="Times New Roman" w:eastAsia="仿宋_GB2312" w:cs="方正仿宋_GBK"/>
          <w:b w:val="0"/>
          <w:bCs w:val="0"/>
          <w:color w:val="auto"/>
          <w:spacing w:val="-6"/>
          <w:sz w:val="32"/>
          <w:szCs w:val="32"/>
          <w:highlight w:val="none"/>
          <w:lang w:val="en-US" w:eastAsia="zh-CN"/>
        </w:rPr>
        <w:t>全面从严治党，弘扬新风正气，激励担当作为，营造良好政治生态。</w:t>
      </w:r>
    </w:p>
    <w:p w14:paraId="69B785E7">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sz w:val="32"/>
          <w:szCs w:val="40"/>
          <w:highlight w:val="none"/>
          <w:lang w:val="en-US" w:eastAsia="zh-CN"/>
        </w:rPr>
      </w:pPr>
      <w:bookmarkStart w:id="1201" w:name="_Toc25177"/>
      <w:bookmarkStart w:id="1202" w:name="_Toc31468"/>
      <w:bookmarkStart w:id="1203" w:name="_Toc26158"/>
      <w:bookmarkStart w:id="1204" w:name="_Toc4985"/>
      <w:bookmarkStart w:id="1205" w:name="_Toc14310"/>
      <w:bookmarkStart w:id="1206" w:name="_Toc12112"/>
      <w:bookmarkStart w:id="1207" w:name="_Toc18059"/>
      <w:bookmarkStart w:id="1208" w:name="_Toc26306"/>
      <w:bookmarkStart w:id="1209" w:name="_Toc17610"/>
      <w:bookmarkStart w:id="1210" w:name="_Toc27871"/>
      <w:bookmarkStart w:id="1211" w:name="_Toc12310"/>
      <w:bookmarkStart w:id="1212" w:name="_Toc15907"/>
      <w:bookmarkStart w:id="1213" w:name="_Toc12109"/>
      <w:bookmarkStart w:id="1214" w:name="_Toc11431"/>
      <w:bookmarkStart w:id="1215" w:name="_Toc1968"/>
      <w:bookmarkStart w:id="1216" w:name="_Toc29479"/>
      <w:bookmarkStart w:id="1217" w:name="_Toc11868"/>
      <w:bookmarkStart w:id="1218" w:name="_Toc31666"/>
      <w:bookmarkStart w:id="1219" w:name="_Toc26531"/>
      <w:bookmarkStart w:id="1220" w:name="_Toc6913"/>
      <w:bookmarkStart w:id="1221" w:name="_Toc24717"/>
      <w:bookmarkStart w:id="1222" w:name="_Toc4560"/>
      <w:bookmarkStart w:id="1223" w:name="_Toc12932"/>
      <w:r>
        <w:rPr>
          <w:rFonts w:hint="eastAsia" w:ascii="楷体_GB2312" w:hAnsi="楷体_GB2312" w:eastAsia="楷体_GB2312" w:cs="楷体_GB2312"/>
          <w:b w:val="0"/>
          <w:bCs w:val="0"/>
          <w:sz w:val="32"/>
          <w:szCs w:val="40"/>
          <w:highlight w:val="none"/>
          <w:lang w:val="en-US" w:eastAsia="zh-CN"/>
        </w:rPr>
        <w:t>坚持党的全面领导</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009B2BAA">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0"/>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持续</w:t>
      </w:r>
      <w:r>
        <w:rPr>
          <w:rFonts w:hint="eastAsia" w:eastAsia="仿宋_GB2312" w:cs="方正仿宋_GBK"/>
          <w:b w:val="0"/>
          <w:bCs w:val="0"/>
          <w:color w:val="auto"/>
          <w:spacing w:val="0"/>
          <w:highlight w:val="none"/>
          <w:lang w:val="en-US" w:eastAsia="zh-CN"/>
        </w:rPr>
        <w:t>以</w:t>
      </w:r>
      <w:r>
        <w:rPr>
          <w:rFonts w:hint="eastAsia" w:ascii="Times New Roman" w:hAnsi="Times New Roman" w:eastAsia="仿宋_GB2312" w:cs="方正仿宋_GBK"/>
          <w:b w:val="0"/>
          <w:bCs w:val="0"/>
          <w:color w:val="auto"/>
          <w:spacing w:val="0"/>
          <w:highlight w:val="none"/>
          <w:lang w:val="en-US" w:eastAsia="zh-CN"/>
        </w:rPr>
        <w:t>习近平新时代中国特色社会主义思想统一思想、统一意志、统一行动，始终在思想上政治上行动上同以习近平同志为核心的党中央保持高度一致。严格落实“第一议题”等制度，常态化开展党的创新理论学习和党性教育，提高政治判断力、政治领悟力、政治执行力。健全贯彻落实习近平总书记重要指示精神和党中央重大决策部署全链条、闭环式工作机制。统筹推进各领域基层党组织建设，增强党组织政治功能和组织功能。推动全面从严治党向纵深发展，锲而不舍落实中央八项规定精神，弘扬新风正气，推进作风建设常态化长效化。深入开展整治形式主义为基层减负工作。坚决查处群众身边不正之风和腐败问题。保持反腐败永远在路上的清醒坚定，一体推进不敢腐、不能腐、不想腐，坚决打赢反腐败斗争攻坚战、持久战、总体战。</w:t>
      </w:r>
    </w:p>
    <w:p w14:paraId="051DD048">
      <w:pPr>
        <w:keepNext w:val="0"/>
        <w:keepLines w:val="0"/>
        <w:pageBreakBefore w:val="0"/>
        <w:numPr>
          <w:ilvl w:val="0"/>
          <w:numId w:val="14"/>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pacing w:val="0"/>
          <w:sz w:val="32"/>
          <w:szCs w:val="40"/>
          <w:highlight w:val="none"/>
          <w:lang w:val="en-US" w:eastAsia="zh-CN"/>
        </w:rPr>
      </w:pPr>
      <w:bookmarkStart w:id="1224" w:name="_Toc1926"/>
      <w:bookmarkStart w:id="1225" w:name="_Toc10301"/>
      <w:bookmarkStart w:id="1226" w:name="_Toc26970"/>
      <w:bookmarkStart w:id="1227" w:name="_Toc24304"/>
      <w:bookmarkStart w:id="1228" w:name="_Toc30689"/>
      <w:bookmarkStart w:id="1229" w:name="_Toc29020"/>
      <w:bookmarkStart w:id="1230" w:name="OLE_LINK243"/>
      <w:bookmarkStart w:id="1231" w:name="_Toc4518"/>
      <w:bookmarkStart w:id="1232" w:name="_Toc6836"/>
      <w:bookmarkStart w:id="1233" w:name="_Toc32268"/>
      <w:bookmarkStart w:id="1234" w:name="_Toc17503"/>
      <w:bookmarkStart w:id="1235" w:name="_Toc29318"/>
      <w:bookmarkStart w:id="1236" w:name="OLE_LINK244"/>
      <w:bookmarkStart w:id="1237" w:name="_Toc14001"/>
      <w:bookmarkStart w:id="1238" w:name="_Toc8667"/>
      <w:bookmarkStart w:id="1239" w:name="_Toc17069"/>
      <w:bookmarkStart w:id="1240" w:name="_Toc11788"/>
      <w:r>
        <w:rPr>
          <w:rFonts w:hint="eastAsia" w:ascii="楷体_GB2312" w:hAnsi="楷体_GB2312" w:eastAsia="楷体_GB2312" w:cs="楷体_GB2312"/>
          <w:b w:val="0"/>
          <w:bCs w:val="0"/>
          <w:color w:val="auto"/>
          <w:spacing w:val="0"/>
          <w:sz w:val="32"/>
          <w:szCs w:val="40"/>
          <w:highlight w:val="none"/>
          <w:lang w:val="en-US" w:eastAsia="zh-CN"/>
        </w:rPr>
        <w:t>激励干部群众团结奋斗</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14:paraId="19C2760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spacing w:val="0"/>
          <w:highlight w:val="none"/>
          <w:lang w:val="en-US" w:eastAsia="zh-CN"/>
        </w:rPr>
      </w:pPr>
      <w:r>
        <w:rPr>
          <w:rFonts w:hint="default" w:ascii="Times New Roman" w:hAnsi="Times New Roman" w:eastAsia="仿宋_GB2312" w:cs="方正仿宋_GBK"/>
          <w:b w:val="0"/>
          <w:bCs w:val="0"/>
          <w:color w:val="auto"/>
          <w:spacing w:val="0"/>
          <w:highlight w:val="none"/>
          <w:lang w:val="en-US" w:eastAsia="zh-CN"/>
        </w:rPr>
        <w:t>把政治标准放在首位，深入落实新时代好干部标准和民族地区干部</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四个特别</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重要要求，持续加强干部队伍建设。坚持正确选人用人导向，树立和践行正确政绩观，完善干部考核评价机制，调整不胜任现职干部，推进领导干部能上能下常态化。强化教育培训和实践历练，加强专业型干部培养，推动干部大讲学习、深入调研、真抓实干、清正廉洁。健全崇尚实干、担当作为正向激励机制，激发干部干事创业热情。实施时代精神铸魂工程，弘扬</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蒙古马精神</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和</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三北精神</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，激励各族干部群众共同团结奋斗、创造美好生活。</w:t>
      </w:r>
    </w:p>
    <w:p w14:paraId="3AC29614">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1241" w:name="_Toc24207"/>
      <w:bookmarkStart w:id="1242" w:name="_Toc8931"/>
      <w:bookmarkStart w:id="1243" w:name="_Toc29438"/>
      <w:r>
        <w:rPr>
          <w:rFonts w:hint="eastAsia" w:ascii="黑体" w:hAnsi="黑体" w:eastAsia="黑体" w:cs="黑体"/>
          <w:b w:val="0"/>
          <w:bCs w:val="0"/>
          <w:sz w:val="32"/>
          <w:szCs w:val="32"/>
          <w:highlight w:val="none"/>
          <w:lang w:val="en-US" w:eastAsia="zh-CN"/>
        </w:rPr>
        <w:t>健全规划实施全周期推进机制</w:t>
      </w:r>
      <w:bookmarkEnd w:id="1241"/>
      <w:bookmarkEnd w:id="1242"/>
      <w:bookmarkEnd w:id="1243"/>
    </w:p>
    <w:p w14:paraId="173BDB7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highlight w:val="none"/>
          <w:lang w:val="en-US" w:eastAsia="zh-CN"/>
        </w:rPr>
      </w:pPr>
      <w:r>
        <w:rPr>
          <w:rFonts w:hint="eastAsia" w:eastAsia="仿宋_GB2312" w:cs="方正仿宋_GBK"/>
          <w:b w:val="0"/>
          <w:bCs w:val="0"/>
          <w:color w:val="auto"/>
          <w:highlight w:val="none"/>
          <w:lang w:val="en-US" w:eastAsia="zh-CN"/>
        </w:rPr>
        <w:t>落实国家发展规划法，健全统一规划体系，有力有序推进各项目标任务实施，确保党中央决策部署落到实处。</w:t>
      </w:r>
    </w:p>
    <w:p w14:paraId="7CCCD09E">
      <w:pPr>
        <w:keepNext w:val="0"/>
        <w:keepLines w:val="0"/>
        <w:pageBreakBefore w:val="0"/>
        <w:widowControl w:val="0"/>
        <w:numPr>
          <w:ilvl w:val="0"/>
          <w:numId w:val="15"/>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sz w:val="32"/>
          <w:szCs w:val="40"/>
          <w:highlight w:val="none"/>
          <w:lang w:val="en-US" w:eastAsia="zh-CN"/>
        </w:rPr>
      </w:pPr>
      <w:bookmarkStart w:id="1244" w:name="_Toc18598"/>
      <w:bookmarkStart w:id="1245" w:name="_Toc22902"/>
      <w:bookmarkStart w:id="1246" w:name="_Toc10201"/>
      <w:bookmarkStart w:id="1247" w:name="_Toc30817"/>
      <w:bookmarkStart w:id="1248" w:name="_Toc17260"/>
      <w:bookmarkStart w:id="1249" w:name="_Toc24370"/>
      <w:bookmarkStart w:id="1250" w:name="_Toc26694"/>
      <w:bookmarkStart w:id="1251" w:name="_Toc6284"/>
      <w:bookmarkStart w:id="1252" w:name="_Toc4399"/>
      <w:bookmarkStart w:id="1253" w:name="_Toc24559"/>
      <w:bookmarkStart w:id="1254" w:name="_Toc1622"/>
      <w:bookmarkStart w:id="1255" w:name="_Toc18838"/>
      <w:bookmarkStart w:id="1256" w:name="_Toc562"/>
      <w:bookmarkStart w:id="1257" w:name="_Toc2924"/>
      <w:bookmarkStart w:id="1258" w:name="_Toc26722"/>
      <w:bookmarkStart w:id="1259" w:name="_Toc29465"/>
      <w:bookmarkStart w:id="1260" w:name="_Toc5128"/>
      <w:bookmarkStart w:id="1261" w:name="_Toc9075"/>
      <w:bookmarkStart w:id="1262" w:name="_Toc17560"/>
      <w:bookmarkStart w:id="1263" w:name="_Toc31530"/>
      <w:bookmarkStart w:id="1264" w:name="_Toc2418"/>
      <w:bookmarkStart w:id="1265" w:name="_Toc30720"/>
      <w:bookmarkStart w:id="1266" w:name="_Toc10523"/>
      <w:r>
        <w:rPr>
          <w:rFonts w:hint="eastAsia" w:ascii="楷体_GB2312" w:hAnsi="楷体_GB2312" w:eastAsia="楷体_GB2312" w:cs="楷体_GB2312"/>
          <w:b w:val="0"/>
          <w:bCs w:val="0"/>
          <w:sz w:val="32"/>
          <w:szCs w:val="40"/>
          <w:highlight w:val="none"/>
          <w:lang w:val="en-US" w:eastAsia="zh-CN"/>
        </w:rPr>
        <w:t>加强规划统筹衔接</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14:paraId="1A23FC1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构建定位准确、边界清晰、功能互补、统一衔接的规划体系，为发展规划实施提供有效支撑。规范各类规划衔接报审程序，报请</w:t>
      </w:r>
      <w:r>
        <w:rPr>
          <w:rFonts w:hint="eastAsia" w:eastAsia="仿宋_GB2312" w:cs="方正仿宋_GBK"/>
          <w:b w:val="0"/>
          <w:bCs w:val="0"/>
          <w:color w:val="auto"/>
          <w:spacing w:val="0"/>
          <w:highlight w:val="none"/>
          <w:lang w:val="en-US" w:eastAsia="zh-CN"/>
        </w:rPr>
        <w:t>市委</w:t>
      </w:r>
      <w:r>
        <w:rPr>
          <w:rFonts w:hint="eastAsia" w:ascii="Times New Roman" w:hAnsi="Times New Roman" w:eastAsia="仿宋_GB2312" w:cs="方正仿宋_GBK"/>
          <w:b w:val="0"/>
          <w:bCs w:val="0"/>
          <w:color w:val="auto"/>
          <w:spacing w:val="0"/>
          <w:highlight w:val="none"/>
          <w:lang w:val="en-US" w:eastAsia="zh-CN"/>
        </w:rPr>
        <w:t>、</w:t>
      </w:r>
      <w:r>
        <w:rPr>
          <w:rFonts w:hint="eastAsia" w:eastAsia="仿宋_GB2312" w:cs="方正仿宋_GBK"/>
          <w:b w:val="0"/>
          <w:bCs w:val="0"/>
          <w:color w:val="auto"/>
          <w:spacing w:val="0"/>
          <w:highlight w:val="none"/>
          <w:lang w:val="en-US" w:eastAsia="zh-CN"/>
        </w:rPr>
        <w:t>市</w:t>
      </w:r>
      <w:r>
        <w:rPr>
          <w:rFonts w:hint="eastAsia" w:ascii="Times New Roman" w:hAnsi="Times New Roman" w:eastAsia="仿宋_GB2312" w:cs="方正仿宋_GBK"/>
          <w:b w:val="0"/>
          <w:bCs w:val="0"/>
          <w:color w:val="auto"/>
          <w:spacing w:val="0"/>
          <w:highlight w:val="none"/>
          <w:lang w:val="en-US" w:eastAsia="zh-CN"/>
        </w:rPr>
        <w:t>政府批准的规划须与本规划进行衔接。各</w:t>
      </w:r>
      <w:r>
        <w:rPr>
          <w:rFonts w:hint="eastAsia" w:eastAsia="仿宋_GB2312" w:cs="方正仿宋_GBK"/>
          <w:b w:val="0"/>
          <w:bCs w:val="0"/>
          <w:color w:val="auto"/>
          <w:spacing w:val="0"/>
          <w:highlight w:val="none"/>
          <w:lang w:val="en-US" w:eastAsia="zh-CN"/>
        </w:rPr>
        <w:t>地区、</w:t>
      </w:r>
      <w:r>
        <w:rPr>
          <w:rFonts w:hint="eastAsia" w:ascii="Times New Roman" w:hAnsi="Times New Roman" w:eastAsia="仿宋_GB2312" w:cs="方正仿宋_GBK"/>
          <w:b w:val="0"/>
          <w:bCs w:val="0"/>
          <w:color w:val="auto"/>
          <w:spacing w:val="0"/>
          <w:highlight w:val="none"/>
          <w:lang w:val="en-US" w:eastAsia="zh-CN"/>
        </w:rPr>
        <w:t>各部门要严格遵循下位规划服从上位规划、下级规划服务上级规划、等位规划相互协调的原则，充分发挥发展规划的战略导向作用，</w:t>
      </w:r>
      <w:r>
        <w:rPr>
          <w:rFonts w:hint="eastAsia" w:ascii="Times New Roman" w:hAnsi="Times New Roman" w:eastAsia="仿宋_GB2312" w:cs="方正仿宋_GBK"/>
          <w:b w:val="0"/>
          <w:bCs w:val="0"/>
          <w:color w:val="auto"/>
          <w:spacing w:val="-6"/>
          <w:highlight w:val="none"/>
          <w:lang w:val="en-US" w:eastAsia="zh-CN"/>
        </w:rPr>
        <w:t>持续强化国土空间规划的基础作用，不断增强专项规划和区域规划的支撑作用。强化上下贯通，做好其他规划对发展规划的贯彻落实。</w:t>
      </w:r>
    </w:p>
    <w:p w14:paraId="28230FEA">
      <w:pPr>
        <w:keepNext w:val="0"/>
        <w:keepLines w:val="0"/>
        <w:pageBreakBefore w:val="0"/>
        <w:numPr>
          <w:ilvl w:val="0"/>
          <w:numId w:val="15"/>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pacing w:val="0"/>
          <w:sz w:val="32"/>
          <w:szCs w:val="40"/>
          <w:highlight w:val="none"/>
          <w:lang w:val="en-US" w:eastAsia="zh-CN"/>
        </w:rPr>
      </w:pPr>
      <w:bookmarkStart w:id="1267" w:name="_Toc11253"/>
      <w:bookmarkStart w:id="1268" w:name="_Toc31919"/>
      <w:bookmarkStart w:id="1269" w:name="_Toc12835"/>
      <w:bookmarkStart w:id="1270" w:name="_Toc13542"/>
      <w:bookmarkStart w:id="1271" w:name="_Toc29898"/>
      <w:bookmarkStart w:id="1272" w:name="_Toc4"/>
      <w:bookmarkStart w:id="1273" w:name="_Toc9960"/>
      <w:bookmarkStart w:id="1274" w:name="_Toc6128"/>
      <w:bookmarkStart w:id="1275" w:name="_Toc6826"/>
      <w:bookmarkStart w:id="1276" w:name="_Toc11684"/>
      <w:bookmarkStart w:id="1277" w:name="_Toc16908"/>
      <w:bookmarkStart w:id="1278" w:name="_Toc10349"/>
      <w:bookmarkStart w:id="1279" w:name="_Toc17189"/>
      <w:bookmarkStart w:id="1280" w:name="_Toc733"/>
      <w:bookmarkStart w:id="1281" w:name="_Toc20499"/>
      <w:r>
        <w:rPr>
          <w:rFonts w:hint="eastAsia" w:ascii="楷体_GB2312" w:hAnsi="楷体_GB2312" w:eastAsia="楷体_GB2312" w:cs="楷体_GB2312"/>
          <w:b w:val="0"/>
          <w:bCs w:val="0"/>
          <w:color w:val="auto"/>
          <w:spacing w:val="0"/>
          <w:sz w:val="32"/>
          <w:szCs w:val="40"/>
          <w:highlight w:val="none"/>
          <w:lang w:val="en-US" w:eastAsia="zh-CN"/>
        </w:rPr>
        <w:t>落实规划实施责任</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55B2806D">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建立健全规划实施机制，明确各项目标任务分工，各</w:t>
      </w:r>
      <w:r>
        <w:rPr>
          <w:rFonts w:hint="eastAsia" w:eastAsia="仿宋_GB2312" w:cs="方正仿宋_GBK"/>
          <w:b w:val="0"/>
          <w:bCs w:val="0"/>
          <w:color w:val="auto"/>
          <w:spacing w:val="0"/>
          <w:highlight w:val="none"/>
          <w:lang w:val="en-US" w:eastAsia="zh-CN"/>
        </w:rPr>
        <w:t>旗县区、</w:t>
      </w:r>
      <w:r>
        <w:rPr>
          <w:rFonts w:hint="eastAsia" w:ascii="Times New Roman" w:hAnsi="Times New Roman" w:eastAsia="仿宋_GB2312" w:cs="方正仿宋_GBK"/>
          <w:b w:val="0"/>
          <w:bCs w:val="0"/>
          <w:color w:val="auto"/>
          <w:spacing w:val="0"/>
          <w:highlight w:val="none"/>
          <w:lang w:val="en-US" w:eastAsia="zh-CN"/>
        </w:rPr>
        <w:t>各部门要制定可操作可评估的实施方案，对约束性指标和公共服务、生态环保、安全保障等任务，强化责任分解落实；对预期性指标和产业发展、结构调整等任务，创造良好政策环境、体制环境和法治环境。年度计划要滚动落实规划各项任务，将规划主要指标分解纳入年度计划指标体系并做好跨年度平衡。坚持项目跟着规划走、资金和要素跟着项目走、监管跟着项目和资金走，细</w:t>
      </w:r>
      <w:r>
        <w:rPr>
          <w:rFonts w:hint="eastAsia" w:ascii="Times New Roman" w:hAnsi="Times New Roman" w:eastAsia="仿宋_GB2312" w:cs="方正仿宋_GBK"/>
          <w:b w:val="0"/>
          <w:bCs w:val="0"/>
          <w:color w:val="auto"/>
          <w:spacing w:val="-6"/>
          <w:highlight w:val="none"/>
          <w:lang w:val="en-US" w:eastAsia="zh-CN"/>
        </w:rPr>
        <w:t>化规划重大工程项目清单，分类推进单体项目、打捆项目落地实施。</w:t>
      </w:r>
    </w:p>
    <w:p w14:paraId="6A98439C">
      <w:pPr>
        <w:keepNext w:val="0"/>
        <w:keepLines w:val="0"/>
        <w:pageBreakBefore w:val="0"/>
        <w:numPr>
          <w:ilvl w:val="0"/>
          <w:numId w:val="15"/>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pacing w:val="0"/>
          <w:sz w:val="32"/>
          <w:szCs w:val="40"/>
          <w:highlight w:val="none"/>
          <w:lang w:val="en-US" w:eastAsia="zh-CN"/>
        </w:rPr>
      </w:pPr>
      <w:bookmarkStart w:id="1282" w:name="_Toc32632"/>
      <w:bookmarkStart w:id="1283" w:name="_Toc18509"/>
      <w:bookmarkStart w:id="1284" w:name="_Toc14452"/>
      <w:bookmarkStart w:id="1285" w:name="_Toc3014"/>
      <w:bookmarkStart w:id="1286" w:name="_Toc6860"/>
      <w:bookmarkStart w:id="1287" w:name="_Toc7419"/>
      <w:bookmarkStart w:id="1288" w:name="_Toc8161"/>
      <w:bookmarkStart w:id="1289" w:name="_Toc9186"/>
      <w:bookmarkStart w:id="1290" w:name="_Toc21723"/>
      <w:bookmarkStart w:id="1291" w:name="_Toc15259"/>
      <w:bookmarkStart w:id="1292" w:name="_Toc25936"/>
      <w:bookmarkStart w:id="1293" w:name="_Toc7708"/>
      <w:bookmarkStart w:id="1294" w:name="_Toc17240"/>
      <w:bookmarkStart w:id="1295" w:name="_Toc26491"/>
      <w:bookmarkStart w:id="1296" w:name="_Toc20956"/>
      <w:r>
        <w:rPr>
          <w:rFonts w:hint="eastAsia" w:ascii="楷体_GB2312" w:hAnsi="楷体_GB2312" w:eastAsia="楷体_GB2312" w:cs="楷体_GB2312"/>
          <w:b w:val="0"/>
          <w:bCs w:val="0"/>
          <w:color w:val="auto"/>
          <w:spacing w:val="0"/>
          <w:sz w:val="32"/>
          <w:szCs w:val="40"/>
          <w:highlight w:val="none"/>
          <w:lang w:val="en-US" w:eastAsia="zh-CN"/>
        </w:rPr>
        <w:t>加强规划实施监测评估</w:t>
      </w:r>
      <w:bookmarkEnd w:id="1282"/>
      <w:bookmarkEnd w:id="1283"/>
      <w:bookmarkEnd w:id="1284"/>
      <w:bookmarkEnd w:id="1285"/>
      <w:bookmarkEnd w:id="1286"/>
      <w:bookmarkEnd w:id="1287"/>
      <w:bookmarkEnd w:id="1288"/>
      <w:bookmarkEnd w:id="1289"/>
      <w:bookmarkEnd w:id="1290"/>
      <w:bookmarkEnd w:id="1291"/>
      <w:bookmarkEnd w:id="1292"/>
      <w:bookmarkEnd w:id="1293"/>
      <w:r>
        <w:rPr>
          <w:rFonts w:hint="eastAsia" w:ascii="楷体_GB2312" w:hAnsi="楷体_GB2312" w:eastAsia="楷体_GB2312" w:cs="楷体_GB2312"/>
          <w:b w:val="0"/>
          <w:bCs w:val="0"/>
          <w:color w:val="auto"/>
          <w:spacing w:val="0"/>
          <w:sz w:val="32"/>
          <w:szCs w:val="40"/>
          <w:highlight w:val="none"/>
          <w:lang w:val="en-US" w:eastAsia="zh-CN"/>
        </w:rPr>
        <w:t>和监督</w:t>
      </w:r>
      <w:bookmarkEnd w:id="1294"/>
      <w:bookmarkEnd w:id="1295"/>
      <w:bookmarkEnd w:id="1296"/>
    </w:p>
    <w:p w14:paraId="729D9E1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r>
        <w:rPr>
          <w:rFonts w:hint="eastAsia" w:eastAsia="仿宋_GB2312" w:cs="方正仿宋_GBK"/>
          <w:b w:val="0"/>
          <w:bCs w:val="0"/>
          <w:color w:val="auto"/>
          <w:spacing w:val="0"/>
          <w:highlight w:val="none"/>
          <w:lang w:val="en-US" w:eastAsia="zh-CN"/>
        </w:rPr>
        <w:t>开展规划实施情况动态监测、中期评估和总结评估，根据监测评估情况及时提出加强和改进规划实施的政策举措。规划实施情况依法接受市人民代表大会及其常务委员会的监督。发挥纪检监察机关和审计机关等对规划实施的监督作用，健全跨地区跨部门重大任务落实协同监督机制。规划实施情况纳入各有关部门、地方领导班子和干部评价体系，作为改进政府工作的重要依据。</w:t>
      </w:r>
    </w:p>
    <w:p w14:paraId="0C67972A">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r>
        <w:rPr>
          <w:rFonts w:hint="eastAsia" w:eastAsia="仿宋_GB2312" w:cs="方正仿宋_GBK"/>
          <w:b w:val="0"/>
          <w:bCs w:val="0"/>
          <w:color w:val="auto"/>
          <w:spacing w:val="0"/>
          <w:highlight w:val="none"/>
          <w:lang w:val="en-US" w:eastAsia="zh-CN"/>
        </w:rPr>
        <w:t>实现“十五五”规划目标，任务艰巨、责任重大、使命光荣，全市各族人民要更加紧密地团结在以习近平同志为核心的党中央周围，牢记嘱托、感恩奋进，守望相助、一往无前，为与全国一道基本实现社会主义现代化而共同奋斗，不断书写中国式现代化赤峰新篇章！</w:t>
      </w:r>
    </w:p>
    <w:p w14:paraId="47982C71"/>
    <w:sectPr>
      <w:footerReference r:id="rId15" w:type="default"/>
      <w:footerReference r:id="rId16" w:type="even"/>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F7AEB91-9193-4471-9679-EC874E382DD1}"/>
  </w:font>
  <w:font w:name="黑体">
    <w:panose1 w:val="02010609060101010101"/>
    <w:charset w:val="86"/>
    <w:family w:val="auto"/>
    <w:pitch w:val="default"/>
    <w:sig w:usb0="800002BF" w:usb1="38CF7CFA" w:usb2="00000016" w:usb3="00000000" w:csb0="00040001" w:csb1="00000000"/>
    <w:embedRegular r:id="rId2" w:fontKey="{AF2C7768-D7D6-4D4D-9FFC-B04908477FF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197E4D21-2E74-449C-A47C-0DA49C11D418}"/>
  </w:font>
  <w:font w:name="等线 Light">
    <w:altName w:val="宋体"/>
    <w:panose1 w:val="02010600030101010101"/>
    <w:charset w:val="7A"/>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ACA4340A-E555-488A-85A5-BFCA31B4860D}"/>
  </w:font>
  <w:font w:name="等线">
    <w:altName w:val="宋体"/>
    <w:panose1 w:val="02010600030101010101"/>
    <w:charset w:val="7A"/>
    <w:family w:val="auto"/>
    <w:pitch w:val="default"/>
    <w:sig w:usb0="00000000" w:usb1="00000000" w:usb2="00000016" w:usb3="00000000" w:csb0="0004000F" w:csb1="00000000"/>
    <w:embedRegular r:id="rId5" w:fontKey="{5BB2D57E-3751-4EA8-A8CC-87CC31AD130B}"/>
  </w:font>
  <w:font w:name="楷体">
    <w:panose1 w:val="02010609060101010101"/>
    <w:charset w:val="7A"/>
    <w:family w:val="modern"/>
    <w:pitch w:val="default"/>
    <w:sig w:usb0="800002BF" w:usb1="38CF7CFA" w:usb2="00000016" w:usb3="00000000" w:csb0="00040001" w:csb1="00000000"/>
  </w:font>
  <w:font w:name="Blues">
    <w:altName w:val="Segoe Print"/>
    <w:panose1 w:val="00000500000000000000"/>
    <w:charset w:val="00"/>
    <w:family w:val="auto"/>
    <w:pitch w:val="default"/>
    <w:sig w:usb0="00000000" w:usb1="00000000" w:usb2="00000000" w:usb3="00000000" w:csb0="00000011" w:csb1="00000000"/>
  </w:font>
  <w:font w:name="C059">
    <w:altName w:val="Segoe Print"/>
    <w:panose1 w:val="00000500000000000000"/>
    <w:charset w:val="00"/>
    <w:family w:val="auto"/>
    <w:pitch w:val="default"/>
    <w:sig w:usb0="00000000" w:usb1="00000000" w:usb2="00000000" w:usb3="00000000" w:csb0="6000009F" w:csb1="00000000"/>
  </w:font>
  <w:font w:name="方正仿宋_GB2312">
    <w:altName w:val="仿宋"/>
    <w:panose1 w:val="02000000000000000000"/>
    <w:charset w:val="7A"/>
    <w:family w:val="script"/>
    <w:pitch w:val="default"/>
    <w:sig w:usb0="00000000" w:usb1="00000000" w:usb2="00000012" w:usb3="00000000" w:csb0="00040001" w:csb1="00000000"/>
    <w:embedRegular r:id="rId6" w:fontKey="{EF7549C7-383B-4171-838C-C3835BDE3439}"/>
  </w:font>
  <w:font w:name="仿宋_GB2312">
    <w:panose1 w:val="02010609030101010101"/>
    <w:charset w:val="86"/>
    <w:family w:val="auto"/>
    <w:pitch w:val="default"/>
    <w:sig w:usb0="00000001" w:usb1="080E0000" w:usb2="00000000" w:usb3="00000000" w:csb0="00040000" w:csb1="00000000"/>
    <w:embedRegular r:id="rId7" w:fontKey="{7A0DC737-4A12-4492-8E2A-73227FB354DE}"/>
  </w:font>
  <w:font w:name="方正小标宋简体">
    <w:panose1 w:val="02000000000000000000"/>
    <w:charset w:val="86"/>
    <w:family w:val="auto"/>
    <w:pitch w:val="default"/>
    <w:sig w:usb0="A00002BF" w:usb1="184F6CFA" w:usb2="00000012" w:usb3="00000000" w:csb0="00040001" w:csb1="00000000"/>
    <w:embedRegular r:id="rId8" w:fontKey="{47FECDF4-9C81-4252-B219-628F79AF37D4}"/>
  </w:font>
  <w:font w:name="方正仿宋_GBK">
    <w:altName w:val="Arial Unicode MS"/>
    <w:panose1 w:val="02000000000000000000"/>
    <w:charset w:val="86"/>
    <w:family w:val="auto"/>
    <w:pitch w:val="default"/>
    <w:sig w:usb0="00000000" w:usb1="00000000" w:usb2="00000000" w:usb3="00000000" w:csb0="00040000" w:csb1="00000000"/>
    <w:embedRegular r:id="rId9" w:fontKey="{157715E8-29DC-4472-A48F-DAECA1481042}"/>
  </w:font>
  <w:font w:name="方正小标宋_GBK">
    <w:altName w:val="Arial Unicode MS"/>
    <w:panose1 w:val="02000000000000000000"/>
    <w:charset w:val="86"/>
    <w:family w:val="auto"/>
    <w:pitch w:val="default"/>
    <w:sig w:usb0="00000000" w:usb1="00000000" w:usb2="00000000" w:usb3="00000000" w:csb0="00040000" w:csb1="00000000"/>
    <w:embedRegular r:id="rId10" w:fontKey="{FBDFEEFF-05AA-4837-851E-1D79AD0B9117}"/>
  </w:font>
  <w:font w:name="楷体_GB2312">
    <w:panose1 w:val="02010609030101010101"/>
    <w:charset w:val="86"/>
    <w:family w:val="auto"/>
    <w:pitch w:val="default"/>
    <w:sig w:usb0="00000001" w:usb1="080E0000" w:usb2="00000000" w:usb3="00000000" w:csb0="00040000" w:csb1="00000000"/>
    <w:embedRegular r:id="rId11" w:fontKey="{045B571A-5D19-4C1E-9611-F883E4EE1CB9}"/>
  </w:font>
  <w:font w:name="方正楷体_GBK">
    <w:altName w:val="Arial Unicode MS"/>
    <w:panose1 w:val="02000000000000000000"/>
    <w:charset w:val="86"/>
    <w:family w:val="auto"/>
    <w:pitch w:val="default"/>
    <w:sig w:usb0="00000000" w:usb1="00000000" w:usb2="00000000" w:usb3="00000000" w:csb0="00040000" w:csb1="00000000"/>
    <w:embedRegular r:id="rId12" w:fontKey="{553C4F91-0768-47F1-BB46-A2BB1432D3AA}"/>
  </w:font>
  <w:font w:name="方正黑体_GBK">
    <w:altName w:val="Arial Unicode MS"/>
    <w:panose1 w:val="02000000000000000000"/>
    <w:charset w:val="86"/>
    <w:family w:val="auto"/>
    <w:pitch w:val="default"/>
    <w:sig w:usb0="00000000" w:usb1="00000000" w:usb2="00000000" w:usb3="00000000" w:csb0="00040000" w:csb1="00000000"/>
    <w:embedRegular r:id="rId13" w:fontKey="{4352EE76-AE6D-4BD3-A3B4-AA6067D4217F}"/>
  </w:font>
  <w:font w:name="微软雅黑">
    <w:panose1 w:val="020B0503020204020204"/>
    <w:charset w:val="86"/>
    <w:family w:val="auto"/>
    <w:pitch w:val="default"/>
    <w:sig w:usb0="80000287" w:usb1="280F3C52" w:usb2="00000016" w:usb3="00000000" w:csb0="0004001F" w:csb1="00000000"/>
    <w:embedRegular r:id="rId14" w:fontKey="{F55161B6-8E32-4336-B221-551BBB7218A1}"/>
  </w:font>
  <w:font w:name="Gulim">
    <w:panose1 w:val="020B0600000101010101"/>
    <w:charset w:val="81"/>
    <w:family w:val="auto"/>
    <w:pitch w:val="default"/>
    <w:sig w:usb0="B00002AF" w:usb1="69D77CFB" w:usb2="00000030" w:usb3="00000000" w:csb0="4008009F" w:csb1="DFD7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B8F0E">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5662">
    <w:pPr>
      <w:pStyle w:val="15"/>
      <w:tabs>
        <w:tab w:val="left" w:pos="7683"/>
      </w:tabs>
      <w:jc w:val="left"/>
      <w:rPr>
        <w:rFonts w:hint="eastAsia" w:eastAsia="宋体"/>
        <w:caps/>
        <w:color w:val="156082"/>
        <w:sz w:val="24"/>
        <w:szCs w:val="24"/>
        <w:lang w:eastAsia="zh-CN"/>
      </w:rPr>
    </w:pPr>
    <w:r>
      <w:rPr>
        <w:sz w:val="24"/>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45E86">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- 5 -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5245E86">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- 5 -</w:t>
                    </w:r>
                    <w:r>
                      <w:rPr>
                        <w:rFonts w:hint="eastAsia" w:asciiTheme="minorEastAsia" w:hAnsiTheme="minorEastAsia" w:eastAsiaTheme="minorEastAsia" w:cstheme="minorEastAsia"/>
                      </w:rPr>
                      <w:fldChar w:fldCharType="end"/>
                    </w:r>
                  </w:p>
                </w:txbxContent>
              </v:textbox>
            </v:shape>
          </w:pict>
        </mc:Fallback>
      </mc:AlternateContent>
    </w:r>
    <w:r>
      <w:rPr>
        <w:rFonts w:hint="eastAsia"/>
        <w:caps/>
        <w:color w:val="156082"/>
        <w:sz w:val="24"/>
        <w:szCs w:val="24"/>
        <w:lang w:eastAsia="zh-CN"/>
      </w:rPr>
      <w:tab/>
    </w:r>
    <w:r>
      <w:rPr>
        <w:rFonts w:hint="eastAsia"/>
        <w:caps/>
        <w:color w:val="156082"/>
        <w:sz w:val="24"/>
        <w:szCs w:val="24"/>
        <w:lang w:eastAsia="zh-CN"/>
      </w:rPr>
      <w:tab/>
    </w:r>
  </w:p>
  <w:p w14:paraId="25275DD8">
    <w:pPr>
      <w:pStyle w:val="15"/>
      <w:rPr>
        <w:rFonts w:hint="eastAsi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B39CF">
    <w:pPr>
      <w:pStyle w:val="15"/>
    </w:pPr>
    <w:r>
      <w:rPr>
        <w:sz w:val="2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9CA49">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6D9CA49">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- 2 -</w:t>
                    </w:r>
                    <w:r>
                      <w:rPr>
                        <w:rFonts w:hint="eastAsia" w:asciiTheme="minorEastAsia" w:hAnsiTheme="minorEastAsia" w:eastAsiaTheme="minorEastAsia" w:cstheme="minor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D51EE">
    <w:pPr>
      <w:pStyle w:val="15"/>
      <w:jc w:val="center"/>
      <w:rPr>
        <w:rFonts w:hint="eastAsia"/>
        <w:caps/>
        <w:color w:val="156082"/>
        <w:sz w:val="24"/>
        <w:szCs w:val="24"/>
      </w:rPr>
    </w:pPr>
    <w:r>
      <w:rPr>
        <w:sz w:val="24"/>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02910">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6F02910">
                    <w:pPr>
                      <w:pStyle w:val="15"/>
                    </w:pPr>
                    <w:r>
                      <w:fldChar w:fldCharType="begin"/>
                    </w:r>
                    <w:r>
                      <w:instrText xml:space="preserve"> PAGE  \* MERGEFORMAT </w:instrText>
                    </w:r>
                    <w:r>
                      <w:fldChar w:fldCharType="separate"/>
                    </w:r>
                    <w:r>
                      <w:t>- 1 -</w:t>
                    </w:r>
                    <w:r>
                      <w:fldChar w:fldCharType="end"/>
                    </w:r>
                  </w:p>
                </w:txbxContent>
              </v:textbox>
            </v:shape>
          </w:pict>
        </mc:Fallback>
      </mc:AlternateContent>
    </w:r>
  </w:p>
  <w:p w14:paraId="29ABE7E1">
    <w:pPr>
      <w:pStyle w:val="15"/>
      <w:rPr>
        <w:rFonts w:hint="eastAsia"/>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B6ECB">
    <w:pPr>
      <w:pStyle w:val="15"/>
    </w:pPr>
    <w:r>
      <w:rPr>
        <w:sz w:val="2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82F6B">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- 21 -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8F82F6B">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- 21 -</w:t>
                    </w:r>
                    <w:r>
                      <w:rPr>
                        <w:rFonts w:hint="eastAsia" w:asciiTheme="minorEastAsia" w:hAnsiTheme="minorEastAsia" w:eastAsiaTheme="minorEastAsia" w:cstheme="minorEastAsia"/>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29C9E">
    <w:pPr>
      <w:pStyle w:val="15"/>
    </w:pP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A84FA">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- 22 -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6AA84FA">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- 22 -</w:t>
                    </w:r>
                    <w:r>
                      <w:rPr>
                        <w:rFonts w:hint="eastAsia" w:asciiTheme="minorEastAsia" w:hAnsiTheme="minorEastAsia" w:eastAsiaTheme="minorEastAsia" w:cstheme="minor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CCE8">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ED482">
    <w:pPr>
      <w:pStyle w:val="15"/>
      <w:jc w:val="center"/>
      <w:rPr>
        <w:rFonts w:hint="eastAsia"/>
        <w:caps/>
        <w:color w:val="auto"/>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posOffset>5177155</wp:posOffset>
              </wp:positionH>
              <wp:positionV relativeFrom="paragraph">
                <wp:posOffset>137795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B1126">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7.65pt;margin-top:10.85pt;height:144pt;width:144pt;mso-position-horizontal-relative:margin;mso-wrap-style:none;z-index:251660288;mso-width-relative:page;mso-height-relative:page;" filled="f" stroked="f" coordsize="21600,21600" o:gfxdata="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Npbin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43FB1126">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v:textbox>
            </v:shape>
          </w:pict>
        </mc:Fallback>
      </mc:AlternateContent>
    </w:r>
  </w:p>
  <w:p w14:paraId="297CC922">
    <w:pPr>
      <w:pStyle w:val="1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A4EF">
    <w:pPr>
      <w:pStyle w:val="15"/>
      <w:jc w:val="center"/>
      <w:rPr>
        <w:rFonts w:hint="eastAsia"/>
        <w:caps/>
        <w:color w:val="auto"/>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C2684">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E2C2684">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v:textbox>
            </v:shape>
          </w:pict>
        </mc:Fallback>
      </mc:AlternateContent>
    </w:r>
  </w:p>
  <w:p w14:paraId="2ED25C7E">
    <w:pPr>
      <w:pStyle w:val="15"/>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E3652">
    <w:pPr>
      <w:pStyle w:val="15"/>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3982F">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163982F">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7131">
    <w:pPr>
      <w:pStyle w:val="15"/>
      <w:jc w:val="center"/>
      <w:rPr>
        <w:rFonts w:hint="eastAsia"/>
        <w:caps/>
        <w:color w:val="auto"/>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posOffset>5090795</wp:posOffset>
              </wp:positionH>
              <wp:positionV relativeFrom="paragraph">
                <wp:posOffset>147955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372B1">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0.85pt;margin-top:11.65pt;height:144pt;width:144pt;mso-position-horizontal-relative:margin;mso-wrap-style:none;z-index:251665408;mso-width-relative:page;mso-height-relative:page;" filled="f" stroked="f" coordsize="21600,21600" o:gfxdata="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gFDO9cAAAALAQAADwAAAAAAAAABACAAAAAiAAAAZHJzL2Rvd25yZXYueG1s&#10;UEsBAhQAFAAAAAgAh07iQOZTTZkyAgAAYwQAAA4AAAAAAAAAAQAgAAAAJgEAAGRycy9lMm9Eb2Mu&#10;eG1sUEsFBgAAAAAGAAYAWQEAAMoFAAAAAA==&#10;">
              <v:fill on="f" focussize="0,0"/>
              <v:stroke on="f" weight="0.5pt"/>
              <v:imagedata o:title=""/>
              <o:lock v:ext="edit" aspectratio="f"/>
              <v:textbox inset="0mm,0mm,0mm,0mm" style="mso-fit-shape-to-text:t;">
                <w:txbxContent>
                  <w:p w14:paraId="57D372B1">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p>
                </w:txbxContent>
              </v:textbox>
            </v:shape>
          </w:pict>
        </mc:Fallback>
      </mc:AlternateContent>
    </w:r>
  </w:p>
  <w:p w14:paraId="5038C3F9">
    <w:pPr>
      <w:pStyle w:val="15"/>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1B862">
    <w:pPr>
      <w:pStyle w:val="15"/>
    </w:pPr>
    <w:r>
      <w:rPr>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426F7">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34426F7">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62CA1">
    <w:pPr>
      <w:pStyle w:val="15"/>
      <w:jc w:val="center"/>
      <w:rPr>
        <w:rFonts w:hint="eastAsia"/>
        <w:caps/>
        <w:color w:val="auto"/>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CA65B">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44CA65B">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v:textbox>
            </v:shape>
          </w:pict>
        </mc:Fallback>
      </mc:AlternateContent>
    </w:r>
  </w:p>
  <w:p w14:paraId="454DC2F0">
    <w:pPr>
      <w:pStyle w:val="15"/>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3C4FC">
    <w:pPr>
      <w:pStyle w:val="15"/>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F44B3">
                          <w:pPr>
                            <w:pStyle w:val="15"/>
                            <w:rPr>
                              <w:rFonts w:hint="eastAsia" w:eastAsia="宋体"/>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DF44B3">
                    <w:pPr>
                      <w:pStyle w:val="15"/>
                      <w:rPr>
                        <w:rFonts w:hint="eastAsia" w:eastAsia="宋体"/>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63AB"/>
    <w:multiLevelType w:val="singleLevel"/>
    <w:tmpl w:val="82CB63AB"/>
    <w:lvl w:ilvl="0" w:tentative="0">
      <w:start w:val="1"/>
      <w:numFmt w:val="chineseCounting"/>
      <w:suff w:val="space"/>
      <w:lvlText w:val="第%1节"/>
      <w:lvlJc w:val="left"/>
      <w:rPr>
        <w:rFonts w:hint="eastAsia"/>
      </w:rPr>
    </w:lvl>
  </w:abstractNum>
  <w:abstractNum w:abstractNumId="1">
    <w:nsid w:val="898D7656"/>
    <w:multiLevelType w:val="singleLevel"/>
    <w:tmpl w:val="898D7656"/>
    <w:lvl w:ilvl="0" w:tentative="0">
      <w:start w:val="1"/>
      <w:numFmt w:val="chineseCounting"/>
      <w:suff w:val="space"/>
      <w:lvlText w:val="第%1节"/>
      <w:lvlJc w:val="left"/>
      <w:rPr>
        <w:rFonts w:hint="eastAsia"/>
      </w:rPr>
    </w:lvl>
  </w:abstractNum>
  <w:abstractNum w:abstractNumId="2">
    <w:nsid w:val="8C3D38AD"/>
    <w:multiLevelType w:val="singleLevel"/>
    <w:tmpl w:val="8C3D38AD"/>
    <w:lvl w:ilvl="0" w:tentative="0">
      <w:start w:val="1"/>
      <w:numFmt w:val="chineseCounting"/>
      <w:suff w:val="space"/>
      <w:lvlText w:val="第%1节"/>
      <w:lvlJc w:val="left"/>
      <w:rPr>
        <w:rFonts w:hint="eastAsia"/>
      </w:rPr>
    </w:lvl>
  </w:abstractNum>
  <w:abstractNum w:abstractNumId="3">
    <w:nsid w:val="99D407F4"/>
    <w:multiLevelType w:val="singleLevel"/>
    <w:tmpl w:val="99D407F4"/>
    <w:lvl w:ilvl="0" w:tentative="0">
      <w:start w:val="1"/>
      <w:numFmt w:val="chineseCounting"/>
      <w:suff w:val="space"/>
      <w:lvlText w:val="第%1节"/>
      <w:lvlJc w:val="left"/>
      <w:rPr>
        <w:rFonts w:hint="eastAsia"/>
      </w:rPr>
    </w:lvl>
  </w:abstractNum>
  <w:abstractNum w:abstractNumId="4">
    <w:nsid w:val="B97A9297"/>
    <w:multiLevelType w:val="singleLevel"/>
    <w:tmpl w:val="B97A9297"/>
    <w:lvl w:ilvl="0" w:tentative="0">
      <w:start w:val="1"/>
      <w:numFmt w:val="chineseCounting"/>
      <w:suff w:val="space"/>
      <w:lvlText w:val="第%1篇"/>
      <w:lvlJc w:val="left"/>
      <w:rPr>
        <w:rFonts w:hint="eastAsia"/>
      </w:rPr>
    </w:lvl>
  </w:abstractNum>
  <w:abstractNum w:abstractNumId="5">
    <w:nsid w:val="BB7CB836"/>
    <w:multiLevelType w:val="singleLevel"/>
    <w:tmpl w:val="BB7CB836"/>
    <w:lvl w:ilvl="0" w:tentative="0">
      <w:start w:val="1"/>
      <w:numFmt w:val="chineseCounting"/>
      <w:suff w:val="space"/>
      <w:lvlText w:val="第%1节"/>
      <w:lvlJc w:val="left"/>
      <w:rPr>
        <w:rFonts w:hint="eastAsia"/>
      </w:rPr>
    </w:lvl>
  </w:abstractNum>
  <w:abstractNum w:abstractNumId="6">
    <w:nsid w:val="BD4D09AF"/>
    <w:multiLevelType w:val="singleLevel"/>
    <w:tmpl w:val="BD4D09AF"/>
    <w:lvl w:ilvl="0" w:tentative="0">
      <w:start w:val="1"/>
      <w:numFmt w:val="chineseCounting"/>
      <w:suff w:val="space"/>
      <w:lvlText w:val="第%1节"/>
      <w:lvlJc w:val="left"/>
      <w:rPr>
        <w:rFonts w:hint="eastAsia"/>
      </w:rPr>
    </w:lvl>
  </w:abstractNum>
  <w:abstractNum w:abstractNumId="7">
    <w:nsid w:val="BEEE617A"/>
    <w:multiLevelType w:val="singleLevel"/>
    <w:tmpl w:val="BEEE617A"/>
    <w:lvl w:ilvl="0" w:tentative="0">
      <w:start w:val="1"/>
      <w:numFmt w:val="chineseCounting"/>
      <w:suff w:val="space"/>
      <w:lvlText w:val="第%1节"/>
      <w:lvlJc w:val="left"/>
      <w:rPr>
        <w:rFonts w:hint="eastAsia"/>
      </w:rPr>
    </w:lvl>
  </w:abstractNum>
  <w:abstractNum w:abstractNumId="8">
    <w:nsid w:val="BF14B320"/>
    <w:multiLevelType w:val="singleLevel"/>
    <w:tmpl w:val="BF14B320"/>
    <w:lvl w:ilvl="0" w:tentative="0">
      <w:start w:val="1"/>
      <w:numFmt w:val="chineseCounting"/>
      <w:suff w:val="space"/>
      <w:lvlText w:val="第%1节"/>
      <w:lvlJc w:val="left"/>
      <w:rPr>
        <w:rFonts w:hint="eastAsia"/>
      </w:rPr>
    </w:lvl>
  </w:abstractNum>
  <w:abstractNum w:abstractNumId="9">
    <w:nsid w:val="C4E7B580"/>
    <w:multiLevelType w:val="singleLevel"/>
    <w:tmpl w:val="C4E7B580"/>
    <w:lvl w:ilvl="0" w:tentative="0">
      <w:start w:val="1"/>
      <w:numFmt w:val="chineseCounting"/>
      <w:suff w:val="space"/>
      <w:lvlText w:val="第%1节"/>
      <w:lvlJc w:val="left"/>
      <w:rPr>
        <w:rFonts w:hint="eastAsia"/>
      </w:rPr>
    </w:lvl>
  </w:abstractNum>
  <w:abstractNum w:abstractNumId="10">
    <w:nsid w:val="F414E136"/>
    <w:multiLevelType w:val="singleLevel"/>
    <w:tmpl w:val="F414E136"/>
    <w:lvl w:ilvl="0" w:tentative="0">
      <w:start w:val="1"/>
      <w:numFmt w:val="chineseCounting"/>
      <w:suff w:val="space"/>
      <w:lvlText w:val="第%1章"/>
      <w:lvlJc w:val="left"/>
      <w:rPr>
        <w:rFonts w:hint="eastAsia"/>
      </w:rPr>
    </w:lvl>
  </w:abstractNum>
  <w:abstractNum w:abstractNumId="11">
    <w:nsid w:val="FDB730FF"/>
    <w:multiLevelType w:val="singleLevel"/>
    <w:tmpl w:val="FDB730FF"/>
    <w:lvl w:ilvl="0" w:tentative="0">
      <w:start w:val="1"/>
      <w:numFmt w:val="chineseCounting"/>
      <w:suff w:val="space"/>
      <w:lvlText w:val="第%1节"/>
      <w:lvlJc w:val="left"/>
      <w:rPr>
        <w:rFonts w:hint="eastAsia"/>
      </w:rPr>
    </w:lvl>
  </w:abstractNum>
  <w:abstractNum w:abstractNumId="12">
    <w:nsid w:val="0D8761FA"/>
    <w:multiLevelType w:val="singleLevel"/>
    <w:tmpl w:val="0D8761FA"/>
    <w:lvl w:ilvl="0" w:tentative="0">
      <w:start w:val="1"/>
      <w:numFmt w:val="chineseCounting"/>
      <w:suff w:val="space"/>
      <w:lvlText w:val="第%1节"/>
      <w:lvlJc w:val="left"/>
      <w:rPr>
        <w:rFonts w:hint="eastAsia"/>
      </w:rPr>
    </w:lvl>
  </w:abstractNum>
  <w:abstractNum w:abstractNumId="13">
    <w:nsid w:val="1F188773"/>
    <w:multiLevelType w:val="singleLevel"/>
    <w:tmpl w:val="1F188773"/>
    <w:lvl w:ilvl="0" w:tentative="0">
      <w:start w:val="1"/>
      <w:numFmt w:val="chineseCounting"/>
      <w:suff w:val="space"/>
      <w:lvlText w:val="第%1节"/>
      <w:lvlJc w:val="left"/>
      <w:rPr>
        <w:rFonts w:hint="eastAsia"/>
      </w:rPr>
    </w:lvl>
  </w:abstractNum>
  <w:abstractNum w:abstractNumId="14">
    <w:nsid w:val="7A70C1F0"/>
    <w:multiLevelType w:val="singleLevel"/>
    <w:tmpl w:val="7A70C1F0"/>
    <w:lvl w:ilvl="0" w:tentative="0">
      <w:start w:val="1"/>
      <w:numFmt w:val="chineseCounting"/>
      <w:suff w:val="space"/>
      <w:lvlText w:val="第%1节"/>
      <w:lvlJc w:val="left"/>
      <w:rPr>
        <w:rFonts w:hint="eastAsia"/>
      </w:rPr>
    </w:lvl>
  </w:abstractNum>
  <w:num w:numId="1">
    <w:abstractNumId w:val="4"/>
  </w:num>
  <w:num w:numId="2">
    <w:abstractNumId w:val="10"/>
  </w:num>
  <w:num w:numId="3">
    <w:abstractNumId w:val="7"/>
  </w:num>
  <w:num w:numId="4">
    <w:abstractNumId w:val="2"/>
  </w:num>
  <w:num w:numId="5">
    <w:abstractNumId w:val="12"/>
  </w:num>
  <w:num w:numId="6">
    <w:abstractNumId w:val="14"/>
  </w:num>
  <w:num w:numId="7">
    <w:abstractNumId w:val="6"/>
  </w:num>
  <w:num w:numId="8">
    <w:abstractNumId w:val="11"/>
  </w:num>
  <w:num w:numId="9">
    <w:abstractNumId w:val="3"/>
  </w:num>
  <w:num w:numId="10">
    <w:abstractNumId w:val="5"/>
  </w:num>
  <w:num w:numId="11">
    <w:abstractNumId w:val="9"/>
  </w:num>
  <w:num w:numId="12">
    <w:abstractNumId w:val="1"/>
  </w:num>
  <w:num w:numId="13">
    <w:abstractNumId w:val="8"/>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5DBE405"/>
    <w:rsid w:val="1668710C"/>
    <w:rsid w:val="17DA7A45"/>
    <w:rsid w:val="1AAF069A"/>
    <w:rsid w:val="1E7F74DE"/>
    <w:rsid w:val="1F516B5B"/>
    <w:rsid w:val="200941DE"/>
    <w:rsid w:val="20DF5D75"/>
    <w:rsid w:val="211E76E3"/>
    <w:rsid w:val="21303A2F"/>
    <w:rsid w:val="22843ED3"/>
    <w:rsid w:val="248B798D"/>
    <w:rsid w:val="25A16CD6"/>
    <w:rsid w:val="25CC020C"/>
    <w:rsid w:val="27AA20E3"/>
    <w:rsid w:val="2D780D39"/>
    <w:rsid w:val="2F91428E"/>
    <w:rsid w:val="31DC69F2"/>
    <w:rsid w:val="359C1E05"/>
    <w:rsid w:val="359E2391"/>
    <w:rsid w:val="3929223E"/>
    <w:rsid w:val="3B8E4805"/>
    <w:rsid w:val="3BB73BBF"/>
    <w:rsid w:val="3BBE0E4D"/>
    <w:rsid w:val="3DA76302"/>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5FDF346B"/>
    <w:rsid w:val="677FF818"/>
    <w:rsid w:val="69F95CD5"/>
    <w:rsid w:val="6A3B4FCC"/>
    <w:rsid w:val="6B5F2761"/>
    <w:rsid w:val="6B6B0BB8"/>
    <w:rsid w:val="6BD60C7C"/>
    <w:rsid w:val="6FDC1639"/>
    <w:rsid w:val="75AB0D04"/>
    <w:rsid w:val="766111DA"/>
    <w:rsid w:val="79AC0429"/>
    <w:rsid w:val="7C5D2896"/>
    <w:rsid w:val="7CEE5FD5"/>
    <w:rsid w:val="7EFD38A4"/>
    <w:rsid w:val="7FA75E3A"/>
    <w:rsid w:val="7FB9F75A"/>
    <w:rsid w:val="7FE7118F"/>
    <w:rsid w:val="D7B7E302"/>
    <w:rsid w:val="DAB5D1F4"/>
    <w:rsid w:val="DBFFCE5E"/>
    <w:rsid w:val="EFFF8A15"/>
    <w:rsid w:val="FBD35228"/>
    <w:rsid w:val="FFEF53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34"/>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paragraph" w:styleId="4">
    <w:name w:val="heading 3"/>
    <w:basedOn w:val="1"/>
    <w:next w:val="1"/>
    <w:link w:val="3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36"/>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7">
    <w:name w:val="Default Paragraph Font"/>
    <w:qFormat/>
    <w:uiPriority w:val="0"/>
  </w:style>
  <w:style w:type="table" w:default="1" w:styleId="25">
    <w:name w:val="Normal Table"/>
    <w:qFormat/>
    <w:uiPriority w:val="0"/>
    <w:tblPr>
      <w:tblCellMar>
        <w:top w:w="0" w:type="dxa"/>
        <w:left w:w="108" w:type="dxa"/>
        <w:bottom w:w="0" w:type="dxa"/>
        <w:right w:w="108" w:type="dxa"/>
      </w:tblCellMar>
    </w:tblPr>
  </w:style>
  <w:style w:type="paragraph" w:styleId="6">
    <w:name w:val="toc 7"/>
    <w:basedOn w:val="1"/>
    <w:next w:val="1"/>
    <w:qFormat/>
    <w:uiPriority w:val="0"/>
    <w:pPr>
      <w:ind w:left="2520" w:leftChars="1200"/>
    </w:pPr>
    <w:rPr>
      <w:rFonts w:ascii="Times New Roman" w:hAnsi="Times New Roman" w:eastAsia="宋体" w:cs="Times New Roman"/>
      <w:szCs w:val="22"/>
    </w:rPr>
  </w:style>
  <w:style w:type="paragraph" w:styleId="7">
    <w:name w:val="Normal Indent"/>
    <w:basedOn w:val="1"/>
    <w:next w:val="1"/>
    <w:qFormat/>
    <w:uiPriority w:val="0"/>
    <w:pPr>
      <w:ind w:firstLine="420" w:firstLineChars="200"/>
    </w:pPr>
    <w:rPr>
      <w:rFonts w:ascii="Calibri" w:hAnsi="Calibri" w:eastAsia="宋体" w:cs="Times New Roman"/>
      <w:szCs w:val="24"/>
    </w:rPr>
  </w:style>
  <w:style w:type="paragraph" w:styleId="8">
    <w:name w:val="annotation text"/>
    <w:basedOn w:val="1"/>
    <w:link w:val="37"/>
    <w:qFormat/>
    <w:uiPriority w:val="0"/>
    <w:pPr>
      <w:jc w:val="left"/>
    </w:pPr>
    <w:rPr>
      <w:rFonts w:ascii="Times New Roman" w:hAnsi="Times New Roman" w:eastAsia="宋体" w:cs="Times New Roman"/>
      <w:szCs w:val="22"/>
    </w:rPr>
  </w:style>
  <w:style w:type="paragraph" w:styleId="9">
    <w:name w:val="Body Text"/>
    <w:basedOn w:val="1"/>
    <w:link w:val="38"/>
    <w:qFormat/>
    <w:uiPriority w:val="0"/>
    <w:rPr>
      <w:rFonts w:ascii="仿宋" w:hAnsi="仿宋" w:eastAsia="仿宋" w:cs="仿宋"/>
      <w:sz w:val="35"/>
      <w:szCs w:val="35"/>
      <w:lang w:eastAsia="en-US"/>
    </w:rPr>
  </w:style>
  <w:style w:type="paragraph" w:styleId="10">
    <w:name w:val="Body Text Indent"/>
    <w:basedOn w:val="1"/>
    <w:next w:val="11"/>
    <w:qFormat/>
    <w:uiPriority w:val="0"/>
    <w:pPr>
      <w:ind w:left="420" w:leftChars="200"/>
    </w:pPr>
    <w:rPr>
      <w:rFonts w:ascii="等线" w:hAnsi="等线" w:eastAsia="等线" w:cs="Times New Roman"/>
      <w:szCs w:val="22"/>
    </w:rPr>
  </w:style>
  <w:style w:type="paragraph" w:styleId="11">
    <w:name w:val="Body Text First Indent 2"/>
    <w:basedOn w:val="10"/>
    <w:qFormat/>
    <w:uiPriority w:val="0"/>
    <w:pPr>
      <w:ind w:firstLine="420" w:firstLineChars="200"/>
    </w:pPr>
  </w:style>
  <w:style w:type="paragraph" w:styleId="12">
    <w:name w:val="toc 5"/>
    <w:basedOn w:val="1"/>
    <w:next w:val="1"/>
    <w:qFormat/>
    <w:uiPriority w:val="0"/>
    <w:pPr>
      <w:ind w:left="1680" w:leftChars="800"/>
    </w:pPr>
    <w:rPr>
      <w:rFonts w:ascii="Times New Roman" w:hAnsi="Times New Roman" w:eastAsia="宋体" w:cs="Times New Roman"/>
      <w:szCs w:val="22"/>
    </w:rPr>
  </w:style>
  <w:style w:type="paragraph" w:styleId="13">
    <w:name w:val="toc 3"/>
    <w:basedOn w:val="1"/>
    <w:next w:val="1"/>
    <w:qFormat/>
    <w:uiPriority w:val="0"/>
    <w:pPr>
      <w:ind w:left="840" w:leftChars="400"/>
    </w:pPr>
    <w:rPr>
      <w:rFonts w:ascii="Times New Roman" w:hAnsi="Times New Roman" w:eastAsia="宋体" w:cs="Times New Roman"/>
      <w:szCs w:val="22"/>
    </w:rPr>
  </w:style>
  <w:style w:type="paragraph" w:styleId="14">
    <w:name w:val="toc 8"/>
    <w:basedOn w:val="1"/>
    <w:next w:val="1"/>
    <w:qFormat/>
    <w:uiPriority w:val="0"/>
    <w:pPr>
      <w:ind w:left="2940" w:leftChars="1400"/>
    </w:pPr>
    <w:rPr>
      <w:rFonts w:ascii="Times New Roman" w:hAnsi="Times New Roman" w:eastAsia="宋体" w:cs="Times New Roman"/>
      <w:szCs w:val="22"/>
    </w:rPr>
  </w:style>
  <w:style w:type="paragraph" w:styleId="15">
    <w:name w:val="footer"/>
    <w:basedOn w:val="1"/>
    <w:link w:val="39"/>
    <w:qFormat/>
    <w:uiPriority w:val="0"/>
    <w:pPr>
      <w:tabs>
        <w:tab w:val="center" w:pos="4153"/>
        <w:tab w:val="right" w:pos="8306"/>
      </w:tabs>
      <w:snapToGrid w:val="0"/>
      <w:jc w:val="left"/>
    </w:pPr>
    <w:rPr>
      <w:sz w:val="28"/>
    </w:rPr>
  </w:style>
  <w:style w:type="paragraph" w:styleId="16">
    <w:name w:val="header"/>
    <w:basedOn w:val="1"/>
    <w:link w:val="4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pPr>
      <w:tabs>
        <w:tab w:val="right" w:leader="dot" w:pos="8296"/>
      </w:tabs>
    </w:pPr>
    <w:rPr>
      <w:rFonts w:ascii="Times New Roman" w:hAnsi="Times New Roman" w:eastAsia="楷体" w:cs="Times New Roman"/>
      <w:b/>
      <w:spacing w:val="-20"/>
      <w:sz w:val="28"/>
      <w:szCs w:val="28"/>
    </w:rPr>
  </w:style>
  <w:style w:type="paragraph" w:styleId="18">
    <w:name w:val="toc 4"/>
    <w:basedOn w:val="1"/>
    <w:next w:val="1"/>
    <w:qFormat/>
    <w:uiPriority w:val="0"/>
    <w:pPr>
      <w:ind w:left="1260" w:leftChars="600"/>
    </w:pPr>
    <w:rPr>
      <w:rFonts w:ascii="Times New Roman" w:hAnsi="Times New Roman" w:eastAsia="宋体" w:cs="Times New Roman"/>
      <w:szCs w:val="22"/>
    </w:rPr>
  </w:style>
  <w:style w:type="paragraph" w:styleId="19">
    <w:name w:val="toc 6"/>
    <w:basedOn w:val="1"/>
    <w:next w:val="1"/>
    <w:qFormat/>
    <w:uiPriority w:val="0"/>
    <w:pPr>
      <w:ind w:left="2100" w:leftChars="1000"/>
    </w:pPr>
    <w:rPr>
      <w:rFonts w:ascii="Times New Roman" w:hAnsi="Times New Roman" w:eastAsia="宋体" w:cs="Times New Roman"/>
      <w:szCs w:val="22"/>
    </w:rPr>
  </w:style>
  <w:style w:type="paragraph" w:styleId="20">
    <w:name w:val="toc 2"/>
    <w:basedOn w:val="1"/>
    <w:next w:val="1"/>
    <w:qFormat/>
    <w:uiPriority w:val="0"/>
    <w:pPr>
      <w:ind w:firstLine="100" w:firstLineChars="100"/>
      <w:jc w:val="left"/>
    </w:pPr>
    <w:rPr>
      <w:rFonts w:ascii="Blues" w:hAnsi="Blues" w:eastAsia="楷体" w:cs="等线"/>
      <w:smallCaps/>
      <w:sz w:val="30"/>
      <w:szCs w:val="20"/>
    </w:rPr>
  </w:style>
  <w:style w:type="paragraph" w:styleId="21">
    <w:name w:val="toc 9"/>
    <w:basedOn w:val="1"/>
    <w:next w:val="1"/>
    <w:qFormat/>
    <w:uiPriority w:val="0"/>
    <w:pPr>
      <w:ind w:left="3360" w:leftChars="1600"/>
    </w:pPr>
    <w:rPr>
      <w:rFonts w:ascii="Times New Roman" w:hAnsi="Times New Roman" w:eastAsia="宋体" w:cs="Times New Roman"/>
      <w:szCs w:val="22"/>
    </w:rPr>
  </w:style>
  <w:style w:type="paragraph" w:styleId="2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23">
    <w:name w:val="Title"/>
    <w:basedOn w:val="1"/>
    <w:next w:val="1"/>
    <w:link w:val="41"/>
    <w:qFormat/>
    <w:uiPriority w:val="0"/>
    <w:pPr>
      <w:spacing w:before="240" w:after="60"/>
      <w:jc w:val="center"/>
      <w:outlineLvl w:val="0"/>
    </w:pPr>
    <w:rPr>
      <w:rFonts w:ascii="等线 Light" w:hAnsi="等线 Light" w:eastAsia="等线 Light" w:cs="Times New Roman"/>
      <w:b/>
      <w:bCs/>
      <w:sz w:val="32"/>
      <w:szCs w:val="32"/>
    </w:rPr>
  </w:style>
  <w:style w:type="paragraph" w:styleId="24">
    <w:name w:val="Body Text First Indent"/>
    <w:basedOn w:val="9"/>
    <w:qFormat/>
    <w:uiPriority w:val="0"/>
    <w:pPr>
      <w:ind w:firstLine="420" w:firstLineChars="100"/>
    </w:pPr>
    <w:rPr>
      <w:rFonts w:ascii="Times New Roman" w:hAnsi="Times New Roman" w:eastAsia="宋体" w:cs="Times New Roman"/>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rFonts w:ascii="Times New Roman" w:hAnsi="Times New Roman" w:eastAsia="宋体" w:cs="Times New Roman"/>
      <w:b/>
    </w:rPr>
  </w:style>
  <w:style w:type="character" w:styleId="29">
    <w:name w:val="Hyperlink"/>
    <w:basedOn w:val="27"/>
    <w:qFormat/>
    <w:uiPriority w:val="0"/>
    <w:rPr>
      <w:rFonts w:ascii="Times New Roman" w:hAnsi="Times New Roman" w:eastAsia="宋体" w:cs="Times New Roman"/>
      <w:color w:val="467886"/>
      <w:u w:val="single"/>
    </w:rPr>
  </w:style>
  <w:style w:type="character" w:styleId="30">
    <w:name w:val="annotation reference"/>
    <w:basedOn w:val="27"/>
    <w:qFormat/>
    <w:uiPriority w:val="0"/>
    <w:rPr>
      <w:rFonts w:ascii="Times New Roman" w:hAnsi="Times New Roman" w:eastAsia="宋体" w:cs="Times New Roman"/>
      <w:sz w:val="21"/>
      <w:szCs w:val="21"/>
    </w:rPr>
  </w:style>
  <w:style w:type="character" w:customStyle="1" w:styleId="31">
    <w:name w:val="标题 2 Char"/>
    <w:link w:val="3"/>
    <w:qFormat/>
    <w:uiPriority w:val="1"/>
    <w:rPr>
      <w:rFonts w:ascii="宋体" w:hAnsi="宋体" w:eastAsia="黑体" w:cs="宋体"/>
      <w:b/>
      <w:bCs/>
      <w:sz w:val="28"/>
      <w:szCs w:val="45"/>
      <w:lang w:eastAsia="en-US"/>
    </w:rPr>
  </w:style>
  <w:style w:type="paragraph" w:styleId="32">
    <w:name w:val="List Paragraph"/>
    <w:basedOn w:val="1"/>
    <w:qFormat/>
    <w:uiPriority w:val="0"/>
    <w:pPr>
      <w:ind w:firstLine="420" w:firstLineChars="200"/>
    </w:pPr>
    <w:rPr>
      <w:rFonts w:ascii="Times New Roman" w:hAnsi="Times New Roman" w:eastAsia="仿宋" w:cs="Times New Roman"/>
      <w:sz w:val="32"/>
      <w:szCs w:val="22"/>
    </w:rPr>
  </w:style>
  <w:style w:type="character" w:customStyle="1" w:styleId="33">
    <w:name w:val="标题 1 字符"/>
    <w:basedOn w:val="27"/>
    <w:link w:val="2"/>
    <w:qFormat/>
    <w:uiPriority w:val="0"/>
    <w:rPr>
      <w:rFonts w:ascii="宋体" w:hAnsi="宋体" w:eastAsia="黑体" w:cs="宋体"/>
      <w:b/>
      <w:bCs/>
      <w:sz w:val="30"/>
      <w:szCs w:val="66"/>
      <w:lang w:eastAsia="en-US"/>
    </w:rPr>
  </w:style>
  <w:style w:type="character" w:customStyle="1" w:styleId="34">
    <w:name w:val="标题 2 字符"/>
    <w:basedOn w:val="27"/>
    <w:link w:val="3"/>
    <w:qFormat/>
    <w:uiPriority w:val="0"/>
    <w:rPr>
      <w:rFonts w:ascii="等线 Light" w:hAnsi="等线 Light" w:eastAsia="等线 Light" w:cs="Times New Roman"/>
      <w:b/>
      <w:bCs/>
      <w:sz w:val="32"/>
      <w:szCs w:val="32"/>
    </w:rPr>
  </w:style>
  <w:style w:type="character" w:customStyle="1" w:styleId="35">
    <w:name w:val="标题 3 字符"/>
    <w:basedOn w:val="27"/>
    <w:link w:val="4"/>
    <w:qFormat/>
    <w:uiPriority w:val="0"/>
    <w:rPr>
      <w:rFonts w:ascii="Times New Roman" w:hAnsi="Times New Roman" w:eastAsia="宋体" w:cs="Times New Roman"/>
      <w:b/>
      <w:bCs/>
      <w:sz w:val="32"/>
      <w:szCs w:val="32"/>
    </w:rPr>
  </w:style>
  <w:style w:type="character" w:customStyle="1" w:styleId="36">
    <w:name w:val="标题 4 字符"/>
    <w:basedOn w:val="27"/>
    <w:link w:val="5"/>
    <w:qFormat/>
    <w:uiPriority w:val="0"/>
    <w:rPr>
      <w:rFonts w:ascii="等线 Light" w:hAnsi="等线 Light" w:eastAsia="等线 Light" w:cs="Times New Roman"/>
      <w:b/>
      <w:bCs/>
      <w:sz w:val="28"/>
      <w:szCs w:val="28"/>
    </w:rPr>
  </w:style>
  <w:style w:type="character" w:customStyle="1" w:styleId="37">
    <w:name w:val="批注文字 字符"/>
    <w:basedOn w:val="27"/>
    <w:link w:val="8"/>
    <w:qFormat/>
    <w:uiPriority w:val="0"/>
    <w:rPr>
      <w:rFonts w:ascii="Times New Roman" w:hAnsi="Times New Roman" w:eastAsia="宋体" w:cs="Times New Roman"/>
    </w:rPr>
  </w:style>
  <w:style w:type="character" w:customStyle="1" w:styleId="38">
    <w:name w:val="正文文本 字符"/>
    <w:basedOn w:val="27"/>
    <w:link w:val="9"/>
    <w:qFormat/>
    <w:uiPriority w:val="0"/>
    <w:rPr>
      <w:rFonts w:ascii="仿宋" w:hAnsi="仿宋" w:eastAsia="仿宋" w:cs="仿宋"/>
      <w:sz w:val="35"/>
      <w:szCs w:val="35"/>
      <w:lang w:eastAsia="en-US"/>
    </w:rPr>
  </w:style>
  <w:style w:type="character" w:customStyle="1" w:styleId="39">
    <w:name w:val="页脚 字符"/>
    <w:basedOn w:val="27"/>
    <w:link w:val="15"/>
    <w:qFormat/>
    <w:uiPriority w:val="0"/>
    <w:rPr>
      <w:rFonts w:ascii="Times New Roman" w:hAnsi="Times New Roman" w:eastAsia="宋体" w:cs="Times New Roman"/>
      <w:sz w:val="28"/>
    </w:rPr>
  </w:style>
  <w:style w:type="character" w:customStyle="1" w:styleId="40">
    <w:name w:val="页眉 字符"/>
    <w:basedOn w:val="27"/>
    <w:link w:val="16"/>
    <w:qFormat/>
    <w:uiPriority w:val="0"/>
    <w:rPr>
      <w:rFonts w:ascii="Times New Roman" w:hAnsi="Times New Roman" w:eastAsia="宋体" w:cs="Times New Roman"/>
      <w:sz w:val="18"/>
    </w:rPr>
  </w:style>
  <w:style w:type="character" w:customStyle="1" w:styleId="41">
    <w:name w:val="标题 字符"/>
    <w:basedOn w:val="27"/>
    <w:link w:val="23"/>
    <w:qFormat/>
    <w:uiPriority w:val="0"/>
    <w:rPr>
      <w:rFonts w:ascii="等线 Light" w:hAnsi="等线 Light" w:eastAsia="等线 Light" w:cs="Times New Roman"/>
      <w:b/>
      <w:bCs/>
      <w:sz w:val="32"/>
      <w:szCs w:val="32"/>
    </w:rPr>
  </w:style>
  <w:style w:type="character" w:customStyle="1" w:styleId="42">
    <w:name w:val="text 字符"/>
    <w:basedOn w:val="27"/>
    <w:link w:val="43"/>
    <w:qFormat/>
    <w:uiPriority w:val="0"/>
    <w:rPr>
      <w:rFonts w:ascii="Times New Roman" w:hAnsi="Times New Roman" w:eastAsia="方正仿宋_GB2312" w:cs="Times New Roman"/>
      <w:sz w:val="32"/>
      <w:szCs w:val="32"/>
    </w:rPr>
  </w:style>
  <w:style w:type="paragraph" w:customStyle="1" w:styleId="43">
    <w:name w:val="text"/>
    <w:basedOn w:val="1"/>
    <w:link w:val="42"/>
    <w:qFormat/>
    <w:uiPriority w:val="0"/>
    <w:pPr>
      <w:spacing w:line="560" w:lineRule="exact"/>
      <w:ind w:firstLine="640" w:firstLineChars="200"/>
    </w:pPr>
    <w:rPr>
      <w:rFonts w:ascii="Times New Roman" w:hAnsi="Times New Roman" w:eastAsia="方正仿宋_GB2312" w:cs="Times New Roman"/>
      <w:sz w:val="32"/>
      <w:szCs w:val="32"/>
    </w:rPr>
  </w:style>
  <w:style w:type="paragraph" w:customStyle="1" w:styleId="44">
    <w:name w:val="TOC 标题1"/>
    <w:basedOn w:val="2"/>
    <w:next w:val="1"/>
    <w:qFormat/>
    <w:uiPriority w:val="0"/>
    <w:pPr>
      <w:keepNext/>
      <w:keepLines/>
      <w:widowControl/>
      <w:adjustRightInd/>
      <w:snapToGrid/>
      <w:spacing w:before="240" w:after="0" w:line="259" w:lineRule="auto"/>
      <w:ind w:left="0" w:right="0" w:firstLine="0"/>
      <w:jc w:val="left"/>
      <w:outlineLvl w:val="9"/>
    </w:pPr>
    <w:rPr>
      <w:rFonts w:ascii="等线 Light" w:hAnsi="等线 Light" w:eastAsia="等线 Light" w:cs="Times New Roman"/>
      <w:b w:val="0"/>
      <w:bCs w:val="0"/>
      <w:color w:val="0F4761"/>
      <w:kern w:val="0"/>
      <w:sz w:val="32"/>
      <w:szCs w:val="32"/>
      <w:lang w:eastAsia="zh-CN"/>
    </w:rPr>
  </w:style>
  <w:style w:type="character" w:customStyle="1" w:styleId="45">
    <w:name w:val="txt 字符"/>
    <w:basedOn w:val="27"/>
    <w:link w:val="46"/>
    <w:qFormat/>
    <w:uiPriority w:val="0"/>
    <w:rPr>
      <w:rFonts w:ascii="方正仿宋_GB2312" w:hAnsi="楷体" w:eastAsia="方正仿宋_GB2312" w:cs="Times New Roman"/>
      <w:sz w:val="32"/>
      <w:szCs w:val="32"/>
    </w:rPr>
  </w:style>
  <w:style w:type="paragraph" w:customStyle="1" w:styleId="46">
    <w:name w:val="txt"/>
    <w:basedOn w:val="1"/>
    <w:link w:val="45"/>
    <w:qFormat/>
    <w:uiPriority w:val="0"/>
    <w:pPr>
      <w:spacing w:line="560" w:lineRule="exact"/>
      <w:ind w:firstLine="640" w:firstLineChars="200"/>
    </w:pPr>
    <w:rPr>
      <w:rFonts w:ascii="方正仿宋_GB2312" w:hAnsi="楷体" w:eastAsia="方正仿宋_GB2312" w:cs="Times New Roman"/>
      <w:sz w:val="32"/>
      <w:szCs w:val="32"/>
    </w:rPr>
  </w:style>
  <w:style w:type="paragraph" w:customStyle="1" w:styleId="47">
    <w:name w:val="Body Text 21"/>
    <w:basedOn w:val="1"/>
    <w:qFormat/>
    <w:uiPriority w:val="0"/>
    <w:pPr>
      <w:spacing w:after="120" w:afterLines="0" w:line="480" w:lineRule="auto"/>
    </w:pPr>
    <w:rPr>
      <w:rFonts w:ascii="Times New Roman" w:hAnsi="Times New Roman" w:eastAsia="宋体" w:cs="Times New Roman"/>
      <w:szCs w:val="22"/>
    </w:rPr>
  </w:style>
  <w:style w:type="table" w:customStyle="1" w:styleId="48">
    <w:name w:val="网格型1"/>
    <w:basedOn w:val="2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
    <w:name w:val="WPSOffice手动目录 1"/>
    <w:qFormat/>
    <w:uiPriority w:val="0"/>
    <w:rPr>
      <w:rFonts w:ascii="Times New Roman" w:hAnsi="Times New Roman" w:eastAsia="宋体" w:cs="Times New Roman"/>
      <w:lang w:val="en-US" w:eastAsia="zh-CN" w:bidi="ar-SA"/>
    </w:rPr>
  </w:style>
  <w:style w:type="character" w:customStyle="1" w:styleId="50">
    <w:name w:val="未处理的提及1"/>
    <w:basedOn w:val="27"/>
    <w:qFormat/>
    <w:uiPriority w:val="0"/>
    <w:rPr>
      <w:rFonts w:ascii="Times New Roman" w:hAnsi="Times New Roman" w:eastAsia="宋体" w:cs="Times New Roman"/>
      <w:color w:val="605E5C"/>
      <w:shd w:val="clear" w:color="auto" w:fill="E1DFDD"/>
    </w:rPr>
  </w:style>
  <w:style w:type="paragraph" w:customStyle="1" w:styleId="51">
    <w:name w:val="Revision"/>
    <w:qFormat/>
    <w:uiPriority w:val="0"/>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129</Pages>
  <Words>3265</Words>
  <Characters>3517</Characters>
  <Lines>390</Lines>
  <Paragraphs>109</Paragraphs>
  <TotalTime>23</TotalTime>
  <ScaleCrop>false</ScaleCrop>
  <LinksUpToDate>false</LinksUpToDate>
  <CharactersWithSpaces>3871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2024-11-26T16:58:00Z</dcterms:created>
  <dc:creator>荣 周</dc:creator>
  <cp:lastModifiedBy>瞬的爱</cp:lastModifiedBy>
  <cp:lastPrinted>2026-05-18T17:49:00Z</cp:lastPrinted>
  <dcterms:modified xsi:type="dcterms:W3CDTF">2026-05-21T01:47:18Z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8642DF08A3F44FA2BEE9B063CEC18E7B_13</vt:lpwstr>
  </property>
  <property fmtid="{D5CDD505-2E9C-101B-9397-08002B2CF9AE}" pid="4" name="KSOTemplateDocerSaveRecord">
    <vt:lpwstr>eyJoZGlkIjoiNmJiNzk3MWYzNDI3MDZlZWQ0NjFmNTVjNTFiZjZhMzMiLCJ1c2VySWQiOiIxNjcwNDc1Nzk4In0=</vt:lpwstr>
  </property>
</Properties>
</file>