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sz w:val="44"/>
          <w:szCs w:val="44"/>
          <w:vertAlign w:val="baseli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sz w:val="44"/>
          <w:szCs w:val="44"/>
          <w:vertAlign w:val="baseli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sz w:val="44"/>
          <w:szCs w:val="44"/>
          <w:vertAlign w:val="baseli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sz w:val="44"/>
          <w:szCs w:val="44"/>
          <w:vertAlign w:val="baseli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sz w:val="44"/>
          <w:szCs w:val="44"/>
          <w:vertAlign w:val="baseline"/>
          <w:lang w:eastAsia="zh-CN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1184910</wp:posOffset>
            </wp:positionH>
            <wp:positionV relativeFrom="page">
              <wp:posOffset>2874010</wp:posOffset>
            </wp:positionV>
            <wp:extent cx="5205730" cy="1419225"/>
            <wp:effectExtent l="0" t="0" r="6350" b="13335"/>
            <wp:wrapNone/>
            <wp:docPr id="1" name="图片 2" descr="C:\Users\86130\Desktop\市政府\zjk图片\zjk图片\秘书二科\发文\赤政发.png赤政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C:\Users\86130\Desktop\市政府\zjk图片\zjk图片\秘书二科\发文\赤政发.png赤政发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573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sz w:val="44"/>
          <w:szCs w:val="44"/>
          <w:vertAlign w:val="baseli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sz w:val="32"/>
          <w:szCs w:val="32"/>
          <w:vertAlign w:val="baseli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sz w:val="21"/>
          <w:szCs w:val="21"/>
          <w:vertAlign w:val="baseli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sz w:val="32"/>
          <w:szCs w:val="32"/>
          <w:vertAlign w:val="baseline"/>
          <w:lang w:eastAsia="zh-CN"/>
        </w:rPr>
      </w:pPr>
    </w:p>
    <w:tbl>
      <w:tblPr>
        <w:tblStyle w:val="9"/>
        <w:tblpPr w:leftFromText="180" w:rightFromText="180" w:vertAnchor="text" w:horzAnchor="page" w:tblpX="1704" w:tblpY="393"/>
        <w:tblOverlap w:val="never"/>
        <w:tblW w:w="88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94" w:hRule="exact"/>
        </w:trPr>
        <w:tc>
          <w:tcPr>
            <w:tcW w:w="8832" w:type="dxa"/>
            <w:tcBorders>
              <w:top w:val="nil"/>
              <w:left w:val="nil"/>
              <w:bottom w:val="single" w:color="FF0000" w:sz="24" w:space="0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157" w:afterLines="50"/>
              <w:jc w:val="center"/>
              <w:textAlignment w:val="auto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赤政发〔2025〕11号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157" w:afterLines="5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lang w:val="en-US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eastAsia="宋体"/>
          <w:sz w:val="32"/>
          <w:szCs w:val="32"/>
          <w:vertAlign w:val="baseli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ascii="仿宋_GB2312" w:eastAsia="仿宋_GB2312"/>
          <w:color w:val="auto"/>
          <w:sz w:val="32"/>
          <w:szCs w:val="32"/>
          <w:highlight w:val="none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textAlignment w:val="auto"/>
        <w:rPr>
          <w:rFonts w:ascii="方正小标宋简体" w:eastAsia="方正小标宋简体"/>
          <w:b w:val="0"/>
          <w:bCs w:val="0"/>
          <w:color w:val="auto"/>
          <w:spacing w:val="0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b w:val="0"/>
          <w:bCs w:val="0"/>
          <w:color w:val="auto"/>
          <w:spacing w:val="0"/>
          <w:sz w:val="44"/>
          <w:szCs w:val="44"/>
          <w:highlight w:val="none"/>
        </w:rPr>
        <w:t>赤峰市人民政府关于印发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textAlignment w:val="auto"/>
        <w:rPr>
          <w:rFonts w:ascii="方正小标宋简体" w:eastAsia="方正小标宋简体"/>
          <w:b w:val="0"/>
          <w:bCs w:val="0"/>
          <w:color w:val="auto"/>
          <w:spacing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sz w:val="44"/>
          <w:szCs w:val="44"/>
          <w:highlight w:val="none"/>
        </w:rPr>
        <w:t>赤峰市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sz w:val="44"/>
          <w:szCs w:val="44"/>
          <w:highlight w:val="none"/>
          <w:lang w:eastAsia="zh-CN"/>
        </w:rPr>
        <w:t>节水行动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sz w:val="44"/>
          <w:szCs w:val="44"/>
          <w:highlight w:val="none"/>
        </w:rPr>
        <w:t>实施方案</w:t>
      </w:r>
      <w:r>
        <w:rPr>
          <w:rFonts w:hint="eastAsia" w:ascii="方正小标宋简体" w:eastAsia="方正小标宋简体"/>
          <w:b w:val="0"/>
          <w:bCs w:val="0"/>
          <w:color w:val="auto"/>
          <w:spacing w:val="0"/>
          <w:sz w:val="44"/>
          <w:szCs w:val="44"/>
          <w:highlight w:val="none"/>
        </w:rPr>
        <w:t>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仿宋_GB2312" w:eastAsia="仿宋_GB2312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各旗县区人民政府，市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直各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委办局，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各企事业单位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24" w:firstLineChars="200"/>
        <w:textAlignment w:val="auto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现将《赤峰市节水行动实施方案》印发给你们，请结合实际认真贯彻落实。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24" w:firstLineChars="200"/>
        <w:textAlignment w:val="auto"/>
        <w:rPr>
          <w:rFonts w:ascii="仿宋_GB2312" w:eastAsia="仿宋_GB2312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24" w:firstLineChars="200"/>
        <w:textAlignment w:val="auto"/>
        <w:rPr>
          <w:rFonts w:ascii="仿宋_GB2312" w:eastAsia="仿宋_GB2312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24" w:firstLineChars="200"/>
        <w:textAlignment w:val="auto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 xml:space="preserve">                    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24" w:firstLineChars="200"/>
        <w:textAlignment w:val="auto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 xml:space="preserve">                      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 xml:space="preserve"> 202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11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24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（此件公开发布）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方正小标宋简体" w:eastAsia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color w:val="auto"/>
          <w:sz w:val="44"/>
          <w:szCs w:val="44"/>
          <w:highlight w:val="none"/>
        </w:rPr>
        <w:br w:type="page"/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赤峰市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eastAsia="zh-CN"/>
        </w:rPr>
        <w:t>节水行动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实施方案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ascii="仿宋_GB2312" w:hAnsi="Times New Roman" w:eastAsia="仿宋_GB2312" w:cs="Times New Roman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深入贯彻落实习近平总书记关于节水工作的重要指示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党的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二十大和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二十届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二中、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三中全会精神，按照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自治区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党委十一届九次全会暨全区经济工作会议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和市委八届八次全会暨全市经济会议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部署要求，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紧紧围绕铸牢中华民族共同体意识工作主线，大力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实施节水行动，制定本方案。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一、工作目标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</w:rPr>
        <w:t>2025年，全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eastAsia="zh-CN"/>
        </w:rPr>
        <w:t>市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</w:rPr>
        <w:t>用水总量控制在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  <w:t>20.23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</w:rPr>
        <w:t>亿立方米以内，万元国内生产总值用水量较2020年下降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</w:rPr>
        <w:t>%以上。农业新增节水能力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  <w:t>4215万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</w:rPr>
        <w:t>立方米以上，农田灌溉水有效利用系数达到0.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  <w:t>66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</w:rPr>
        <w:t>以上；工业万元增加值用水量较2020年下降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  <w:t>13.5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</w:rPr>
        <w:t>%以上；城市公共供水管网漏损率力争控制在9%以内，再生水利用率达到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  <w:t>43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</w:rPr>
        <w:t>%以上；非常规水源利用量达到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  <w:t>0.58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</w:rPr>
        <w:t>亿立方米以上。全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eastAsia="zh-CN"/>
        </w:rPr>
        <w:t>市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</w:rPr>
        <w:t>水资源节约利用取得明显成效，水资源利用效率和效益显著提升，全社会节水意识进一步增强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二、重点任务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  <w:t>强化水资源刚性约束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楷体_GB2312" w:hAnsi="楷体_GB2312" w:eastAsia="楷体_GB2312" w:cs="楷体_GB2312"/>
          <w:bCs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强化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节水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约束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性指标管理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。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  <w:t>严格实行区域流域用水总量和强度控制，各旗县区应严格执行“一旗县一策”指标体系。分行业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</w:rPr>
        <w:t>分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eastAsia="zh-CN"/>
        </w:rPr>
        <w:t>旗县区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</w:rPr>
        <w:t>确定节水目标，因地制宜实施差别化管控措施，落实到具体行业和用水单元，加强监测监管，确保目标实现。</w:t>
      </w:r>
      <w:r>
        <w:rPr>
          <w:rFonts w:hint="eastAsia" w:ascii="楷体_GB2312" w:hAnsi="楷体_GB2312" w:eastAsia="楷体_GB2312" w:cs="楷体_GB2312"/>
          <w:bCs/>
          <w:color w:val="auto"/>
          <w:sz w:val="32"/>
          <w:szCs w:val="32"/>
          <w:highlight w:val="none"/>
          <w:u w:val="none"/>
        </w:rPr>
        <w:t>（责任部门：</w:t>
      </w:r>
      <w:r>
        <w:rPr>
          <w:rFonts w:hint="eastAsia" w:ascii="楷体_GB2312" w:hAnsi="楷体_GB2312" w:eastAsia="楷体_GB2312" w:cs="楷体_GB2312"/>
          <w:bCs/>
          <w:color w:val="auto"/>
          <w:sz w:val="32"/>
          <w:szCs w:val="32"/>
          <w:highlight w:val="none"/>
          <w:u w:val="none"/>
          <w:lang w:eastAsia="zh-CN"/>
        </w:rPr>
        <w:t>市水利局</w:t>
      </w:r>
      <w:r>
        <w:rPr>
          <w:rFonts w:hint="eastAsia" w:ascii="楷体_GB2312" w:hAnsi="楷体_GB2312" w:eastAsia="楷体_GB2312" w:cs="楷体_GB2312"/>
          <w:bCs/>
          <w:color w:val="auto"/>
          <w:sz w:val="32"/>
          <w:szCs w:val="32"/>
          <w:highlight w:val="none"/>
          <w:u w:val="none"/>
        </w:rPr>
        <w:t>、工业和信息化</w:t>
      </w:r>
      <w:r>
        <w:rPr>
          <w:rFonts w:hint="eastAsia" w:ascii="楷体_GB2312" w:hAnsi="楷体_GB2312" w:eastAsia="楷体_GB2312" w:cs="楷体_GB2312"/>
          <w:bCs/>
          <w:color w:val="auto"/>
          <w:sz w:val="32"/>
          <w:szCs w:val="32"/>
          <w:highlight w:val="none"/>
          <w:u w:val="none"/>
          <w:lang w:eastAsia="zh-CN"/>
        </w:rPr>
        <w:t>局</w:t>
      </w:r>
      <w:r>
        <w:rPr>
          <w:rFonts w:hint="eastAsia" w:ascii="楷体_GB2312" w:hAnsi="楷体_GB2312" w:eastAsia="楷体_GB2312" w:cs="楷体_GB2312"/>
          <w:bCs/>
          <w:color w:val="auto"/>
          <w:sz w:val="32"/>
          <w:szCs w:val="32"/>
          <w:highlight w:val="none"/>
          <w:u w:val="none"/>
        </w:rPr>
        <w:t>、住房城乡建设</w:t>
      </w:r>
      <w:r>
        <w:rPr>
          <w:rFonts w:hint="eastAsia" w:ascii="楷体_GB2312" w:hAnsi="楷体_GB2312" w:eastAsia="楷体_GB2312" w:cs="楷体_GB2312"/>
          <w:bCs/>
          <w:color w:val="auto"/>
          <w:sz w:val="32"/>
          <w:szCs w:val="32"/>
          <w:highlight w:val="none"/>
          <w:u w:val="none"/>
          <w:lang w:eastAsia="zh-CN"/>
        </w:rPr>
        <w:t>局</w:t>
      </w:r>
      <w:r>
        <w:rPr>
          <w:rFonts w:hint="eastAsia" w:ascii="楷体_GB2312" w:hAnsi="楷体_GB2312" w:eastAsia="楷体_GB2312" w:cs="楷体_GB2312"/>
          <w:bCs/>
          <w:color w:val="auto"/>
          <w:sz w:val="32"/>
          <w:szCs w:val="32"/>
          <w:highlight w:val="none"/>
          <w:u w:val="none"/>
        </w:rPr>
        <w:t>、农牧</w:t>
      </w:r>
      <w:r>
        <w:rPr>
          <w:rFonts w:hint="eastAsia" w:ascii="楷体_GB2312" w:hAnsi="楷体_GB2312" w:eastAsia="楷体_GB2312" w:cs="楷体_GB2312"/>
          <w:bCs/>
          <w:color w:val="auto"/>
          <w:sz w:val="32"/>
          <w:szCs w:val="32"/>
          <w:highlight w:val="none"/>
          <w:u w:val="none"/>
          <w:lang w:eastAsia="zh-CN"/>
        </w:rPr>
        <w:t>局</w:t>
      </w:r>
      <w:r>
        <w:rPr>
          <w:rFonts w:hint="eastAsia" w:ascii="楷体_GB2312" w:hAnsi="楷体_GB2312" w:eastAsia="楷体_GB2312" w:cs="楷体_GB2312"/>
          <w:bCs/>
          <w:color w:val="auto"/>
          <w:sz w:val="32"/>
          <w:szCs w:val="32"/>
          <w:highlight w:val="none"/>
          <w:u w:val="none"/>
        </w:rPr>
        <w:t>、能源局等</w:t>
      </w:r>
      <w:r>
        <w:rPr>
          <w:rFonts w:hint="eastAsia" w:ascii="楷体_GB2312" w:hAnsi="楷体_GB2312" w:eastAsia="楷体_GB2312" w:cs="楷体_GB2312"/>
          <w:bCs/>
          <w:color w:val="auto"/>
          <w:sz w:val="32"/>
          <w:szCs w:val="32"/>
          <w:highlight w:val="none"/>
          <w:u w:val="none"/>
          <w:lang w:eastAsia="zh-CN"/>
        </w:rPr>
        <w:t>有关部门</w:t>
      </w:r>
      <w:r>
        <w:rPr>
          <w:rFonts w:hint="eastAsia" w:ascii="楷体_GB2312" w:hAnsi="楷体_GB2312" w:eastAsia="楷体_GB2312" w:cs="楷体_GB2312"/>
          <w:bCs/>
          <w:color w:val="auto"/>
          <w:sz w:val="32"/>
          <w:szCs w:val="32"/>
          <w:highlight w:val="none"/>
          <w:u w:val="none"/>
        </w:rPr>
        <w:t>，各</w:t>
      </w:r>
      <w:r>
        <w:rPr>
          <w:rFonts w:hint="eastAsia" w:ascii="楷体_GB2312" w:hAnsi="楷体_GB2312" w:eastAsia="楷体_GB2312" w:cs="楷体_GB2312"/>
          <w:bCs/>
          <w:color w:val="auto"/>
          <w:sz w:val="32"/>
          <w:szCs w:val="32"/>
          <w:highlight w:val="none"/>
          <w:u w:val="none"/>
          <w:lang w:eastAsia="zh-CN"/>
        </w:rPr>
        <w:t>旗县区</w:t>
      </w:r>
      <w:r>
        <w:rPr>
          <w:rFonts w:hint="eastAsia" w:ascii="楷体_GB2312" w:hAnsi="楷体_GB2312" w:eastAsia="楷体_GB2312" w:cs="楷体_GB2312"/>
          <w:bCs/>
          <w:color w:val="auto"/>
          <w:sz w:val="32"/>
          <w:szCs w:val="32"/>
          <w:highlight w:val="none"/>
          <w:u w:val="none"/>
        </w:rPr>
        <w:t>人民政府；以下各项工作均需各</w:t>
      </w:r>
      <w:r>
        <w:rPr>
          <w:rFonts w:hint="eastAsia" w:ascii="楷体_GB2312" w:hAnsi="楷体_GB2312" w:eastAsia="楷体_GB2312" w:cs="楷体_GB2312"/>
          <w:bCs/>
          <w:color w:val="auto"/>
          <w:sz w:val="32"/>
          <w:szCs w:val="32"/>
          <w:highlight w:val="none"/>
          <w:u w:val="none"/>
          <w:lang w:eastAsia="zh-CN"/>
        </w:rPr>
        <w:t>旗县区</w:t>
      </w:r>
      <w:r>
        <w:rPr>
          <w:rFonts w:hint="eastAsia" w:ascii="楷体_GB2312" w:hAnsi="楷体_GB2312" w:eastAsia="楷体_GB2312" w:cs="楷体_GB2312"/>
          <w:bCs/>
          <w:color w:val="auto"/>
          <w:sz w:val="32"/>
          <w:szCs w:val="32"/>
          <w:highlight w:val="none"/>
          <w:u w:val="none"/>
        </w:rPr>
        <w:t>人民政府落实，不再列出）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楷体_GB2312" w:hAnsi="楷体_GB2312" w:eastAsia="楷体_GB2312" w:cs="楷体_GB2312"/>
          <w:bCs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完善用水计量体系。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eastAsia="zh-CN"/>
        </w:rPr>
        <w:t>根据《节约用水条例》，水资源严重短缺地区、地下水超采地区应当限期建设农业灌溉用水计量设施。按照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</w:rPr>
        <w:t>“应装尽装、应测尽测”的要求，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eastAsia="zh-CN"/>
        </w:rPr>
        <w:t>新实施的高标准农田项目要全部安装在线计量设施，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</w:rPr>
        <w:t>地表水灌区1万亩以上的渠首取水计量实现全覆盖，5万亩以上的渠首取水实现在线计量，井灌区全面实行“以电折水”计量；非农用户年许可水量50万立方米以上的地表取水、5万立方米以上的地下取水全部实现在线计量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  <w:t>2025年，全市各行业取用水实现有效计量监控。</w:t>
      </w:r>
      <w:r>
        <w:rPr>
          <w:rFonts w:hint="eastAsia" w:ascii="楷体_GB2312" w:hAnsi="楷体_GB2312" w:eastAsia="楷体_GB2312" w:cs="楷体_GB2312"/>
          <w:bCs/>
          <w:color w:val="auto"/>
          <w:sz w:val="32"/>
          <w:szCs w:val="32"/>
          <w:highlight w:val="none"/>
          <w:u w:val="none"/>
        </w:rPr>
        <w:t>（责任部门：</w:t>
      </w:r>
      <w:r>
        <w:rPr>
          <w:rFonts w:hint="eastAsia" w:ascii="楷体_GB2312" w:hAnsi="楷体_GB2312" w:eastAsia="楷体_GB2312" w:cs="楷体_GB2312"/>
          <w:bCs/>
          <w:color w:val="auto"/>
          <w:sz w:val="32"/>
          <w:szCs w:val="32"/>
          <w:highlight w:val="none"/>
          <w:u w:val="none"/>
          <w:lang w:eastAsia="zh-CN"/>
        </w:rPr>
        <w:t>市水利局</w:t>
      </w:r>
      <w:r>
        <w:rPr>
          <w:rFonts w:hint="eastAsia" w:ascii="楷体_GB2312" w:hAnsi="楷体_GB2312" w:eastAsia="楷体_GB2312" w:cs="楷体_GB2312"/>
          <w:bCs/>
          <w:color w:val="auto"/>
          <w:sz w:val="32"/>
          <w:szCs w:val="32"/>
          <w:highlight w:val="none"/>
          <w:u w:val="none"/>
        </w:rPr>
        <w:t>、工业和信息化</w:t>
      </w:r>
      <w:r>
        <w:rPr>
          <w:rFonts w:hint="eastAsia" w:ascii="楷体_GB2312" w:hAnsi="楷体_GB2312" w:eastAsia="楷体_GB2312" w:cs="楷体_GB2312"/>
          <w:bCs/>
          <w:color w:val="auto"/>
          <w:sz w:val="32"/>
          <w:szCs w:val="32"/>
          <w:highlight w:val="none"/>
          <w:u w:val="none"/>
          <w:lang w:eastAsia="zh-CN"/>
        </w:rPr>
        <w:t>局</w:t>
      </w:r>
      <w:r>
        <w:rPr>
          <w:rFonts w:hint="eastAsia" w:ascii="楷体_GB2312" w:hAnsi="楷体_GB2312" w:eastAsia="楷体_GB2312" w:cs="楷体_GB2312"/>
          <w:bCs/>
          <w:color w:val="auto"/>
          <w:sz w:val="32"/>
          <w:szCs w:val="32"/>
          <w:highlight w:val="none"/>
          <w:u w:val="none"/>
        </w:rPr>
        <w:t>、住房城乡建设</w:t>
      </w:r>
      <w:r>
        <w:rPr>
          <w:rFonts w:hint="eastAsia" w:ascii="楷体_GB2312" w:hAnsi="楷体_GB2312" w:eastAsia="楷体_GB2312" w:cs="楷体_GB2312"/>
          <w:bCs/>
          <w:color w:val="auto"/>
          <w:sz w:val="32"/>
          <w:szCs w:val="32"/>
          <w:highlight w:val="none"/>
          <w:u w:val="none"/>
          <w:lang w:eastAsia="zh-CN"/>
        </w:rPr>
        <w:t>局</w:t>
      </w:r>
      <w:r>
        <w:rPr>
          <w:rFonts w:hint="eastAsia" w:ascii="楷体_GB2312" w:hAnsi="楷体_GB2312" w:eastAsia="楷体_GB2312" w:cs="楷体_GB2312"/>
          <w:bCs/>
          <w:color w:val="auto"/>
          <w:sz w:val="32"/>
          <w:szCs w:val="32"/>
          <w:highlight w:val="none"/>
          <w:u w:val="none"/>
        </w:rPr>
        <w:t>、农牧</w:t>
      </w:r>
      <w:r>
        <w:rPr>
          <w:rFonts w:hint="eastAsia" w:ascii="楷体_GB2312" w:hAnsi="楷体_GB2312" w:eastAsia="楷体_GB2312" w:cs="楷体_GB2312"/>
          <w:bCs/>
          <w:color w:val="auto"/>
          <w:sz w:val="32"/>
          <w:szCs w:val="32"/>
          <w:highlight w:val="none"/>
          <w:u w:val="none"/>
          <w:lang w:eastAsia="zh-CN"/>
        </w:rPr>
        <w:t>局</w:t>
      </w:r>
      <w:r>
        <w:rPr>
          <w:rFonts w:hint="eastAsia" w:ascii="楷体_GB2312" w:hAnsi="楷体_GB2312" w:eastAsia="楷体_GB2312" w:cs="楷体_GB2312"/>
          <w:bCs/>
          <w:color w:val="auto"/>
          <w:sz w:val="32"/>
          <w:szCs w:val="32"/>
          <w:highlight w:val="none"/>
          <w:u w:val="none"/>
        </w:rPr>
        <w:t>、能源局</w:t>
      </w:r>
      <w:r>
        <w:rPr>
          <w:rFonts w:hint="eastAsia" w:ascii="楷体_GB2312" w:hAnsi="楷体_GB2312" w:eastAsia="楷体_GB2312" w:cs="楷体_GB2312"/>
          <w:bCs/>
          <w:color w:val="auto"/>
          <w:sz w:val="32"/>
          <w:szCs w:val="32"/>
          <w:highlight w:val="none"/>
          <w:u w:val="none"/>
          <w:lang w:eastAsia="zh-CN"/>
        </w:rPr>
        <w:t>，国网赤峰供电公司</w:t>
      </w:r>
      <w:r>
        <w:rPr>
          <w:rFonts w:hint="eastAsia" w:ascii="楷体_GB2312" w:hAnsi="楷体_GB2312" w:eastAsia="楷体_GB2312" w:cs="楷体_GB2312"/>
          <w:bCs/>
          <w:color w:val="auto"/>
          <w:sz w:val="32"/>
          <w:szCs w:val="32"/>
          <w:highlight w:val="none"/>
          <w:u w:val="none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严格落实限审限批。对于取用水总量已经达到或者超过用水总量管控指标、地下水管理单元指标不合格的地区，除城乡居民生活用水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或者供热管网补水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等特殊情形外，暂停审批该地区新增取用水。各地区应积极采取节水控水、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highlight w:val="none"/>
          <w:lang w:val="en-US" w:eastAsia="zh-CN"/>
        </w:rPr>
        <w:t>实施引调水工程、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水源置换等措施将用水量压减到管控指标范围内。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  <w:t>（责任部门：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市水利局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4.推进水电联管工作。严格执行《赤峰市地下水保护条例》，各地在“以电折水”的基础上，探索开展水电联管工作，任何单位和个人直接取用地下水的，无取水许可文件，电力部门不能进行供电。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  <w:t>责任部门：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国网赤峰供电公司，市水利局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（二）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  <w:t>突出抓好农业节水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1.加强农业节水增效。全面落实工程、农艺、品种、结构、机制“五节”措施，大力推广滴灌，微灌等方式，锁定耕地开发边界，逐步调整国土三调新增耕地中耗水较大的地块。实施150万亩以上高标准农田建设。统筹推进农艺节水技术，计划稳定杂粮大豆种植面积500万亩以上，压减高耗水作物5万亩，推广抗旱品种、覆盖保墒、抗旱保水新材料等配套抗旱技术。新增农业节水能力4215万立方米。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（责任部门：市农牧局、自然资源局、水利局）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深化农业水价综合改革。对已完成农业水价综合改革任务的788.23万亩开展“回头看”，再新增农业水价综合改革面积382万亩，全面实行按方收费、超用加价。加价收取的费用主要用于农业节水工程改造和节水奖补。逐步建立灌区内农户间水权交易机制。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（责任部门：市水利局、发展改革委、财政局、农牧局）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做好设施农业节水工作。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highlight w:val="none"/>
          <w:lang w:val="en-US" w:eastAsia="zh-CN"/>
        </w:rPr>
        <w:t>结合赤峰市设施农业现代化提升行动，严格实行新建设施农业规划水资源论证工作，引导设施农业生产经营主体积极发展节水型设施农业，大力推进设施农业节水工程改造，加强设施农业项目水资源论证工作，对设施农业用水户实现“一户一表”精准计量。对于水资源匮乏的丘陵地区，应控制设施农业发展规模。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（责任部门：市农牧局、水利局）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4.大力推进牧草产业节水。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限制超规模发展高耗水的牧草产业。现有成规模的牧草产业需大力推进节水设施建设改造，坚持以水定地，量水而行，需按照水资源承载能力，压减种植面积。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（责任部门：市农牧局、发展改革委、财政局、水利局）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（三）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  <w:t>加快推进工业节水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推进能源领域节水改造。加强火电机组源头管理，强化新建煤电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项目节水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规划约束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推动既有火电企业节水改造升级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重点在现役火电机组装机规模较大、老旧机组较多的区域实施节水改造项目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推动煤制油气、石油开采和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炼制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行业实施再生水置换和废水循环利用改造工作，进一步提升行业节水减排能力。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（责任部门：市能源局）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推动其他重点行业节水技术改造。征集推广先进成熟适用的节水技术、装备和产品，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引导工业企业积极选用《工业领域绿色低碳先进技术推广目录》中的先进绿色技术，助力企业节水降本提质增效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在钢铁、有色、化工等领域，推动节水技术改造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加强工业废水循环利用，支持工业园区污水收集分流管网、污水集中处理、再生水回用等基础设施建设，规模以上工业用水重复利用率达到95%以上。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2025年，完成2个工业节水技改项目。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  <w:t>（责任部门：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市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  <w:t>工业和信息化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局、能源局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大力创建节水型企业和园区。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聚焦钢铁、有色、化工、建材、食品和发酵等重点用水领域，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大力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创建节水型企业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节水标杆企业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节水型园区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，引导工业企业特别是高耗水企业采用先进节水技术，实现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2025年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工业万元增加值用水量较2020年下降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13.5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%以上。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  <w:t>（责任部门：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市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  <w:t>工业和信息化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局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  <w:t>、水利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局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（四）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  <w:t>促进城乡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居民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  <w:t>节约用水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减少城市供水管网漏损。实施公共供水管网漏损治理工程，聚焦高漏损地区改造老旧破损供水管网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70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公里以上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。因地制宜更新完善供水计量设施，稳妥推进供水管网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分区计量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管理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，建立精细化管理平台和漏损管控体系。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结合城市更新和老旧小区改造，更新庭院管道和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二次供水设施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推动赤峰市国家公共供水管网漏损治理重点城市建设。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  <w:t>（责任部门：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市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  <w:t>住房城乡建设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局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  <w:t>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推进节水型城市建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设。按照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《赤峰市创建节水型城市实施方案》，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落实城市节水各项措施。提高城市节水工作系统性，将节水落实到城市规划、建设、管理各环节，实现优水优用、循环循序利用。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因地制宜推进海绵城市建设，科学设置滞水渗水设施，提高雨水资源就地消纳利用水平。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  <w:t>（责任部门：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市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  <w:t>住房城乡建设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局、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  <w:t>发展改革委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、水利局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严控高耗水服务业和特种行业用水。从严控制洗浴、洗车、人工滑雪场等行业计划用水管理，严格执行超定额（超计划）累进加价制度，加大高耗水服务业再生水利用比例。严格管控城市环卫、建筑施工等行业用水，禁止道路、建筑工地使用自来水抑尘洒水。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  <w:t>（责任部门：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市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  <w:t>住房城乡建设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局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  <w:t>、水利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局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加强农村牧区用水管控。积极推进农村牧区集中供水工程建设，自来水普及率提升至81.5%。全面推动农村牧区集中供水按方计量收费，加快计量设施安装，以“千人以上”及供水紧张的工程为重点，全面推动农村牧区集中供水按方计量收费。对农村牧区庭院浇灌和养殖用水造成农牧民饮水困难的，相关地区负责统筹协调，优先保障农牧民饮水安全。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  <w:t>（责任部门：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市水利局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  <w:t>、农牧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局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  <w:t>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提高城乡供水保障能力。加强水源地保护建设，开展水量水质评估，确保水源地水量充足、水质达标。实施城乡供水设施升级改造，着力解决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bidi="ar"/>
        </w:rPr>
        <w:t>处理工艺不完善、消毒设施不健全、出厂水质不达标等问题，加强供水水质检测，减少终端用户二次净水。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  <w:t>（责任部门：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市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  <w:t>住房城乡建设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局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  <w:t>、生态环境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局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  <w:t>、水利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局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  <w:t>、卫生健康委）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健全城乡用水价格机制。完善城镇居民阶梯水价制度，合理确定阶梯水量，适当加大缺水地区水价价差，定期开展居民用水阶梯价格运行情况评估并动态调整。健全城镇非居民用水超定额（超计划）累进加价制度，进一步调整水量分档、确定加价标准。农村牧区探索实行村口总量控制、按户定额管理、超额累进加价制度，引导农牧民自主节水。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  <w:t>（责任部门：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市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  <w:t>发展改革委、住房城乡建设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局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  <w:t>、水利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局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  <w:t>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（五）积极推进生态节水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坚持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以水定绿。统筹推进水源涵养、国土绿化、防沙治沙、湿地修复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等绿化措施，宜林则林、宜草则草，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科学恢复林草植被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坚持自然恢复和人工修复相结合，以雨养、节水为导向，大力发展节水林草植被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。具备供水保障条件的地区，在开展水资源论证的前提下可适当种植以乡土树种为主的乔木。禁止成规模营造高耗水的商用速生半产林。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  <w:t>（责任部门：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市林草局、农牧局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  <w:t>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2.推进国土绿化节水。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优先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选用节水耐旱型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树种草种，合理配置林草植被类型和密度。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加强林草节水灌溉基础设施建设和节水林草科技产品的推广应用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合理利用天然降水和再生水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。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  <w:t>（责任部门：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市林草局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  <w:t>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加强城市绿化用水管理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城市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园林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绿化优先使用再生水，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推广高效节水灌溉方式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选用适合本地区的节水耐旱植被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，合理安排灌溉频次，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严控水面景观用水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。严禁取用地下水用于城市水景观、水上娱乐项目。中心城区再生水管网覆盖范围内，严禁各类绿化公司、单位购买使用地下水用于绿化等行为。各旗县区应依法依规处置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再生水管网覆盖范围内的绿化水源井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。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（责任部门：市住房城乡建设局、水利局）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（六）强化地下水超采区治理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持续做好地下水超采区巩固治理。通过实施高效节水灌溉、水源置换、种植结构调整、旱作雨养等措施，加快推动第二轮中央环境保护督察反馈的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元宝山区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超采区（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涉及元宝山区和松山区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）巩固治理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。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（责任部门：市水利局、住房城乡建设局、农牧局）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加快推进重点区域超载治理。扎实推进西辽河流域重点区域超载综合治理，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u w:val="none"/>
          <w:lang w:bidi="ar"/>
        </w:rPr>
        <w:t>严厉打击违法取水行为，对未经批准擅自取水、超量取水、无计量取水等不符合取水许可要求的行为，责令限期改正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u w:val="none"/>
          <w:lang w:eastAsia="zh-CN" w:bidi="ar"/>
        </w:rPr>
        <w:t>，逾期未改正的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u w:val="none"/>
          <w:lang w:bidi="ar"/>
        </w:rPr>
        <w:t>依法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u w:val="none"/>
          <w:lang w:eastAsia="zh-CN" w:bidi="ar"/>
        </w:rPr>
        <w:t>采取拆除或封闭取水设施等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u w:val="none"/>
          <w:lang w:bidi="ar"/>
        </w:rPr>
        <w:t>处罚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u w:val="none"/>
          <w:lang w:eastAsia="zh-CN" w:bidi="ar"/>
        </w:rPr>
        <w:t>措施。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（责任部门：市水利局、住房城乡建设局、农牧局）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加快推进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新一轮划定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超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采区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治理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u w:val="none"/>
          <w:lang w:eastAsia="zh-CN" w:bidi="ar"/>
        </w:rPr>
        <w:t>《水利部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u w:val="none"/>
          <w:lang w:eastAsia="zh-CN" w:bidi="ar"/>
        </w:rPr>
        <w:t>自然资源部关于印发全国地下水超采区划定成果的通知》（水资管〔2024〕349号）公布了新一轮超采区划定成果，我市新一轮地下水超采区面积共2837平方公里，涉及4个旗县区，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2025年，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u w:val="none"/>
          <w:lang w:eastAsia="zh-CN" w:bidi="ar"/>
        </w:rPr>
        <w:t>编制完成《赤峰市新一轮超采区综合治理方案》，推进节水行动方案落地见效。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（责任部门：市水利局、自然资源局、住房城乡建设局、农牧局）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（七）着力用好非常规水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推进再生水综合利用。加快推进城镇和工业园区污水处理厂水质达标改造，力争满足再生水用户用水需求，对依托城镇污水处理厂处理工业废水的，积极推动建设独立工业废水处理厂或尾水深度净化工程；加大再生水配置管网建设力度，畅通再生水厂与用水户之间的输水通道；积极推进再生水就近利用，在工业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景观环境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、城市杂用、城市绿化等领域优先配置使用再生水；力争再生水利用率达到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43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%以上。加快再生水利用重点城市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建设，推进德润再生水到元宝山电厂供水工程建设，完成元宝山电厂水源置换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。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（责任部门：市住房城乡建设局、发展改革委、工业和信息化局、水利局）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提升矿井水综合利用水平。推广使用保水采煤工艺，建设煤炭和矿井水双资源型矿井；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推进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《赤峰市矿井水保护和利用工作计划》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落实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，加快推进矿井水配置利用工程建设；新增用水优先配置矿井水，具备条件的地区加快推进矿井水置换地表水、地下水；力争矿井水综合利用率达到60%以上。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（责任部门：市发展改革委、能源局、水利局）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（八）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  <w:t>激发节水市场活力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推进用水权市场化交易。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按照《内蒙古自治区水利厅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 xml:space="preserve"> 发展改革委 财政厅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关于推进内蒙古自治区用水权改革的实施意见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》（内水资〔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〕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249号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）相关要求，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支持合法用水户将自主节水量进行水权交易。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（责任部门：市水利局、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公共资源交易中心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发挥水资源税杠杆调节作用。严格执行水资源税改革试点要求，对同一用途取用水，地下水税额高于地表水；取用再生水不征收水资源税；疏干排水回收利用部分从低确定税额，外排部分从高确定税额；在水资源严重短缺和超载地区取用水的，除特定行业外，税额标准按照同类型取用水标准的2倍征收；对超计划取用水的，除特定行业外，按照超出计划的比例实行累进征收水资源税。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（责任部门：国家税务总局赤峰市税务局、水利局）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推动节水产业协同发展。聚焦农牧业、工业、城镇生活节水以及节水服务等领域，在设备生产和技术服务方面，培育一批技术水平高、带动能力强的龙头企业。推动大规模节水设备更新，加快淘汰落后用水设备，推动节水装备升级换代，鼓励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城镇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老旧小区开展用水器具改造，实现生活品质和节水效率双提升。积极推广合同节水管理模式。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（责任部门：市发展改革委、工业和信息化局、住房城乡建设局、水利局、农牧局）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加强节水科技研发创新。围绕行业节水技术难点，加快关键技术和重大装备创新突破，积极推动节水、人工增雨等方面的新技术、新产品、新工艺的研发应用，做好节水关键核心及基础共性技术知识产权战略储备。加强空中云水资源开发利用和智能气象节水灌溉技术推广，积极开展跨区域、空地联合增雨作业，助力农牧业抗旱和防沙治沙生态建设。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（责任部门：市科技局、工业和信息化局、住房城乡建设局、水利局、农牧局，市气象局）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  <w:t>三、保障措施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（一）加强组织领导</w:t>
      </w: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市政府分管水利副市长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负责统筹协调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，充分发挥河湖长制平台作用，全力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推进全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节水行动。各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旗县区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、各部门要坚持“管生产必须管节水、管行业必须管节水、管城乡必须管节水”的要求，压实工作责任，加强协同配合，合力推进节水行动各项任务见行见效。建立跟踪、调度、通报、约谈机制，狠抓工作落实，对进度缓慢的予以通报，对问题严重的约谈相关负责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  <w:t>（二）加强财政金融支持。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财政部门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统筹中央、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自治区、市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相关专项资金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、债券资金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支持水资源节约集约利用项目，加大水资源节约高效利用投资力度，重点在农业节水改造、再生水利用配置、节水载体建设等方面加大投入。用好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自治区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“节水贷”融资服务平台，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在不新增地方政府隐性债务前提下，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拓展节水投融资模式，鼓励和引导社会资本积极参与节水项目建设和运营，增强节水发展新动能。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yellow"/>
          <w:u w:val="none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  <w:t>（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三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u w:val="none"/>
        </w:rPr>
        <w:t>）加强节水宣传教育。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各地区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利用世界水日、中国水周、城市节水宣传周等重要节点，积极策划开展形式多样、具有地方和行业特色的节水主题宣传活动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持续加大基本水情宣传教育力度，积极传播节水和洁水观念，倡导“节水即减排”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“节水即治污”等理念，全面增强全社会水忧患意识、水危机意识、水安全意识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引导公众共同践行《公民节约用水行为规范》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开展节水进校园、进机关、进企业、进社区、进农村“五进”活动,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宣传部门和有关媒体加大公益节水宣传力度，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</w:rPr>
        <w:t>促成全社会养成节约用水的习惯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推进节水宣传教育系统化、常态化、社会化。</w:t>
      </w:r>
    </w:p>
    <w:p>
      <w:pPr>
        <w:spacing w:line="600" w:lineRule="exact"/>
        <w:ind w:firstLine="624" w:firstLineChars="200"/>
        <w:rPr>
          <w:rFonts w:hint="eastAsia" w:ascii="仿宋_GB2312" w:eastAsia="仿宋_GB2312"/>
          <w:color w:val="auto"/>
          <w:sz w:val="32"/>
          <w:szCs w:val="32"/>
          <w:highlight w:val="none"/>
          <w:u w:val="none"/>
          <w:lang w:val="en-US" w:eastAsia="zh-CN"/>
        </w:rPr>
      </w:pPr>
    </w:p>
    <w:p>
      <w:pPr>
        <w:spacing w:line="600" w:lineRule="exact"/>
        <w:ind w:firstLine="624" w:firstLineChars="200"/>
        <w:rPr>
          <w:rFonts w:hint="eastAsia" w:ascii="仿宋_GB2312" w:eastAsia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u w:val="none"/>
          <w:lang w:val="en-US" w:eastAsia="zh-CN"/>
        </w:rPr>
        <w:t>附件：赤峰市2025年节水行动目标分解表</w:t>
      </w:r>
    </w:p>
    <w:p>
      <w:pPr>
        <w:spacing w:line="600" w:lineRule="exact"/>
        <w:ind w:firstLine="624" w:firstLineChars="200"/>
        <w:rPr>
          <w:rFonts w:hint="eastAsia" w:ascii="仿宋_GB2312" w:eastAsia="仿宋_GB2312"/>
          <w:color w:val="auto"/>
          <w:sz w:val="32"/>
          <w:szCs w:val="32"/>
          <w:highlight w:val="none"/>
          <w:u w:val="none"/>
          <w:lang w:val="en-US" w:eastAsia="zh-CN"/>
        </w:rPr>
      </w:pPr>
    </w:p>
    <w:p>
      <w:pPr>
        <w:spacing w:line="600" w:lineRule="exact"/>
        <w:ind w:firstLine="624" w:firstLineChars="200"/>
        <w:rPr>
          <w:rFonts w:hint="eastAsia" w:ascii="仿宋_GB2312" w:eastAsia="仿宋_GB2312"/>
          <w:color w:val="auto"/>
          <w:sz w:val="32"/>
          <w:szCs w:val="32"/>
          <w:highlight w:val="none"/>
          <w:u w:val="none"/>
          <w:lang w:val="en-US" w:eastAsia="zh-CN"/>
        </w:rPr>
      </w:pPr>
    </w:p>
    <w:p>
      <w:pPr>
        <w:spacing w:line="600" w:lineRule="exact"/>
        <w:ind w:firstLine="624" w:firstLineChars="200"/>
        <w:rPr>
          <w:rFonts w:hint="eastAsia" w:ascii="仿宋_GB2312" w:eastAsia="仿宋_GB2312"/>
          <w:color w:val="auto"/>
          <w:sz w:val="32"/>
          <w:szCs w:val="32"/>
          <w:highlight w:val="none"/>
          <w:u w:val="none"/>
          <w:lang w:val="en-US" w:eastAsia="zh-CN"/>
        </w:rPr>
      </w:pPr>
    </w:p>
    <w:p>
      <w:pPr>
        <w:spacing w:line="600" w:lineRule="exact"/>
        <w:ind w:firstLine="624" w:firstLineChars="200"/>
        <w:rPr>
          <w:rFonts w:hint="eastAsia" w:ascii="仿宋_GB2312" w:eastAsia="仿宋_GB2312"/>
          <w:color w:val="auto"/>
          <w:sz w:val="32"/>
          <w:szCs w:val="32"/>
          <w:highlight w:val="none"/>
          <w:u w:val="none"/>
          <w:lang w:val="en-US" w:eastAsia="zh-CN"/>
        </w:rPr>
      </w:pPr>
    </w:p>
    <w:p>
      <w:pPr>
        <w:spacing w:line="600" w:lineRule="exact"/>
        <w:ind w:firstLine="624" w:firstLineChars="200"/>
        <w:rPr>
          <w:rFonts w:hint="eastAsia" w:ascii="仿宋_GB2312" w:eastAsia="仿宋_GB2312"/>
          <w:color w:val="auto"/>
          <w:sz w:val="32"/>
          <w:szCs w:val="32"/>
          <w:highlight w:val="none"/>
          <w:u w:val="none"/>
          <w:lang w:val="en-US" w:eastAsia="zh-CN"/>
        </w:rPr>
      </w:pPr>
    </w:p>
    <w:p>
      <w:pPr>
        <w:spacing w:line="600" w:lineRule="exact"/>
        <w:ind w:firstLine="624" w:firstLineChars="200"/>
        <w:rPr>
          <w:rFonts w:hint="eastAsia" w:ascii="仿宋_GB2312" w:eastAsia="仿宋_GB2312"/>
          <w:color w:val="auto"/>
          <w:sz w:val="32"/>
          <w:szCs w:val="32"/>
          <w:highlight w:val="none"/>
          <w:u w:val="none"/>
          <w:lang w:val="en-US" w:eastAsia="zh-CN"/>
        </w:rPr>
      </w:pPr>
    </w:p>
    <w:p>
      <w:pPr>
        <w:spacing w:line="600" w:lineRule="exact"/>
        <w:rPr>
          <w:rFonts w:hint="eastAsia" w:ascii="仿宋_GB2312" w:eastAsia="仿宋_GB2312"/>
          <w:color w:val="auto"/>
          <w:sz w:val="32"/>
          <w:szCs w:val="32"/>
          <w:highlight w:val="none"/>
          <w:u w:val="none"/>
          <w:lang w:val="en-US" w:eastAsia="zh-CN"/>
        </w:rPr>
      </w:pPr>
    </w:p>
    <w:p>
      <w:pPr>
        <w:spacing w:line="600" w:lineRule="exact"/>
        <w:rPr>
          <w:rFonts w:hint="eastAsia" w:ascii="仿宋_GB2312" w:eastAsia="仿宋_GB2312"/>
          <w:color w:val="auto"/>
          <w:sz w:val="32"/>
          <w:szCs w:val="32"/>
          <w:highlight w:val="none"/>
          <w:u w:val="none"/>
          <w:lang w:val="en-US" w:eastAsia="zh-CN"/>
        </w:rPr>
      </w:pPr>
    </w:p>
    <w:p>
      <w:pPr>
        <w:spacing w:line="600" w:lineRule="exact"/>
        <w:rPr>
          <w:rFonts w:hint="eastAsia" w:ascii="仿宋_GB2312" w:eastAsia="仿宋_GB2312"/>
          <w:color w:val="auto"/>
          <w:sz w:val="32"/>
          <w:szCs w:val="32"/>
          <w:highlight w:val="none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eastAsia="zh-CN"/>
        </w:rPr>
        <w:t>赤峰市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2025年节水行动目标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eastAsia="zh-CN"/>
        </w:rPr>
        <w:t>分解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表</w:t>
      </w:r>
    </w:p>
    <w:tbl>
      <w:tblPr>
        <w:tblStyle w:val="8"/>
        <w:tblW w:w="4775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9"/>
        <w:gridCol w:w="1100"/>
        <w:gridCol w:w="1183"/>
        <w:gridCol w:w="1296"/>
        <w:gridCol w:w="1523"/>
        <w:gridCol w:w="1067"/>
        <w:gridCol w:w="10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exact"/>
          <w:jc w:val="center"/>
        </w:trPr>
        <w:tc>
          <w:tcPr>
            <w:tcW w:w="84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  <w:t>行政区</w:t>
            </w:r>
          </w:p>
        </w:tc>
        <w:tc>
          <w:tcPr>
            <w:tcW w:w="63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  <w:t>用水总量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1"/>
                <w:w w:val="63"/>
                <w:kern w:val="0"/>
                <w:sz w:val="21"/>
                <w:szCs w:val="21"/>
                <w:highlight w:val="none"/>
                <w:fitText w:val="804" w:id="2130093187"/>
              </w:rPr>
              <w:t>（亿立方米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2"/>
                <w:w w:val="63"/>
                <w:kern w:val="0"/>
                <w:sz w:val="21"/>
                <w:szCs w:val="21"/>
                <w:highlight w:val="none"/>
                <w:fitText w:val="804" w:id="2130093187"/>
              </w:rPr>
              <w:t>）</w:t>
            </w:r>
          </w:p>
        </w:tc>
        <w:tc>
          <w:tcPr>
            <w:tcW w:w="68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  <w:t>非常规水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  <w:t>源利用量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3"/>
                <w:kern w:val="0"/>
                <w:sz w:val="21"/>
                <w:szCs w:val="21"/>
                <w:highlight w:val="none"/>
                <w:fitText w:val="804" w:id="-1227235"/>
              </w:rPr>
              <w:t>下限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1"/>
                <w:kern w:val="0"/>
                <w:sz w:val="21"/>
                <w:szCs w:val="21"/>
                <w:highlight w:val="none"/>
                <w:fitText w:val="804" w:id="-1227235"/>
              </w:rPr>
              <w:t>值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1"/>
                <w:w w:val="63"/>
                <w:kern w:val="0"/>
                <w:sz w:val="21"/>
                <w:szCs w:val="21"/>
                <w:highlight w:val="none"/>
                <w:fitText w:val="804" w:id="-539601908"/>
              </w:rPr>
              <w:t>（亿立方米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2"/>
                <w:w w:val="63"/>
                <w:kern w:val="0"/>
                <w:sz w:val="21"/>
                <w:szCs w:val="21"/>
                <w:highlight w:val="none"/>
                <w:fitText w:val="804" w:id="-539601908"/>
              </w:rPr>
              <w:t>）</w:t>
            </w:r>
          </w:p>
        </w:tc>
        <w:tc>
          <w:tcPr>
            <w:tcW w:w="224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  <w:t>用水效率</w:t>
            </w:r>
          </w:p>
        </w:tc>
        <w:tc>
          <w:tcPr>
            <w:tcW w:w="59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新增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  <w:t>农业节水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能力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1"/>
                <w:w w:val="63"/>
                <w:kern w:val="0"/>
                <w:sz w:val="21"/>
                <w:szCs w:val="21"/>
                <w:highlight w:val="none"/>
                <w:fitText w:val="804" w:id="1470573921"/>
              </w:rPr>
              <w:t>（万立方米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2"/>
                <w:w w:val="63"/>
                <w:kern w:val="0"/>
                <w:sz w:val="21"/>
                <w:szCs w:val="21"/>
                <w:highlight w:val="none"/>
                <w:fitText w:val="804" w:id="1470573921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5" w:hRule="exact"/>
          <w:jc w:val="center"/>
        </w:trPr>
        <w:tc>
          <w:tcPr>
            <w:tcW w:w="8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3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18"/>
                <w:kern w:val="0"/>
                <w:sz w:val="21"/>
                <w:szCs w:val="21"/>
                <w:highlight w:val="none"/>
                <w:fitText w:val="905" w:id="-675816117"/>
              </w:rPr>
              <w:t>万元GD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0"/>
                <w:sz w:val="21"/>
                <w:szCs w:val="21"/>
                <w:highlight w:val="none"/>
                <w:fitText w:val="905" w:id="-675816117"/>
              </w:rPr>
              <w:t>P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10"/>
                <w:kern w:val="0"/>
                <w:sz w:val="21"/>
                <w:szCs w:val="21"/>
                <w:highlight w:val="none"/>
                <w:fitText w:val="905" w:id="-283148596"/>
              </w:rPr>
              <w:t>用水量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2"/>
                <w:kern w:val="0"/>
                <w:sz w:val="21"/>
                <w:szCs w:val="21"/>
                <w:highlight w:val="none"/>
                <w:fitText w:val="905" w:id="-283148596"/>
              </w:rPr>
              <w:t>较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1"/>
                <w:kern w:val="0"/>
                <w:sz w:val="21"/>
                <w:szCs w:val="21"/>
                <w:highlight w:val="none"/>
                <w:fitText w:val="905" w:id="-67495671"/>
              </w:rPr>
              <w:t>2020年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2"/>
                <w:kern w:val="0"/>
                <w:sz w:val="21"/>
                <w:szCs w:val="21"/>
                <w:highlight w:val="none"/>
                <w:fitText w:val="905" w:id="-67495671"/>
              </w:rPr>
              <w:t>下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1"/>
                <w:w w:val="95"/>
                <w:kern w:val="0"/>
                <w:sz w:val="21"/>
                <w:szCs w:val="21"/>
                <w:highlight w:val="none"/>
                <w:fitText w:val="905" w:id="1241435780"/>
              </w:rPr>
              <w:t>降率（%）</w:t>
            </w:r>
          </w:p>
        </w:tc>
        <w:tc>
          <w:tcPr>
            <w:tcW w:w="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  <w:t>万元工业增加值用水量较2020年下降率（%）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  <w:t>农田灌溉水有效利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43"/>
                <w:kern w:val="0"/>
                <w:sz w:val="21"/>
                <w:szCs w:val="21"/>
                <w:highlight w:val="none"/>
                <w:fitText w:val="804" w:id="-136819786"/>
              </w:rPr>
              <w:t>用系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1"/>
                <w:kern w:val="0"/>
                <w:sz w:val="21"/>
                <w:szCs w:val="21"/>
                <w:highlight w:val="none"/>
                <w:fitText w:val="804" w:id="-136819786"/>
              </w:rPr>
              <w:t>数</w:t>
            </w:r>
          </w:p>
        </w:tc>
        <w:tc>
          <w:tcPr>
            <w:tcW w:w="5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  <w:t>全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市</w:t>
            </w:r>
          </w:p>
        </w:tc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20.23</w:t>
            </w: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0.5800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20.00  </w:t>
            </w:r>
          </w:p>
        </w:tc>
        <w:tc>
          <w:tcPr>
            <w:tcW w:w="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13.5 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0.66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  <w:t>阿鲁科尔沁旗</w:t>
            </w:r>
          </w:p>
        </w:tc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1.9674</w:t>
            </w: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0.0161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20.78</w:t>
            </w:r>
          </w:p>
        </w:tc>
        <w:tc>
          <w:tcPr>
            <w:tcW w:w="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保持2020年水平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0.66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  <w:t>巴林左旗</w:t>
            </w:r>
          </w:p>
        </w:tc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1.4647</w:t>
            </w: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0.0268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21.16</w:t>
            </w:r>
          </w:p>
        </w:tc>
        <w:tc>
          <w:tcPr>
            <w:tcW w:w="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15.11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0.66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  <w:t>巴林右旗</w:t>
            </w:r>
          </w:p>
        </w:tc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1.9224</w:t>
            </w: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0.0012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19.69</w:t>
            </w:r>
          </w:p>
        </w:tc>
        <w:tc>
          <w:tcPr>
            <w:tcW w:w="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14.98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0.65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  <w:t>林西县</w:t>
            </w:r>
          </w:p>
        </w:tc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0.9262</w:t>
            </w: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0.0032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19.56</w:t>
            </w:r>
          </w:p>
        </w:tc>
        <w:tc>
          <w:tcPr>
            <w:tcW w:w="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保持2020年水平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0.68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  <w:t>克什克腾旗</w:t>
            </w:r>
          </w:p>
        </w:tc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1.9941</w:t>
            </w: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0.0100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18.79</w:t>
            </w:r>
          </w:p>
        </w:tc>
        <w:tc>
          <w:tcPr>
            <w:tcW w:w="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2.80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0.64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  <w:t>翁牛特旗</w:t>
            </w:r>
          </w:p>
        </w:tc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3.0047</w:t>
            </w: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0.0606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21.08</w:t>
            </w:r>
          </w:p>
        </w:tc>
        <w:tc>
          <w:tcPr>
            <w:tcW w:w="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20.94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0.66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  <w:t>喀喇沁旗</w:t>
            </w:r>
          </w:p>
        </w:tc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0.7640</w:t>
            </w: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0.0323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20.27</w:t>
            </w:r>
          </w:p>
        </w:tc>
        <w:tc>
          <w:tcPr>
            <w:tcW w:w="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保持2020年水平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0.67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  <w:t>宁城县</w:t>
            </w:r>
          </w:p>
        </w:tc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1.4263</w:t>
            </w: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0.0200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18.20</w:t>
            </w:r>
          </w:p>
        </w:tc>
        <w:tc>
          <w:tcPr>
            <w:tcW w:w="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保持2020年水平 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0.65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  <w:t>敖汉旗</w:t>
            </w:r>
          </w:p>
        </w:tc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2.8220</w:t>
            </w: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0.0173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20.58</w:t>
            </w:r>
          </w:p>
        </w:tc>
        <w:tc>
          <w:tcPr>
            <w:tcW w:w="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2.20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0.69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bookmarkStart w:id="0" w:name="_GoBack" w:colFirst="1" w:colLast="2"/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红山区</w:t>
            </w:r>
          </w:p>
        </w:tc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0.9098</w:t>
            </w: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0.2400  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10.75</w:t>
            </w:r>
          </w:p>
        </w:tc>
        <w:tc>
          <w:tcPr>
            <w:tcW w:w="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2.88 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0.68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元宝山区</w:t>
            </w:r>
          </w:p>
        </w:tc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0.9442</w:t>
            </w: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0.0168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19.49</w:t>
            </w:r>
          </w:p>
        </w:tc>
        <w:tc>
          <w:tcPr>
            <w:tcW w:w="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23.60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0.69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松山区</w:t>
            </w:r>
          </w:p>
        </w:tc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2.0827</w:t>
            </w: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0.1357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21.41</w:t>
            </w:r>
          </w:p>
        </w:tc>
        <w:tc>
          <w:tcPr>
            <w:tcW w:w="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18.49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0.68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</w:t>
            </w:r>
          </w:p>
        </w:tc>
      </w:tr>
      <w:bookmarkEnd w:id="0"/>
    </w:tbl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both"/>
        <w:textAlignment w:val="center"/>
        <w:rPr>
          <w:rFonts w:hint="eastAsia" w:ascii="黑体" w:hAnsi="黑体" w:eastAsia="黑体" w:cs="黑体"/>
          <w:b w:val="0"/>
          <w:bCs w:val="0"/>
          <w:color w:val="auto"/>
          <w:sz w:val="21"/>
          <w:szCs w:val="21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1081" w:leftChars="266" w:hanging="544" w:hangingChars="200"/>
        <w:jc w:val="both"/>
        <w:textAlignment w:val="center"/>
        <w:rPr>
          <w:rFonts w:hint="eastAsia" w:ascii="楷体_GB2312" w:hAnsi="楷体_GB2312" w:eastAsia="楷体_GB2312" w:cs="楷体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highlight w:val="none"/>
          <w:lang w:eastAsia="zh-CN"/>
        </w:rPr>
        <w:t>注：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28"/>
          <w:szCs w:val="28"/>
          <w:highlight w:val="none"/>
          <w:lang w:eastAsia="zh-CN"/>
        </w:rPr>
        <w:t>新增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28"/>
          <w:szCs w:val="28"/>
          <w:highlight w:val="none"/>
        </w:rPr>
        <w:t>农业节水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28"/>
          <w:szCs w:val="28"/>
          <w:highlight w:val="none"/>
          <w:lang w:eastAsia="zh-CN"/>
        </w:rPr>
        <w:t>能力指标为预估数，根据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2025年高标准农田建设任务数调整。</w:t>
      </w:r>
    </w:p>
    <w:p>
      <w:pPr>
        <w:rPr>
          <w:rFonts w:hint="eastAsia" w:ascii="仿宋_GB2312" w:hAnsi="仿宋_GB2312" w:eastAsia="仿宋_GB2312" w:cs="仿宋_GB2312"/>
          <w:color w:val="000000"/>
          <w:spacing w:val="11"/>
          <w:sz w:val="32"/>
          <w:szCs w:val="32"/>
          <w:shd w:val="clear" w:color="auto" w:fill="FFFFFF"/>
          <w:lang w:val="en-US" w:eastAsia="zh-CN"/>
        </w:rPr>
      </w:pPr>
    </w:p>
    <w:tbl>
      <w:tblPr>
        <w:tblStyle w:val="8"/>
        <w:tblpPr w:leftFromText="181" w:rightFromText="181" w:tblpXSpec="center" w:tblpYSpec="bottom"/>
        <w:tblOverlap w:val="never"/>
        <w:tblW w:w="8837" w:type="dxa"/>
        <w:jc w:val="center"/>
        <w:tblBorders>
          <w:top w:val="single" w:color="auto" w:sz="2" w:space="0"/>
          <w:left w:val="none" w:color="auto" w:sz="0" w:space="0"/>
          <w:bottom w:val="single" w:color="auto" w:sz="2" w:space="0"/>
          <w:right w:val="none" w:color="auto" w:sz="0" w:space="0"/>
          <w:insideH w:val="single" w:color="auto" w:sz="2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7"/>
        <w:gridCol w:w="3510"/>
      </w:tblGrid>
      <w:tr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5327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202" w:leftChars="100"/>
              <w:jc w:val="both"/>
              <w:textAlignment w:val="auto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</w:rPr>
              <w:t>赤峰市人民政府办公室秘书二科</w:t>
            </w:r>
          </w:p>
        </w:tc>
        <w:tc>
          <w:tcPr>
            <w:tcW w:w="351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right="202" w:rightChars="100"/>
              <w:jc w:val="right"/>
              <w:textAlignment w:val="auto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shd w:val="clear" w:color="auto" w:fill="FFFFFF"/>
                <w:lang w:eastAsia="zh-CN"/>
              </w:rPr>
              <w:t>2025年4月11日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印发</w:t>
            </w:r>
          </w:p>
        </w:tc>
      </w:tr>
    </w:tbl>
    <w:p>
      <w:pPr>
        <w:rPr>
          <w:rFonts w:hint="eastAsia" w:ascii="仿宋_GB2312" w:hAnsi="仿宋_GB2312" w:eastAsia="仿宋_GB2312" w:cs="仿宋_GB2312"/>
          <w:color w:val="000000"/>
          <w:spacing w:val="11"/>
          <w:sz w:val="32"/>
          <w:szCs w:val="32"/>
          <w:shd w:val="clear" w:color="auto" w:fill="FFFFFF"/>
          <w:lang w:val="en-US" w:eastAsia="zh-CN"/>
        </w:rPr>
      </w:pPr>
    </w:p>
    <w:p/>
    <w:sectPr>
      <w:footerReference r:id="rId3" w:type="default"/>
      <w:footerReference r:id="rId4" w:type="even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0" w:num="1"/>
      <w:rtlGutter w:val="0"/>
      <w:docGrid w:type="linesAndChars" w:linePitch="579" w:charSpace="-183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right="420" w:rightChars="200"/>
                            <w:textAlignment w:val="auto"/>
                          </w:pP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DO&#10;qXm5zwAAAAUBAAAPAAAAAAAAAAEAIAAAADgAAABkcnMvZG93bnJldi54bWxQSwECFAAUAAAACACH&#10;TuJAZZZvO94BAAC+AwAADgAAAAAAAAABACAAAAA0AQAAZHJzL2Uyb0RvYy54bWxQSwUGAAAAAAYA&#10;BgBZAQAAh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right="420" w:rightChars="200"/>
                      <w:textAlignment w:val="auto"/>
                    </w:pPr>
                    <w:r>
                      <w:rPr>
                        <w:rFonts w:hint="eastAsia" w:ascii="宋体" w:hAnsi="宋体" w:eastAsia="宋体" w:cs="宋体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420" w:leftChars="200"/>
                            <w:textAlignment w:val="auto"/>
                          </w:pP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DO&#10;qXm5zwAAAAUBAAAPAAAAAAAAAAEAIAAAADgAAABkcnMvZG93bnJldi54bWxQSwECFAAUAAAACACH&#10;TuJAqyq5Zd4BAAC+AwAADgAAAAAAAAABACAAAAA0AQAAZHJzL2Uyb0RvYy54bWxQSwUGAAAAAAYA&#10;BgBZAQAAh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420" w:leftChars="200"/>
                      <w:textAlignment w:val="auto"/>
                    </w:pPr>
                    <w:r>
                      <w:rPr>
                        <w:rFonts w:hint="eastAsia" w:ascii="宋体" w:hAnsi="宋体" w:eastAsia="宋体" w:cs="宋体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revisionView w:markup="0"/>
  <w:documentProtection w:formatting="1" w:enforcement="0"/>
  <w:defaultTabStop w:val="419"/>
  <w:hyphenationZone w:val="360"/>
  <w:evenAndOddHeaders w:val="1"/>
  <w:drawingGridHorizontalSpacing w:val="101"/>
  <w:drawingGridVerticalSpacing w:val="290"/>
  <w:displayHorizontalDrawingGridEvery w:val="2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2NmJiY2ZjNDQ3YWY5ZGVjMzYxMmY2MWJhNmE3MGIifQ=="/>
    <w:docVar w:name="KSO_WPS_MARK_KEY" w:val="192c9a9d-5b7a-4b75-aa69-3479dff94aa9"/>
  </w:docVars>
  <w:rsids>
    <w:rsidRoot w:val="00000000"/>
    <w:rsid w:val="010073E9"/>
    <w:rsid w:val="03F070F9"/>
    <w:rsid w:val="14F01574"/>
    <w:rsid w:val="1668710C"/>
    <w:rsid w:val="17DA7A45"/>
    <w:rsid w:val="1AAF069A"/>
    <w:rsid w:val="1E7F74DE"/>
    <w:rsid w:val="1F516B5B"/>
    <w:rsid w:val="200941DE"/>
    <w:rsid w:val="20DF5D75"/>
    <w:rsid w:val="211E76E3"/>
    <w:rsid w:val="21303A2F"/>
    <w:rsid w:val="22843ED3"/>
    <w:rsid w:val="248B798D"/>
    <w:rsid w:val="25CC020C"/>
    <w:rsid w:val="27AA20E3"/>
    <w:rsid w:val="2D780D39"/>
    <w:rsid w:val="2F91428E"/>
    <w:rsid w:val="31DC69F2"/>
    <w:rsid w:val="359C1E05"/>
    <w:rsid w:val="359E2391"/>
    <w:rsid w:val="3929223E"/>
    <w:rsid w:val="3B8E4805"/>
    <w:rsid w:val="3BB73BBF"/>
    <w:rsid w:val="3BBE0E4D"/>
    <w:rsid w:val="3E7F20A0"/>
    <w:rsid w:val="3F421C51"/>
    <w:rsid w:val="3FCE0B50"/>
    <w:rsid w:val="41356125"/>
    <w:rsid w:val="42A16911"/>
    <w:rsid w:val="43AC0516"/>
    <w:rsid w:val="44204A82"/>
    <w:rsid w:val="4506027C"/>
    <w:rsid w:val="474550AE"/>
    <w:rsid w:val="47A71181"/>
    <w:rsid w:val="4B3115EC"/>
    <w:rsid w:val="4C1573E2"/>
    <w:rsid w:val="518B2041"/>
    <w:rsid w:val="52541584"/>
    <w:rsid w:val="53C26D4F"/>
    <w:rsid w:val="54351912"/>
    <w:rsid w:val="56EF622F"/>
    <w:rsid w:val="58B647E8"/>
    <w:rsid w:val="5C6313A8"/>
    <w:rsid w:val="5E4B7276"/>
    <w:rsid w:val="5FBD3DDE"/>
    <w:rsid w:val="69F95CD5"/>
    <w:rsid w:val="6A3B4FCC"/>
    <w:rsid w:val="6B5F2761"/>
    <w:rsid w:val="6B6B0BB8"/>
    <w:rsid w:val="6FDC1639"/>
    <w:rsid w:val="75AB0D04"/>
    <w:rsid w:val="766111DA"/>
    <w:rsid w:val="79AC0429"/>
    <w:rsid w:val="7C5D2896"/>
    <w:rsid w:val="7CEE5FD5"/>
    <w:rsid w:val="7FE7118F"/>
    <w:rsid w:val="7FFD7AE0"/>
    <w:rsid w:val="B7B1FB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0" w:name="header"/>
    <w:lsdException w:qFormat="1"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name="Balloon Text"/>
    <w:lsdException w:qFormat="1"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adjustRightInd w:val="0"/>
      <w:snapToGrid w:val="0"/>
      <w:spacing w:line="360" w:lineRule="auto"/>
      <w:ind w:left="0" w:right="0" w:firstLine="0"/>
      <w:outlineLvl w:val="0"/>
    </w:pPr>
    <w:rPr>
      <w:rFonts w:ascii="宋体" w:hAnsi="宋体" w:eastAsia="黑体" w:cs="宋体"/>
      <w:b/>
      <w:bCs/>
      <w:sz w:val="30"/>
      <w:szCs w:val="66"/>
      <w:lang w:eastAsia="en-US"/>
    </w:rPr>
  </w:style>
  <w:style w:type="paragraph" w:styleId="3">
    <w:name w:val="heading 2"/>
    <w:basedOn w:val="1"/>
    <w:next w:val="1"/>
    <w:link w:val="11"/>
    <w:semiHidden/>
    <w:unhideWhenUsed/>
    <w:qFormat/>
    <w:uiPriority w:val="9"/>
    <w:pPr>
      <w:adjustRightInd w:val="0"/>
      <w:snapToGrid w:val="0"/>
      <w:spacing w:line="360" w:lineRule="auto"/>
      <w:ind w:left="0" w:firstLine="0"/>
      <w:outlineLvl w:val="1"/>
    </w:pPr>
    <w:rPr>
      <w:rFonts w:ascii="宋体" w:hAnsi="宋体" w:eastAsia="黑体" w:cs="宋体"/>
      <w:b/>
      <w:bCs/>
      <w:sz w:val="28"/>
      <w:szCs w:val="45"/>
      <w:lang w:eastAsia="en-US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0"/>
    <w:rPr>
      <w:rFonts w:eastAsia="宋体" w:cs="黑体"/>
      <w:sz w:val="18"/>
      <w:szCs w:val="18"/>
    </w:rPr>
  </w:style>
  <w:style w:type="paragraph" w:styleId="5">
    <w:name w:val="footer"/>
    <w:basedOn w:val="1"/>
    <w:link w:val="13"/>
    <w:semiHidden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28"/>
    </w:rPr>
  </w:style>
  <w:style w:type="paragraph" w:styleId="6">
    <w:name w:val="header"/>
    <w:basedOn w:val="1"/>
    <w:link w:val="12"/>
    <w:semiHidden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itle"/>
    <w:next w:val="1"/>
    <w:qFormat/>
    <w:uiPriority w:val="10"/>
    <w:pPr>
      <w:widowControl w:val="0"/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  <w:lang w:val="en-US" w:eastAsia="zh-CN" w:bidi="ar-SA"/>
    </w:rPr>
  </w:style>
  <w:style w:type="table" w:styleId="9">
    <w:name w:val="Table Grid"/>
    <w:basedOn w:val="8"/>
    <w:semiHidden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2 Char"/>
    <w:link w:val="3"/>
    <w:qFormat/>
    <w:uiPriority w:val="1"/>
    <w:rPr>
      <w:rFonts w:ascii="宋体" w:hAnsi="宋体" w:eastAsia="黑体" w:cs="宋体"/>
      <w:b/>
      <w:bCs/>
      <w:sz w:val="28"/>
      <w:szCs w:val="45"/>
      <w:lang w:eastAsia="en-US"/>
    </w:rPr>
  </w:style>
  <w:style w:type="character" w:customStyle="1" w:styleId="12">
    <w:name w:val="页眉 Char"/>
    <w:basedOn w:val="10"/>
    <w:link w:val="6"/>
    <w:semiHidden/>
    <w:qFormat/>
    <w:uiPriority w:val="0"/>
    <w:rPr>
      <w:rFonts w:ascii="Times New Roman" w:hAnsi="Times New Roman" w:eastAsia="宋体" w:cs="Times New Roman"/>
      <w:sz w:val="18"/>
    </w:rPr>
  </w:style>
  <w:style w:type="character" w:customStyle="1" w:styleId="13">
    <w:name w:val="页脚 Char"/>
    <w:basedOn w:val="10"/>
    <w:link w:val="5"/>
    <w:semiHidden/>
    <w:qFormat/>
    <w:uiPriority w:val="0"/>
    <w:rPr>
      <w:rFonts w:ascii="Times New Roman" w:hAnsi="Times New Roman" w:eastAsia="宋体" w:cs="Times New Roman"/>
      <w:sz w:val="28"/>
    </w:rPr>
  </w:style>
  <w:style w:type="character" w:customStyle="1" w:styleId="14">
    <w:name w:val="批注框文本 Char"/>
    <w:basedOn w:val="10"/>
    <w:link w:val="4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table" w:customStyle="1" w:styleId="1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wdzx97</Template>
  <Company>Microsoft</Company>
  <Pages>13</Pages>
  <Words>6102</Words>
  <Characters>6523</Characters>
  <Lines>42</Lines>
  <Paragraphs>12</Paragraphs>
  <TotalTime>7</TotalTime>
  <ScaleCrop>false</ScaleCrop>
  <LinksUpToDate>false</LinksUpToDate>
  <CharactersWithSpaces>6587</CharactersWithSpaces>
  <Application>WPS Office_11.8.2.1122_F1E327BC-269C-435d-A152-05C5408002CA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2024-06-22T11:42:00Z</dcterms:created>
  <dc:creator>AutoBVT</dc:creator>
  <cp:lastModifiedBy>吴玥</cp:lastModifiedBy>
  <cp:lastPrinted>2025-03-22T14:53:00Z</cp:lastPrinted>
  <dcterms:modified xsi:type="dcterms:W3CDTF">2025-04-11T10:31:01Z</dcterms:modified>
  <dc:title>2023年度赤峰市封闭自备水源井工作方案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2052-11.8.2.1122</vt:lpwstr>
  </property>
  <property fmtid="{D5CDD505-2E9C-101B-9397-08002B2CF9AE}" pid="3" name="ICV">
    <vt:lpwstr>ED865251ECD5F746E57EF86787BE4061</vt:lpwstr>
  </property>
  <property fmtid="{D5CDD505-2E9C-101B-9397-08002B2CF9AE}" pid="4" name="KSOTemplateDocerSaveRecord">
    <vt:lpwstr>eyJoZGlkIjoiZjAzOGVkY2E2ZDgwNTJkNjc5NTBhZWY3MTVjMWFiNzgiLCJ1c2VySWQiOiIyMzM2MjkzNzMifQ==</vt:lpwstr>
  </property>
</Properties>
</file>