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B7098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p>
    <w:p w14:paraId="0A2207D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r>
        <w:rPr>
          <w:sz w:val="44"/>
        </w:rPr>
        <mc:AlternateContent>
          <mc:Choice Requires="wps">
            <w:drawing>
              <wp:anchor distT="0" distB="0" distL="114300" distR="114300" simplePos="0" relativeHeight="251660288" behindDoc="1" locked="0" layoutInCell="1" allowOverlap="1">
                <wp:simplePos x="0" y="0"/>
                <wp:positionH relativeFrom="column">
                  <wp:posOffset>-13970</wp:posOffset>
                </wp:positionH>
                <wp:positionV relativeFrom="page">
                  <wp:posOffset>1905000</wp:posOffset>
                </wp:positionV>
                <wp:extent cx="1629410" cy="487045"/>
                <wp:effectExtent l="0" t="0" r="8890" b="8255"/>
                <wp:wrapNone/>
                <wp:docPr id="2" name="文本框 3"/>
                <wp:cNvGraphicFramePr/>
                <a:graphic xmlns:a="http://schemas.openxmlformats.org/drawingml/2006/main">
                  <a:graphicData uri="http://schemas.microsoft.com/office/word/2010/wordprocessingShape">
                    <wps:wsp>
                      <wps:cNvSpPr txBox="1"/>
                      <wps:spPr>
                        <a:xfrm>
                          <a:off x="0" y="0"/>
                          <a:ext cx="1629410" cy="487045"/>
                        </a:xfrm>
                        <a:prstGeom prst="rect">
                          <a:avLst/>
                        </a:prstGeom>
                        <a:solidFill>
                          <a:srgbClr val="FFFFFF"/>
                        </a:solidFill>
                        <a:ln>
                          <a:noFill/>
                        </a:ln>
                      </wps:spPr>
                      <wps:txbx>
                        <w:txbxContent>
                          <w:p w14:paraId="2FEAB6B0">
                            <w:pPr>
                              <w:rPr>
                                <w:rFonts w:hint="eastAsia" w:ascii="黑体" w:hAnsi="黑体" w:eastAsia="黑体" w:cs="黑体"/>
                                <w:sz w:val="32"/>
                                <w:szCs w:val="32"/>
                              </w:rPr>
                            </w:pPr>
                            <w:bookmarkStart w:id="1297" w:name="instantLevel"/>
                            <w:bookmarkEnd w:id="1297"/>
                          </w:p>
                        </w:txbxContent>
                      </wps:txbx>
                      <wps:bodyPr vert="horz" wrap="square" anchor="t" anchorCtr="0" upright="1"/>
                    </wps:wsp>
                  </a:graphicData>
                </a:graphic>
              </wp:anchor>
            </w:drawing>
          </mc:Choice>
          <mc:Fallback>
            <w:pict>
              <v:shape id="文本框 3" o:spid="_x0000_s1026" o:spt="202" type="#_x0000_t202" style="position:absolute;left:0pt;margin-left:-1.1pt;margin-top:150pt;height:38.35pt;width:128.3pt;mso-position-vertical-relative:page;z-index:-251656192;mso-width-relative:page;mso-height-relative:page;" fillcolor="#FFFFFF" filled="t" stroked="f" coordsize="21600,21600" o:gfxdata="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Ka/VBfYAAAACgEAAA8A&#10;AAAAAAAAAQAgAAAAIgAAAGRycy9kb3ducmV2LnhtbFBLAQIUABQAAAAIAIdO4kBlIBny3gEAAKoD&#10;AAAOAAAAAAAAAAEAIAAAACcBAABkcnMvZTJvRG9jLnhtbFBLBQYAAAAABgAGAFkBAAB3BQAAAAA=&#10;">
                <v:fill on="t" focussize="0,0"/>
                <v:stroke on="f"/>
                <v:imagedata o:title=""/>
                <o:lock v:ext="edit" aspectratio="f"/>
                <v:textbox>
                  <w:txbxContent>
                    <w:p w14:paraId="2FEAB6B0">
                      <w:pPr>
                        <w:rPr>
                          <w:rFonts w:hint="eastAsia" w:ascii="黑体" w:hAnsi="黑体" w:eastAsia="黑体" w:cs="黑体"/>
                          <w:sz w:val="32"/>
                          <w:szCs w:val="32"/>
                        </w:rPr>
                      </w:pPr>
                      <w:bookmarkStart w:id="1297" w:name="instantLevel"/>
                      <w:bookmarkEnd w:id="1297"/>
                    </w:p>
                  </w:txbxContent>
                </v:textbox>
              </v:shape>
            </w:pict>
          </mc:Fallback>
        </mc:AlternateContent>
      </w:r>
    </w:p>
    <w:p w14:paraId="5845F59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p>
    <w:p w14:paraId="6F838CF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p>
    <w:p w14:paraId="0C598BA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r>
        <w:drawing>
          <wp:anchor distT="0" distB="0" distL="114300" distR="114300" simplePos="0" relativeHeight="251659264" behindDoc="1" locked="0" layoutInCell="1" allowOverlap="1">
            <wp:simplePos x="0" y="0"/>
            <wp:positionH relativeFrom="page">
              <wp:posOffset>1184910</wp:posOffset>
            </wp:positionH>
            <wp:positionV relativeFrom="page">
              <wp:posOffset>2945765</wp:posOffset>
            </wp:positionV>
            <wp:extent cx="5205730" cy="1419225"/>
            <wp:effectExtent l="0" t="0" r="6350" b="13335"/>
            <wp:wrapNone/>
            <wp:docPr id="1" name="图片 2" descr="C:\Users\86130\Desktop\市政府\zjk图片\zjk图片\秘书二科\发文\赤政发.png赤政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C:\Users\86130\Desktop\市政府\zjk图片\zjk图片\秘书二科\发文\赤政发.png赤政发"/>
                    <pic:cNvPicPr>
                      <a:picLocks noChangeAspect="1"/>
                    </pic:cNvPicPr>
                  </pic:nvPicPr>
                  <pic:blipFill>
                    <a:blip r:embed="rId20"/>
                    <a:stretch>
                      <a:fillRect/>
                    </a:stretch>
                  </pic:blipFill>
                  <pic:spPr>
                    <a:xfrm>
                      <a:off x="0" y="0"/>
                      <a:ext cx="5205730" cy="1419225"/>
                    </a:xfrm>
                    <a:prstGeom prst="rect">
                      <a:avLst/>
                    </a:prstGeom>
                    <a:noFill/>
                    <a:ln>
                      <a:noFill/>
                    </a:ln>
                  </pic:spPr>
                </pic:pic>
              </a:graphicData>
            </a:graphic>
          </wp:anchor>
        </w:drawing>
      </w:r>
    </w:p>
    <w:p w14:paraId="3AA91D3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p>
    <w:p w14:paraId="1CD8AD9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32"/>
          <w:szCs w:val="32"/>
          <w:vertAlign w:val="baseline"/>
          <w:lang w:eastAsia="zh-CN"/>
        </w:rPr>
      </w:pPr>
    </w:p>
    <w:p w14:paraId="3D317B6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21"/>
          <w:szCs w:val="21"/>
          <w:vertAlign w:val="baseline"/>
          <w:lang w:eastAsia="zh-CN"/>
        </w:rPr>
      </w:pPr>
    </w:p>
    <w:p w14:paraId="2798E2A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32"/>
          <w:szCs w:val="32"/>
          <w:vertAlign w:val="baseline"/>
          <w:lang w:eastAsia="zh-CN"/>
        </w:rPr>
      </w:pPr>
    </w:p>
    <w:p w14:paraId="5E81D36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32"/>
          <w:szCs w:val="32"/>
          <w:vertAlign w:val="baseline"/>
          <w:lang w:eastAsia="zh-CN"/>
        </w:rPr>
      </w:pPr>
    </w:p>
    <w:p w14:paraId="1AD0DCA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32"/>
          <w:szCs w:val="32"/>
          <w:vertAlign w:val="baseline"/>
          <w:lang w:eastAsia="zh-CN"/>
        </w:rPr>
      </w:pPr>
    </w:p>
    <w:tbl>
      <w:tblPr>
        <w:tblStyle w:val="26"/>
        <w:tblW w:w="8832" w:type="dxa"/>
        <w:tblInd w:w="12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32"/>
      </w:tblGrid>
      <w:tr w14:paraId="28382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exact"/>
        </w:trPr>
        <w:tc>
          <w:tcPr>
            <w:tcW w:w="8832" w:type="dxa"/>
            <w:tcBorders>
              <w:top w:val="nil"/>
              <w:left w:val="nil"/>
              <w:bottom w:val="single" w:color="FF0000" w:sz="24" w:space="0"/>
              <w:right w:val="nil"/>
            </w:tcBorders>
            <w:noWrap w:val="0"/>
            <w:vAlign w:val="top"/>
          </w:tcPr>
          <w:p w14:paraId="5C325CE7">
            <w:pPr>
              <w:keepNext w:val="0"/>
              <w:keepLines w:val="0"/>
              <w:pageBreakBefore w:val="0"/>
              <w:widowControl w:val="0"/>
              <w:kinsoku/>
              <w:wordWrap/>
              <w:overflowPunct/>
              <w:topLinePunct w:val="0"/>
              <w:autoSpaceDE/>
              <w:autoSpaceDN/>
              <w:bidi w:val="0"/>
              <w:adjustRightInd w:val="0"/>
              <w:snapToGrid w:val="0"/>
              <w:spacing w:after="157" w:afterLines="50"/>
              <w:jc w:val="center"/>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b w:val="0"/>
                <w:bCs w:val="0"/>
                <w:sz w:val="32"/>
                <w:szCs w:val="32"/>
                <w:lang w:eastAsia="zh-CN"/>
              </w:rPr>
              <w:t>赤政发〔2026〕10号</w:t>
            </w:r>
          </w:p>
          <w:p w14:paraId="0C7152BC">
            <w:pPr>
              <w:keepNext w:val="0"/>
              <w:keepLines w:val="0"/>
              <w:pageBreakBefore w:val="0"/>
              <w:widowControl w:val="0"/>
              <w:kinsoku/>
              <w:wordWrap/>
              <w:overflowPunct/>
              <w:topLinePunct w:val="0"/>
              <w:autoSpaceDE/>
              <w:autoSpaceDN/>
              <w:bidi w:val="0"/>
              <w:adjustRightInd w:val="0"/>
              <w:snapToGrid w:val="0"/>
              <w:spacing w:after="157" w:afterLines="50"/>
              <w:jc w:val="center"/>
              <w:textAlignment w:val="auto"/>
              <w:rPr>
                <w:rFonts w:hint="default" w:ascii="仿宋" w:hAnsi="仿宋" w:eastAsia="仿宋" w:cs="仿宋"/>
                <w:b w:val="0"/>
                <w:bCs w:val="0"/>
                <w:sz w:val="32"/>
                <w:szCs w:val="32"/>
                <w:lang w:val="en-US"/>
              </w:rPr>
            </w:pPr>
          </w:p>
        </w:tc>
      </w:tr>
    </w:tbl>
    <w:p w14:paraId="5E7AB96A">
      <w:pPr>
        <w:keepNext w:val="0"/>
        <w:keepLines w:val="0"/>
        <w:pageBreakBefore w:val="0"/>
        <w:widowControl w:val="0"/>
        <w:kinsoku/>
        <w:wordWrap/>
        <w:overflowPunct/>
        <w:topLinePunct w:val="0"/>
        <w:autoSpaceDE/>
        <w:autoSpaceDN/>
        <w:bidi w:val="0"/>
        <w:adjustRightInd/>
        <w:spacing w:line="520" w:lineRule="exact"/>
        <w:textAlignment w:val="auto"/>
      </w:pPr>
    </w:p>
    <w:p w14:paraId="3A9BC55D">
      <w:pPr>
        <w:keepNext w:val="0"/>
        <w:keepLines w:val="0"/>
        <w:pageBreakBefore w:val="0"/>
        <w:widowControl w:val="0"/>
        <w:kinsoku/>
        <w:wordWrap/>
        <w:overflowPunct/>
        <w:topLinePunct w:val="0"/>
        <w:autoSpaceDE/>
        <w:autoSpaceDN/>
        <w:bidi w:val="0"/>
        <w:adjustRightInd/>
        <w:snapToGrid w:val="0"/>
        <w:spacing w:line="460" w:lineRule="exact"/>
        <w:jc w:val="both"/>
        <w:textAlignment w:val="auto"/>
        <w:rPr>
          <w:rFonts w:hint="eastAsia" w:ascii="方正小标宋简体" w:hAnsi="方正小标宋简体" w:eastAsia="方正小标宋简体" w:cs="方正小标宋简体"/>
          <w:sz w:val="21"/>
          <w:szCs w:val="21"/>
          <w:vertAlign w:val="baseline"/>
          <w:lang w:val="en-US" w:eastAsia="zh-CN"/>
        </w:rPr>
      </w:pPr>
    </w:p>
    <w:p w14:paraId="31635371">
      <w:pPr>
        <w:keepNext w:val="0"/>
        <w:keepLines w:val="0"/>
        <w:pageBreakBefore w:val="0"/>
        <w:widowControl w:val="0"/>
        <w:kinsoku/>
        <w:wordWrap/>
        <w:overflowPunct/>
        <w:topLinePunct w:val="0"/>
        <w:autoSpaceDE/>
        <w:autoSpaceDN/>
        <w:bidi w:val="0"/>
        <w:adjustRightInd/>
        <w:snapToGrid w:val="0"/>
        <w:spacing w:line="460" w:lineRule="exact"/>
        <w:jc w:val="both"/>
        <w:textAlignment w:val="auto"/>
        <w:rPr>
          <w:rFonts w:hint="eastAsia" w:ascii="方正小标宋简体" w:hAnsi="方正小标宋简体" w:eastAsia="方正小标宋简体" w:cs="方正小标宋简体"/>
          <w:sz w:val="21"/>
          <w:szCs w:val="21"/>
          <w:vertAlign w:val="baseline"/>
          <w:lang w:val="en-US" w:eastAsia="zh-CN"/>
        </w:rPr>
      </w:pPr>
    </w:p>
    <w:p w14:paraId="19610772">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vertAlign w:val="baseline"/>
          <w:lang w:val="en-US" w:eastAsia="zh-CN"/>
        </w:rPr>
      </w:pPr>
      <w:r>
        <w:rPr>
          <w:rFonts w:hint="eastAsia" w:ascii="方正小标宋简体" w:hAnsi="方正小标宋简体" w:eastAsia="方正小标宋简体" w:cs="方正小标宋简体"/>
          <w:sz w:val="44"/>
          <w:szCs w:val="44"/>
          <w:vertAlign w:val="baseline"/>
          <w:lang w:val="en-US" w:eastAsia="zh-CN"/>
        </w:rPr>
        <w:t>赤峰市人民政府关于印发《赤峰市国民经济和</w:t>
      </w:r>
    </w:p>
    <w:p w14:paraId="4CFC8823">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vertAlign w:val="baseline"/>
          <w:lang w:val="en-US" w:eastAsia="zh-CN"/>
        </w:rPr>
      </w:pPr>
      <w:r>
        <w:rPr>
          <w:rFonts w:hint="eastAsia" w:ascii="方正小标宋简体" w:hAnsi="方正小标宋简体" w:eastAsia="方正小标宋简体" w:cs="方正小标宋简体"/>
          <w:sz w:val="44"/>
          <w:szCs w:val="44"/>
          <w:vertAlign w:val="baseline"/>
          <w:lang w:val="en-US" w:eastAsia="zh-CN"/>
        </w:rPr>
        <w:t>社会发展第十五个五年规划纲要》的通知</w:t>
      </w:r>
    </w:p>
    <w:p w14:paraId="0CD774E1">
      <w:pPr>
        <w:keepNext w:val="0"/>
        <w:keepLines w:val="0"/>
        <w:pageBreakBefore w:val="0"/>
        <w:widowControl w:val="0"/>
        <w:kinsoku/>
        <w:wordWrap/>
        <w:overflowPunct/>
        <w:topLinePunct w:val="0"/>
        <w:autoSpaceDE/>
        <w:autoSpaceDN/>
        <w:bidi w:val="0"/>
        <w:adjustRightInd/>
        <w:snapToGrid/>
        <w:spacing w:line="660" w:lineRule="exact"/>
        <w:jc w:val="both"/>
        <w:textAlignment w:val="auto"/>
        <w:rPr>
          <w:rFonts w:hint="eastAsia" w:ascii="Times New Roman" w:hAnsi="Times New Roman" w:eastAsia="方正小标宋简体" w:cs="Times New Roman"/>
          <w:b w:val="0"/>
          <w:bCs w:val="0"/>
          <w:sz w:val="44"/>
          <w:szCs w:val="44"/>
          <w:lang w:val="en-US" w:eastAsia="zh-CN"/>
        </w:rPr>
      </w:pPr>
    </w:p>
    <w:p w14:paraId="1002BD09">
      <w:pPr>
        <w:keepNext w:val="0"/>
        <w:keepLines w:val="0"/>
        <w:pageBreakBefore w:val="0"/>
        <w:widowControl w:val="0"/>
        <w:kinsoku/>
        <w:wordWrap/>
        <w:overflowPunct/>
        <w:topLinePunct w:val="0"/>
        <w:autoSpaceDE/>
        <w:autoSpaceDN/>
        <w:bidi w:val="0"/>
        <w:adjustRightInd/>
        <w:snapToGrid/>
        <w:spacing w:line="660" w:lineRule="exact"/>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各旗县区人民政府，市直各委办局，各企事业单位：</w:t>
      </w:r>
    </w:p>
    <w:p w14:paraId="35D3F752">
      <w:pPr>
        <w:keepNext w:val="0"/>
        <w:keepLines w:val="0"/>
        <w:pageBreakBefore w:val="0"/>
        <w:widowControl w:val="0"/>
        <w:kinsoku/>
        <w:wordWrap/>
        <w:overflowPunct/>
        <w:topLinePunct w:val="0"/>
        <w:autoSpaceDE/>
        <w:autoSpaceDN/>
        <w:bidi w:val="0"/>
        <w:adjustRightInd/>
        <w:snapToGrid/>
        <w:spacing w:line="660" w:lineRule="exact"/>
        <w:ind w:firstLine="624"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color w:val="000000"/>
          <w:sz w:val="32"/>
          <w:szCs w:val="32"/>
        </w:rPr>
        <w:t>赤峰市</w:t>
      </w:r>
      <w:r>
        <w:rPr>
          <w:rFonts w:hint="eastAsia" w:ascii="仿宋_GB2312" w:hAnsi="仿宋_GB2312" w:eastAsia="仿宋_GB2312" w:cs="仿宋_GB2312"/>
          <w:b w:val="0"/>
          <w:bCs w:val="0"/>
          <w:color w:val="000000"/>
          <w:sz w:val="32"/>
          <w:szCs w:val="32"/>
          <w:lang w:val="en-US" w:eastAsia="zh-CN"/>
        </w:rPr>
        <w:t>国民经济和社会发展第十五个五年规划纲要</w:t>
      </w:r>
      <w:r>
        <w:rPr>
          <w:rFonts w:hint="eastAsia" w:ascii="仿宋_GB2312" w:hAnsi="仿宋_GB2312" w:eastAsia="仿宋_GB2312" w:cs="仿宋_GB2312"/>
          <w:b w:val="0"/>
          <w:bCs w:val="0"/>
          <w:sz w:val="32"/>
          <w:szCs w:val="32"/>
          <w:lang w:val="en-US" w:eastAsia="zh-CN"/>
        </w:rPr>
        <w:t>》已经赤峰市第八届人民代表大会第六次会议审议通过，现印发给你们，请结合实际，认真贯彻落实。</w:t>
      </w:r>
    </w:p>
    <w:p w14:paraId="57EA8A01">
      <w:pPr>
        <w:keepNext w:val="0"/>
        <w:keepLines w:val="0"/>
        <w:pageBreakBefore w:val="0"/>
        <w:widowControl w:val="0"/>
        <w:kinsoku/>
        <w:wordWrap/>
        <w:overflowPunct/>
        <w:topLinePunct w:val="0"/>
        <w:autoSpaceDE/>
        <w:autoSpaceDN/>
        <w:bidi w:val="0"/>
        <w:adjustRightInd/>
        <w:snapToGrid/>
        <w:spacing w:line="660" w:lineRule="exact"/>
        <w:ind w:firstLine="624" w:firstLineChars="200"/>
        <w:jc w:val="both"/>
        <w:textAlignment w:val="auto"/>
        <w:rPr>
          <w:rFonts w:hint="eastAsia" w:ascii="仿宋_GB2312" w:hAnsi="仿宋_GB2312" w:eastAsia="仿宋_GB2312" w:cs="仿宋_GB2312"/>
          <w:b w:val="0"/>
          <w:bCs w:val="0"/>
          <w:sz w:val="32"/>
          <w:szCs w:val="32"/>
          <w:lang w:val="en-US" w:eastAsia="zh-CN"/>
        </w:rPr>
      </w:pPr>
    </w:p>
    <w:p w14:paraId="78824EC5">
      <w:pPr>
        <w:keepNext w:val="0"/>
        <w:keepLines w:val="0"/>
        <w:pageBreakBefore w:val="0"/>
        <w:widowControl w:val="0"/>
        <w:kinsoku/>
        <w:wordWrap/>
        <w:overflowPunct/>
        <w:topLinePunct w:val="0"/>
        <w:autoSpaceDE/>
        <w:autoSpaceDN/>
        <w:bidi w:val="0"/>
        <w:adjustRightInd/>
        <w:snapToGrid/>
        <w:spacing w:line="660" w:lineRule="exact"/>
        <w:ind w:firstLine="624" w:firstLineChars="200"/>
        <w:jc w:val="both"/>
        <w:textAlignment w:val="auto"/>
        <w:rPr>
          <w:rFonts w:hint="eastAsia" w:ascii="仿宋_GB2312" w:hAnsi="仿宋_GB2312" w:eastAsia="仿宋_GB2312" w:cs="仿宋_GB2312"/>
          <w:b w:val="0"/>
          <w:bCs w:val="0"/>
          <w:sz w:val="32"/>
          <w:szCs w:val="32"/>
          <w:lang w:val="en-US" w:eastAsia="zh-CN"/>
        </w:rPr>
      </w:pPr>
    </w:p>
    <w:p w14:paraId="4896E75C">
      <w:pPr>
        <w:keepNext w:val="0"/>
        <w:keepLines w:val="0"/>
        <w:pageBreakBefore w:val="0"/>
        <w:widowControl w:val="0"/>
        <w:kinsoku/>
        <w:wordWrap/>
        <w:overflowPunct/>
        <w:topLinePunct w:val="0"/>
        <w:autoSpaceDE/>
        <w:autoSpaceDN/>
        <w:bidi w:val="0"/>
        <w:adjustRightInd/>
        <w:snapToGrid/>
        <w:spacing w:line="660" w:lineRule="exact"/>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赤峰市人民政府</w:t>
      </w:r>
    </w:p>
    <w:p w14:paraId="24EB587D">
      <w:pPr>
        <w:keepNext w:val="0"/>
        <w:keepLines w:val="0"/>
        <w:pageBreakBefore w:val="0"/>
        <w:widowControl w:val="0"/>
        <w:kinsoku/>
        <w:wordWrap/>
        <w:overflowPunct/>
        <w:topLinePunct w:val="0"/>
        <w:autoSpaceDE/>
        <w:autoSpaceDN/>
        <w:bidi w:val="0"/>
        <w:adjustRightInd/>
        <w:snapToGrid/>
        <w:spacing w:line="660" w:lineRule="exact"/>
        <w:ind w:firstLine="4368" w:firstLineChars="1400"/>
        <w:jc w:val="both"/>
        <w:textAlignment w:val="auto"/>
        <w:rPr>
          <w:rFonts w:hint="default" w:ascii="Times New Roman" w:hAnsi="Times New Roman" w:eastAsia="方正小标宋简体" w:cs="Times New Roman"/>
          <w:b w:val="0"/>
          <w:bCs w:val="0"/>
          <w:sz w:val="44"/>
          <w:szCs w:val="44"/>
          <w:lang w:val="en-US" w:eastAsia="zh-CN"/>
        </w:rPr>
      </w:pPr>
      <w:r>
        <w:rPr>
          <w:rFonts w:hint="eastAsia" w:ascii="仿宋_GB2312" w:hAnsi="仿宋_GB2312" w:eastAsia="仿宋_GB2312" w:cs="仿宋_GB2312"/>
          <w:b w:val="0"/>
          <w:bCs w:val="0"/>
          <w:sz w:val="32"/>
          <w:szCs w:val="32"/>
          <w:lang w:val="en-US" w:eastAsia="zh-CN"/>
        </w:rPr>
        <w:t xml:space="preserve">      2026年5月9日</w:t>
      </w:r>
    </w:p>
    <w:p w14:paraId="2B4767CB">
      <w:pPr>
        <w:keepNext w:val="0"/>
        <w:keepLines w:val="0"/>
        <w:pageBreakBefore w:val="0"/>
        <w:widowControl w:val="0"/>
        <w:kinsoku/>
        <w:wordWrap/>
        <w:overflowPunct/>
        <w:topLinePunct w:val="0"/>
        <w:autoSpaceDE/>
        <w:autoSpaceDN/>
        <w:bidi w:val="0"/>
        <w:adjustRightInd/>
        <w:snapToGrid/>
        <w:spacing w:line="660" w:lineRule="exact"/>
        <w:ind w:firstLine="622"/>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（此件公开发布）</w:t>
      </w:r>
    </w:p>
    <w:p w14:paraId="29713E0E">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eastAsia="仿宋_GB2312" w:cs="方正仿宋_GBK"/>
          <w:b w:val="0"/>
          <w:bCs w:val="0"/>
          <w:color w:val="auto"/>
          <w:spacing w:val="0"/>
          <w:highlight w:val="none"/>
          <w:lang w:val="en-US" w:eastAsia="zh-CN"/>
        </w:rPr>
      </w:pPr>
    </w:p>
    <w:p w14:paraId="1FDA56A9">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eastAsia="仿宋_GB2312" w:cs="方正仿宋_GBK"/>
          <w:b w:val="0"/>
          <w:bCs w:val="0"/>
          <w:color w:val="auto"/>
          <w:spacing w:val="0"/>
          <w:highlight w:val="none"/>
          <w:lang w:val="en-US" w:eastAsia="zh-CN"/>
        </w:rPr>
      </w:pPr>
    </w:p>
    <w:p w14:paraId="43281565">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eastAsia="仿宋_GB2312" w:cs="方正仿宋_GBK"/>
          <w:b w:val="0"/>
          <w:bCs w:val="0"/>
          <w:color w:val="auto"/>
          <w:spacing w:val="0"/>
          <w:highlight w:val="none"/>
          <w:lang w:val="en-US" w:eastAsia="zh-CN"/>
        </w:rPr>
      </w:pPr>
    </w:p>
    <w:p w14:paraId="52419160">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eastAsia="仿宋_GB2312" w:cs="方正仿宋_GBK"/>
          <w:b w:val="0"/>
          <w:bCs w:val="0"/>
          <w:color w:val="auto"/>
          <w:spacing w:val="0"/>
          <w:highlight w:val="none"/>
          <w:lang w:val="en-US" w:eastAsia="zh-CN"/>
        </w:rPr>
      </w:pPr>
    </w:p>
    <w:p w14:paraId="427497C5">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eastAsia="仿宋_GB2312" w:cs="方正仿宋_GBK"/>
          <w:b w:val="0"/>
          <w:bCs w:val="0"/>
          <w:color w:val="auto"/>
          <w:spacing w:val="0"/>
          <w:highlight w:val="none"/>
          <w:lang w:val="en-US" w:eastAsia="zh-CN"/>
        </w:rPr>
      </w:pPr>
    </w:p>
    <w:p w14:paraId="36167D18">
      <w:pPr>
        <w:rPr>
          <w:rFonts w:hint="eastAsia" w:ascii="仿宋_GB2312" w:hAnsi="仿宋_GB2312" w:eastAsia="仿宋_GB2312" w:cs="仿宋_GB2312"/>
          <w:color w:val="000000"/>
          <w:spacing w:val="11"/>
          <w:sz w:val="32"/>
          <w:szCs w:val="32"/>
          <w:shd w:val="clear" w:color="auto" w:fill="FFFFFF"/>
          <w:lang w:val="en-US" w:eastAsia="zh-CN"/>
        </w:rPr>
      </w:pPr>
    </w:p>
    <w:p w14:paraId="46F78C84">
      <w:pPr>
        <w:rPr>
          <w:rFonts w:hint="eastAsia" w:ascii="仿宋_GB2312" w:hAnsi="仿宋_GB2312" w:eastAsia="仿宋_GB2312" w:cs="仿宋_GB2312"/>
          <w:color w:val="000000"/>
          <w:spacing w:val="11"/>
          <w:sz w:val="32"/>
          <w:szCs w:val="32"/>
          <w:shd w:val="clear" w:color="auto" w:fill="FFFFFF"/>
          <w:lang w:val="en-US" w:eastAsia="zh-CN"/>
        </w:rPr>
      </w:pPr>
    </w:p>
    <w:p w14:paraId="08A9D9D0">
      <w:pPr>
        <w:rPr>
          <w:rFonts w:hint="eastAsia" w:ascii="仿宋_GB2312" w:hAnsi="仿宋_GB2312" w:eastAsia="仿宋_GB2312" w:cs="仿宋_GB2312"/>
          <w:color w:val="000000"/>
          <w:spacing w:val="11"/>
          <w:sz w:val="32"/>
          <w:szCs w:val="32"/>
          <w:shd w:val="clear" w:color="auto" w:fill="FFFFFF"/>
          <w:lang w:val="en-US" w:eastAsia="zh-CN"/>
        </w:rPr>
      </w:pPr>
    </w:p>
    <w:p w14:paraId="26C34B91">
      <w:pPr>
        <w:rPr>
          <w:rFonts w:hint="eastAsia" w:ascii="仿宋_GB2312" w:hAnsi="仿宋_GB2312" w:eastAsia="仿宋_GB2312" w:cs="仿宋_GB2312"/>
          <w:color w:val="000000"/>
          <w:spacing w:val="11"/>
          <w:sz w:val="32"/>
          <w:szCs w:val="32"/>
          <w:shd w:val="clear" w:color="auto" w:fill="FFFFFF"/>
          <w:lang w:val="en-US" w:eastAsia="zh-CN"/>
        </w:rPr>
      </w:pPr>
    </w:p>
    <w:p w14:paraId="0F68806D">
      <w:pPr>
        <w:rPr>
          <w:rFonts w:hint="eastAsia" w:ascii="仿宋_GB2312" w:hAnsi="仿宋_GB2312" w:eastAsia="仿宋_GB2312" w:cs="仿宋_GB2312"/>
          <w:color w:val="000000"/>
          <w:spacing w:val="11"/>
          <w:sz w:val="32"/>
          <w:szCs w:val="32"/>
          <w:shd w:val="clear" w:color="auto" w:fill="FFFFFF"/>
          <w:lang w:val="en-US" w:eastAsia="zh-CN"/>
        </w:rPr>
      </w:pPr>
      <w:bookmarkStart w:id="1298" w:name="_GoBack"/>
      <w:bookmarkEnd w:id="1298"/>
    </w:p>
    <w:p w14:paraId="6FA93674">
      <w:pPr>
        <w:rPr>
          <w:rFonts w:hint="eastAsia" w:ascii="仿宋_GB2312" w:hAnsi="仿宋_GB2312" w:eastAsia="仿宋_GB2312" w:cs="仿宋_GB2312"/>
          <w:color w:val="000000"/>
          <w:spacing w:val="11"/>
          <w:sz w:val="32"/>
          <w:szCs w:val="32"/>
          <w:shd w:val="clear" w:color="auto" w:fill="FFFFFF"/>
          <w:lang w:val="en-US" w:eastAsia="zh-CN"/>
        </w:rPr>
        <w:sectPr>
          <w:footerReference r:id="rId3" w:type="default"/>
          <w:footerReference r:id="rId4" w:type="even"/>
          <w:pgSz w:w="11906" w:h="16838"/>
          <w:pgMar w:top="2098" w:right="1474" w:bottom="1984" w:left="1587" w:header="851" w:footer="992" w:gutter="0"/>
          <w:pgBorders>
            <w:top w:val="none" w:sz="0" w:space="0"/>
            <w:left w:val="none" w:sz="0" w:space="0"/>
            <w:bottom w:val="none" w:sz="0" w:space="0"/>
            <w:right w:val="none" w:sz="0" w:space="0"/>
          </w:pgBorders>
          <w:pgNumType w:fmt="numberInDash" w:start="1"/>
          <w:cols w:space="0" w:num="1"/>
          <w:rtlGutter w:val="0"/>
          <w:docGrid w:type="linesAndChars" w:linePitch="579" w:charSpace="-1839"/>
        </w:sectPr>
      </w:pPr>
    </w:p>
    <w:p w14:paraId="730CDDB1">
      <w:pPr>
        <w:rPr>
          <w:rFonts w:hint="eastAsia" w:ascii="仿宋_GB2312" w:hAnsi="仿宋_GB2312" w:eastAsia="仿宋_GB2312" w:cs="仿宋_GB2312"/>
          <w:color w:val="000000"/>
          <w:spacing w:val="11"/>
          <w:sz w:val="32"/>
          <w:szCs w:val="32"/>
          <w:shd w:val="clear" w:color="auto" w:fill="FFFFFF"/>
          <w:lang w:val="en-US" w:eastAsia="zh-CN"/>
        </w:rPr>
      </w:pPr>
    </w:p>
    <w:p w14:paraId="336306CB">
      <w:pPr>
        <w:rPr>
          <w:rFonts w:hint="eastAsia" w:ascii="仿宋_GB2312" w:hAnsi="仿宋_GB2312" w:eastAsia="仿宋_GB2312" w:cs="仿宋_GB2312"/>
          <w:color w:val="000000"/>
          <w:spacing w:val="11"/>
          <w:sz w:val="32"/>
          <w:szCs w:val="32"/>
          <w:shd w:val="clear" w:color="auto" w:fill="FFFFFF"/>
          <w:lang w:val="en-US" w:eastAsia="zh-CN"/>
        </w:rPr>
      </w:pPr>
    </w:p>
    <w:p w14:paraId="50492983">
      <w:pPr>
        <w:rPr>
          <w:rFonts w:hint="eastAsia" w:ascii="仿宋_GB2312" w:hAnsi="仿宋_GB2312" w:eastAsia="仿宋_GB2312" w:cs="仿宋_GB2312"/>
          <w:color w:val="000000"/>
          <w:spacing w:val="11"/>
          <w:sz w:val="32"/>
          <w:szCs w:val="32"/>
          <w:shd w:val="clear" w:color="auto" w:fill="FFFFFF"/>
          <w:lang w:val="en-US" w:eastAsia="zh-CN"/>
        </w:rPr>
      </w:pPr>
    </w:p>
    <w:p w14:paraId="70B848DA">
      <w:pPr>
        <w:rPr>
          <w:rFonts w:hint="eastAsia" w:ascii="仿宋_GB2312" w:hAnsi="仿宋_GB2312" w:eastAsia="仿宋_GB2312" w:cs="仿宋_GB2312"/>
          <w:color w:val="000000"/>
          <w:spacing w:val="11"/>
          <w:sz w:val="32"/>
          <w:szCs w:val="32"/>
          <w:shd w:val="clear" w:color="auto" w:fill="FFFFFF"/>
          <w:lang w:val="en-US" w:eastAsia="zh-CN"/>
        </w:rPr>
      </w:pPr>
    </w:p>
    <w:p w14:paraId="00546ABD">
      <w:pPr>
        <w:rPr>
          <w:rFonts w:hint="eastAsia" w:ascii="仿宋_GB2312" w:hAnsi="仿宋_GB2312" w:eastAsia="仿宋_GB2312" w:cs="仿宋_GB2312"/>
          <w:color w:val="000000"/>
          <w:spacing w:val="11"/>
          <w:sz w:val="32"/>
          <w:szCs w:val="32"/>
          <w:shd w:val="clear" w:color="auto" w:fill="FFFFFF"/>
          <w:lang w:val="en-US" w:eastAsia="zh-CN"/>
        </w:rPr>
      </w:pPr>
    </w:p>
    <w:p w14:paraId="427E182D">
      <w:pPr>
        <w:rPr>
          <w:rFonts w:hint="eastAsia" w:ascii="仿宋_GB2312" w:hAnsi="仿宋_GB2312" w:eastAsia="仿宋_GB2312" w:cs="仿宋_GB2312"/>
          <w:color w:val="000000"/>
          <w:spacing w:val="11"/>
          <w:sz w:val="32"/>
          <w:szCs w:val="32"/>
          <w:shd w:val="clear" w:color="auto" w:fill="FFFFFF"/>
          <w:lang w:val="en-US" w:eastAsia="zh-CN"/>
        </w:rPr>
      </w:pPr>
    </w:p>
    <w:p w14:paraId="66CAF492">
      <w:pPr>
        <w:keepNext w:val="0"/>
        <w:keepLines w:val="0"/>
        <w:pageBreakBefore w:val="0"/>
        <w:widowControl w:val="0"/>
        <w:kinsoku/>
        <w:wordWrap/>
        <w:overflowPunct/>
        <w:topLinePunct w:val="0"/>
        <w:autoSpaceDE/>
        <w:autoSpaceDN/>
        <w:bidi w:val="0"/>
        <w:adjustRightInd/>
        <w:spacing w:line="460" w:lineRule="exact"/>
        <w:ind w:firstLine="622"/>
        <w:jc w:val="both"/>
        <w:textAlignment w:val="auto"/>
        <w:rPr>
          <w:rFonts w:hint="eastAsia" w:ascii="仿宋_GB2312" w:hAnsi="仿宋_GB2312" w:eastAsia="仿宋_GB2312" w:cs="仿宋_GB2312"/>
          <w:b w:val="0"/>
          <w:bCs w:val="0"/>
          <w:sz w:val="32"/>
          <w:szCs w:val="32"/>
          <w:lang w:val="en-US" w:eastAsia="zh-CN"/>
        </w:rPr>
      </w:pPr>
    </w:p>
    <w:p w14:paraId="52BA8143">
      <w:pPr>
        <w:jc w:val="center"/>
        <w:rPr>
          <w:rFonts w:hint="eastAsia" w:ascii="方正小标宋简体" w:hAnsi="方正小标宋简体" w:eastAsia="方正小标宋简体" w:cs="方正小标宋简体"/>
          <w:b w:val="0"/>
          <w:bCs w:val="0"/>
          <w:sz w:val="52"/>
          <w:szCs w:val="52"/>
          <w:highlight w:val="none"/>
          <w:lang w:val="en-US" w:eastAsia="zh-CN"/>
        </w:rPr>
      </w:pPr>
      <w:r>
        <w:rPr>
          <w:rFonts w:hint="eastAsia" w:ascii="方正小标宋简体" w:hAnsi="方正小标宋简体" w:eastAsia="方正小标宋简体" w:cs="方正小标宋简体"/>
          <w:b w:val="0"/>
          <w:bCs w:val="0"/>
          <w:sz w:val="52"/>
          <w:szCs w:val="52"/>
          <w:highlight w:val="none"/>
        </w:rPr>
        <w:t>赤峰市</w:t>
      </w:r>
      <w:r>
        <w:rPr>
          <w:rFonts w:hint="eastAsia" w:ascii="方正小标宋简体" w:hAnsi="方正小标宋简体" w:eastAsia="方正小标宋简体" w:cs="方正小标宋简体"/>
          <w:b w:val="0"/>
          <w:bCs w:val="0"/>
          <w:sz w:val="52"/>
          <w:szCs w:val="52"/>
          <w:highlight w:val="none"/>
          <w:lang w:val="en-US" w:eastAsia="zh-CN"/>
        </w:rPr>
        <w:t>国民经济和社会发展</w:t>
      </w:r>
    </w:p>
    <w:p w14:paraId="22D0A20E">
      <w:pPr>
        <w:jc w:val="center"/>
        <w:rPr>
          <w:rFonts w:hint="eastAsia" w:ascii="Times New Roman" w:hAnsi="Times New Roman" w:eastAsia="方正小标宋_GBK" w:cs="方正小标宋_GBK"/>
          <w:b w:val="0"/>
          <w:bCs w:val="0"/>
          <w:sz w:val="40"/>
          <w:szCs w:val="40"/>
          <w:highlight w:val="none"/>
          <w:lang w:val="en-US" w:eastAsia="zh-CN"/>
        </w:rPr>
      </w:pPr>
      <w:r>
        <w:rPr>
          <w:rFonts w:hint="eastAsia" w:ascii="方正小标宋简体" w:hAnsi="方正小标宋简体" w:eastAsia="方正小标宋简体" w:cs="方正小标宋简体"/>
          <w:b w:val="0"/>
          <w:bCs w:val="0"/>
          <w:sz w:val="52"/>
          <w:szCs w:val="52"/>
          <w:highlight w:val="none"/>
          <w:lang w:val="en-US" w:eastAsia="zh-CN"/>
        </w:rPr>
        <w:t>第十五个五年规划纲要</w:t>
      </w:r>
    </w:p>
    <w:p w14:paraId="359F27DF">
      <w:pPr>
        <w:jc w:val="center"/>
        <w:rPr>
          <w:rFonts w:hint="eastAsia" w:ascii="Times New Roman" w:hAnsi="Times New Roman" w:eastAsia="方正小标宋_GBK" w:cs="方正小标宋_GBK"/>
          <w:b w:val="0"/>
          <w:bCs w:val="0"/>
          <w:sz w:val="44"/>
          <w:szCs w:val="44"/>
          <w:highlight w:val="none"/>
          <w:lang w:val="en-US" w:eastAsia="zh-CN"/>
        </w:rPr>
      </w:pPr>
    </w:p>
    <w:p w14:paraId="45FC7273">
      <w:pPr>
        <w:jc w:val="center"/>
        <w:rPr>
          <w:rFonts w:hint="eastAsia" w:ascii="Times New Roman" w:hAnsi="Times New Roman" w:eastAsia="方正小标宋_GBK" w:cs="方正小标宋_GBK"/>
          <w:b w:val="0"/>
          <w:bCs w:val="0"/>
          <w:sz w:val="44"/>
          <w:szCs w:val="44"/>
          <w:highlight w:val="none"/>
          <w:lang w:val="en-US" w:eastAsia="zh-CN"/>
        </w:rPr>
      </w:pPr>
    </w:p>
    <w:p w14:paraId="2AD4093F">
      <w:pPr>
        <w:jc w:val="center"/>
        <w:rPr>
          <w:rFonts w:hint="eastAsia" w:ascii="Times New Roman" w:hAnsi="Times New Roman" w:eastAsia="方正小标宋_GBK" w:cs="方正小标宋_GBK"/>
          <w:b w:val="0"/>
          <w:bCs w:val="0"/>
          <w:sz w:val="44"/>
          <w:szCs w:val="44"/>
          <w:highlight w:val="none"/>
          <w:lang w:val="en-US" w:eastAsia="zh-CN"/>
        </w:rPr>
      </w:pPr>
    </w:p>
    <w:p w14:paraId="3A46277C">
      <w:pPr>
        <w:jc w:val="center"/>
        <w:rPr>
          <w:rFonts w:hint="eastAsia" w:ascii="Times New Roman" w:hAnsi="Times New Roman" w:eastAsia="方正小标宋_GBK" w:cs="方正小标宋_GBK"/>
          <w:b w:val="0"/>
          <w:bCs w:val="0"/>
          <w:sz w:val="44"/>
          <w:szCs w:val="44"/>
          <w:highlight w:val="none"/>
          <w:lang w:val="en-US" w:eastAsia="zh-CN"/>
        </w:rPr>
      </w:pPr>
    </w:p>
    <w:p w14:paraId="75375314">
      <w:pPr>
        <w:jc w:val="center"/>
        <w:rPr>
          <w:rFonts w:hint="eastAsia" w:ascii="Times New Roman" w:hAnsi="Times New Roman" w:eastAsia="方正小标宋_GBK" w:cs="方正小标宋_GBK"/>
          <w:b w:val="0"/>
          <w:bCs w:val="0"/>
          <w:sz w:val="44"/>
          <w:szCs w:val="44"/>
          <w:highlight w:val="none"/>
          <w:lang w:val="en-US" w:eastAsia="zh-CN"/>
        </w:rPr>
      </w:pPr>
    </w:p>
    <w:p w14:paraId="25AEA5F2">
      <w:pPr>
        <w:jc w:val="center"/>
        <w:rPr>
          <w:rFonts w:hint="eastAsia" w:ascii="Times New Roman" w:hAnsi="Times New Roman" w:eastAsia="方正小标宋_GBK" w:cs="方正小标宋_GBK"/>
          <w:b w:val="0"/>
          <w:bCs w:val="0"/>
          <w:sz w:val="44"/>
          <w:szCs w:val="44"/>
          <w:highlight w:val="none"/>
          <w:lang w:val="en-US" w:eastAsia="zh-CN"/>
        </w:rPr>
      </w:pPr>
    </w:p>
    <w:p w14:paraId="2F98F860">
      <w:pPr>
        <w:jc w:val="center"/>
        <w:rPr>
          <w:rFonts w:hint="eastAsia" w:ascii="Times New Roman" w:hAnsi="Times New Roman" w:eastAsia="方正小标宋_GBK" w:cs="方正小标宋_GBK"/>
          <w:b w:val="0"/>
          <w:bCs w:val="0"/>
          <w:sz w:val="44"/>
          <w:szCs w:val="44"/>
          <w:highlight w:val="none"/>
          <w:lang w:val="en-US" w:eastAsia="zh-CN"/>
        </w:rPr>
      </w:pPr>
    </w:p>
    <w:p w14:paraId="341F4D6F">
      <w:pPr>
        <w:jc w:val="center"/>
        <w:rPr>
          <w:rFonts w:hint="eastAsia" w:ascii="Times New Roman" w:hAnsi="Times New Roman" w:eastAsia="楷体_GB2312" w:cs="方正楷体_GBK"/>
          <w:b w:val="0"/>
          <w:bCs w:val="0"/>
          <w:sz w:val="36"/>
          <w:szCs w:val="36"/>
          <w:highlight w:val="none"/>
          <w:lang w:val="en-US" w:eastAsia="zh-CN"/>
        </w:rPr>
      </w:pPr>
    </w:p>
    <w:p w14:paraId="25545BB5">
      <w:pPr>
        <w:jc w:val="center"/>
        <w:rPr>
          <w:rFonts w:hint="eastAsia" w:ascii="Times New Roman" w:hAnsi="Times New Roman" w:eastAsia="楷体_GB2312" w:cs="方正楷体_GBK"/>
          <w:b w:val="0"/>
          <w:bCs w:val="0"/>
          <w:sz w:val="36"/>
          <w:szCs w:val="36"/>
          <w:highlight w:val="none"/>
          <w:lang w:val="en-US" w:eastAsia="zh-CN"/>
        </w:rPr>
      </w:pPr>
    </w:p>
    <w:p w14:paraId="0566D61A">
      <w:pPr>
        <w:jc w:val="center"/>
        <w:rPr>
          <w:rFonts w:hint="eastAsia" w:ascii="Times New Roman" w:hAnsi="Times New Roman" w:eastAsia="楷体_GB2312" w:cs="方正楷体_GBK"/>
          <w:b w:val="0"/>
          <w:bCs w:val="0"/>
          <w:sz w:val="36"/>
          <w:szCs w:val="36"/>
          <w:highlight w:val="none"/>
          <w:lang w:val="en-US" w:eastAsia="zh-CN"/>
        </w:rPr>
      </w:pPr>
    </w:p>
    <w:p w14:paraId="16E5670A">
      <w:pPr>
        <w:jc w:val="center"/>
        <w:rPr>
          <w:rFonts w:hint="eastAsia" w:ascii="Times New Roman" w:hAnsi="Times New Roman" w:eastAsia="楷体_GB2312" w:cs="方正楷体_GBK"/>
          <w:b w:val="0"/>
          <w:bCs w:val="0"/>
          <w:sz w:val="36"/>
          <w:szCs w:val="36"/>
          <w:highlight w:val="none"/>
          <w:lang w:val="en-US" w:eastAsia="zh-CN"/>
        </w:rPr>
      </w:pPr>
      <w:r>
        <w:rPr>
          <w:rFonts w:hint="eastAsia" w:ascii="Times New Roman" w:hAnsi="Times New Roman" w:eastAsia="楷体_GB2312" w:cs="方正楷体_GBK"/>
          <w:b w:val="0"/>
          <w:bCs w:val="0"/>
          <w:sz w:val="36"/>
          <w:szCs w:val="36"/>
          <w:highlight w:val="none"/>
          <w:lang w:val="en-US" w:eastAsia="zh-CN"/>
        </w:rPr>
        <w:t>2026年5月</w:t>
      </w:r>
    </w:p>
    <w:p w14:paraId="382FC8CA">
      <w:pPr>
        <w:keepNext w:val="0"/>
        <w:keepLines w:val="0"/>
        <w:pageBreakBefore w:val="0"/>
        <w:widowControl w:val="0"/>
        <w:kinsoku/>
        <w:wordWrap/>
        <w:overflowPunct/>
        <w:topLinePunct w:val="0"/>
        <w:autoSpaceDE/>
        <w:autoSpaceDN/>
        <w:bidi w:val="0"/>
        <w:adjustRightInd/>
        <w:snapToGrid/>
        <w:jc w:val="both"/>
        <w:textAlignment w:val="auto"/>
        <w:outlineLvl w:val="0"/>
        <w:rPr>
          <w:rFonts w:hint="eastAsia" w:ascii="Times New Roman" w:hAnsi="Times New Roman" w:eastAsia="方正黑体_GBK" w:cs="方正黑体_GBK"/>
          <w:b w:val="0"/>
          <w:bCs w:val="0"/>
          <w:sz w:val="32"/>
          <w:szCs w:val="32"/>
          <w:highlight w:val="none"/>
          <w:lang w:val="en-US" w:eastAsia="zh-CN"/>
        </w:rPr>
        <w:sectPr>
          <w:footerReference r:id="rId5" w:type="default"/>
          <w:footerReference r:id="rId6" w:type="even"/>
          <w:pgSz w:w="11906" w:h="16838"/>
          <w:pgMar w:top="2098" w:right="1474" w:bottom="1984" w:left="1587" w:header="851" w:footer="992" w:gutter="0"/>
          <w:pgBorders>
            <w:top w:val="none" w:sz="0" w:space="0"/>
            <w:left w:val="none" w:sz="0" w:space="0"/>
            <w:bottom w:val="none" w:sz="0" w:space="0"/>
            <w:right w:val="none" w:sz="0" w:space="0"/>
          </w:pgBorders>
          <w:pgNumType w:fmt="numberInDash" w:start="1"/>
          <w:cols w:space="0" w:num="1"/>
          <w:rtlGutter w:val="0"/>
          <w:docGrid w:type="linesAndChars" w:linePitch="579" w:charSpace="-1839"/>
        </w:sectPr>
      </w:pPr>
    </w:p>
    <w:p w14:paraId="326F1BC9">
      <w:pPr>
        <w:pStyle w:val="44"/>
        <w:shd w:val="clear" w:color="auto" w:fill="auto"/>
        <w:tabs>
          <w:tab w:val="left" w:pos="1840"/>
          <w:tab w:val="center" w:pos="4153"/>
        </w:tabs>
        <w:rPr>
          <w:rFonts w:hint="default" w:ascii="Times New Roman" w:hAnsi="Times New Roman" w:eastAsia="黑体" w:cs="Times New Roman"/>
          <w:b w:val="0"/>
          <w:bCs w:val="0"/>
          <w:sz w:val="36"/>
          <w:szCs w:val="36"/>
          <w:highlight w:val="none"/>
          <w:lang w:val="en-US" w:eastAsia="zh-CN"/>
        </w:rPr>
      </w:pPr>
      <w:r>
        <w:rPr>
          <w:rFonts w:hint="default" w:ascii="Times New Roman" w:hAnsi="Times New Roman" w:eastAsia="黑体" w:cs="Times New Roman"/>
          <w:b w:val="0"/>
          <w:bCs w:val="0"/>
          <w:color w:val="auto"/>
          <w:kern w:val="2"/>
          <w:sz w:val="36"/>
          <w:szCs w:val="36"/>
          <w:highlight w:val="none"/>
          <w:lang w:val="zh-CN"/>
        </w:rPr>
        <w:tab/>
      </w:r>
      <w:r>
        <w:rPr>
          <w:rFonts w:hint="default" w:ascii="Times New Roman" w:hAnsi="Times New Roman" w:eastAsia="黑体" w:cs="Times New Roman"/>
          <w:b w:val="0"/>
          <w:bCs w:val="0"/>
          <w:color w:val="auto"/>
          <w:kern w:val="2"/>
          <w:sz w:val="36"/>
          <w:szCs w:val="36"/>
          <w:highlight w:val="none"/>
          <w:lang w:val="zh-CN"/>
        </w:rPr>
        <w:tab/>
      </w:r>
      <w:r>
        <w:rPr>
          <w:rFonts w:hint="default" w:ascii="Times New Roman" w:hAnsi="Times New Roman" w:eastAsia="黑体" w:cs="Times New Roman"/>
          <w:b w:val="0"/>
          <w:bCs w:val="0"/>
          <w:color w:val="auto"/>
          <w:sz w:val="48"/>
          <w:szCs w:val="48"/>
          <w:highlight w:val="none"/>
          <w:lang w:val="zh-CN"/>
        </w:rPr>
        <w:t>目 录</w:t>
      </w:r>
    </w:p>
    <w:p w14:paraId="7B401D8E">
      <w:pPr>
        <w:pStyle w:val="17"/>
        <w:tabs>
          <w:tab w:val="right" w:leader="dot" w:pos="8306"/>
          <w:tab w:val="clear" w:pos="8296"/>
        </w:tabs>
        <w:rPr>
          <w:rFonts w:hint="default" w:ascii="Times New Roman" w:hAnsi="Times New Roman" w:cs="Times New Roman"/>
          <w:b w:val="0"/>
          <w:bCs w:val="0"/>
          <w:smallCaps w:val="0"/>
          <w:spacing w:val="0"/>
          <w:sz w:val="28"/>
          <w:szCs w:val="28"/>
        </w:rPr>
      </w:pPr>
      <w:r>
        <w:rPr>
          <w:rFonts w:hint="default" w:ascii="Times New Roman" w:hAnsi="Times New Roman" w:eastAsia="仿宋" w:cs="Times New Roman"/>
          <w:b w:val="0"/>
          <w:bCs w:val="0"/>
          <w:smallCaps w:val="0"/>
          <w:spacing w:val="0"/>
          <w:sz w:val="28"/>
          <w:szCs w:val="28"/>
          <w:highlight w:val="none"/>
        </w:rPr>
        <w:fldChar w:fldCharType="begin"/>
      </w:r>
      <w:r>
        <w:rPr>
          <w:rFonts w:hint="default" w:ascii="Times New Roman" w:hAnsi="Times New Roman" w:eastAsia="仿宋" w:cs="Times New Roman"/>
          <w:b w:val="0"/>
          <w:bCs w:val="0"/>
          <w:smallCaps w:val="0"/>
          <w:spacing w:val="0"/>
          <w:sz w:val="28"/>
          <w:szCs w:val="28"/>
          <w:highlight w:val="none"/>
        </w:rPr>
        <w:instrText xml:space="preserve">TOC \o "1-3" \h \u </w:instrText>
      </w:r>
      <w:r>
        <w:rPr>
          <w:rFonts w:hint="default" w:ascii="Times New Roman" w:hAnsi="Times New Roman" w:eastAsia="仿宋" w:cs="Times New Roman"/>
          <w:b w:val="0"/>
          <w:bCs w:val="0"/>
          <w:smallCaps w:val="0"/>
          <w:spacing w:val="0"/>
          <w:sz w:val="28"/>
          <w:szCs w:val="28"/>
          <w:highlight w:val="none"/>
        </w:rPr>
        <w:fldChar w:fldCharType="separate"/>
      </w:r>
      <w:r>
        <w:rPr>
          <w:rFonts w:hint="eastAsia" w:ascii="方正小标宋简体" w:hAnsi="方正小标宋简体" w:eastAsia="方正小标宋简体" w:cs="方正小标宋简体"/>
          <w:b w:val="0"/>
          <w:bCs w:val="0"/>
          <w:smallCaps w:val="0"/>
          <w:spacing w:val="0"/>
          <w:sz w:val="28"/>
          <w:szCs w:val="28"/>
          <w:highlight w:val="none"/>
        </w:rPr>
        <w:fldChar w:fldCharType="begin"/>
      </w:r>
      <w:r>
        <w:rPr>
          <w:rFonts w:hint="eastAsia" w:ascii="方正小标宋简体" w:hAnsi="方正小标宋简体" w:eastAsia="方正小标宋简体" w:cs="方正小标宋简体"/>
          <w:b w:val="0"/>
          <w:bCs w:val="0"/>
          <w:smallCaps w:val="0"/>
          <w:spacing w:val="0"/>
          <w:sz w:val="28"/>
          <w:szCs w:val="28"/>
          <w:highlight w:val="none"/>
        </w:rPr>
        <w:instrText xml:space="preserve"> HYPERLINK \l _Toc2458 </w:instrText>
      </w:r>
      <w:r>
        <w:rPr>
          <w:rFonts w:hint="eastAsia" w:ascii="方正小标宋简体" w:hAnsi="方正小标宋简体" w:eastAsia="方正小标宋简体" w:cs="方正小标宋简体"/>
          <w:b w:val="0"/>
          <w:bCs w:val="0"/>
          <w:smallCaps w:val="0"/>
          <w:spacing w:val="0"/>
          <w:sz w:val="28"/>
          <w:szCs w:val="28"/>
          <w:highlight w:val="none"/>
        </w:rPr>
        <w:fldChar w:fldCharType="separate"/>
      </w:r>
      <w:r>
        <w:rPr>
          <w:rFonts w:hint="eastAsia" w:ascii="方正小标宋简体" w:hAnsi="方正小标宋简体" w:eastAsia="方正小标宋简体" w:cs="方正小标宋简体"/>
          <w:b w:val="0"/>
          <w:bCs w:val="0"/>
          <w:smallCaps w:val="0"/>
          <w:spacing w:val="0"/>
          <w:sz w:val="28"/>
          <w:szCs w:val="28"/>
          <w:lang w:val="en-US" w:eastAsia="zh-CN"/>
        </w:rPr>
        <w:t xml:space="preserve">第一篇 </w:t>
      </w:r>
      <w:r>
        <w:rPr>
          <w:rFonts w:hint="eastAsia" w:ascii="方正小标宋简体" w:hAnsi="方正小标宋简体" w:eastAsia="方正小标宋简体" w:cs="方正小标宋简体"/>
          <w:b w:val="0"/>
          <w:bCs w:val="0"/>
          <w:smallCaps w:val="0"/>
          <w:spacing w:val="0"/>
          <w:sz w:val="28"/>
          <w:szCs w:val="28"/>
          <w:highlight w:val="none"/>
          <w:lang w:val="en-US" w:eastAsia="zh-CN"/>
        </w:rPr>
        <w:t>找准坐标，开启中国式现代化赤峰实践新征程</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_Toc2458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- 1 -</w:t>
      </w:r>
      <w:r>
        <w:rPr>
          <w:rFonts w:hint="eastAsia" w:ascii="楷体_GB2312" w:hAnsi="楷体_GB2312" w:eastAsia="楷体_GB2312" w:cs="楷体_GB2312"/>
          <w:b w:val="0"/>
          <w:bCs w:val="0"/>
          <w:smallCaps w:val="0"/>
          <w:spacing w:val="0"/>
          <w:sz w:val="28"/>
          <w:szCs w:val="28"/>
        </w:rPr>
        <w:fldChar w:fldCharType="end"/>
      </w:r>
      <w:r>
        <w:rPr>
          <w:rFonts w:hint="eastAsia" w:ascii="方正小标宋简体" w:hAnsi="方正小标宋简体" w:eastAsia="方正小标宋简体" w:cs="方正小标宋简体"/>
          <w:b w:val="0"/>
          <w:bCs w:val="0"/>
          <w:smallCaps w:val="0"/>
          <w:spacing w:val="0"/>
          <w:sz w:val="28"/>
          <w:szCs w:val="28"/>
          <w:highlight w:val="none"/>
        </w:rPr>
        <w:fldChar w:fldCharType="end"/>
      </w:r>
    </w:p>
    <w:p w14:paraId="28507F89">
      <w:pPr>
        <w:pStyle w:val="20"/>
        <w:tabs>
          <w:tab w:val="right" w:leader="dot" w:pos="8306"/>
        </w:tabs>
        <w:rPr>
          <w:rFonts w:hint="eastAsia" w:ascii="黑体" w:hAnsi="黑体" w:eastAsia="黑体" w:cs="黑体"/>
          <w:b w:val="0"/>
          <w:bCs w:val="0"/>
          <w:smallCaps w:val="0"/>
          <w:spacing w:val="0"/>
          <w:sz w:val="28"/>
          <w:szCs w:val="28"/>
        </w:rPr>
      </w:pPr>
      <w:r>
        <w:rPr>
          <w:rFonts w:hint="eastAsia" w:ascii="黑体" w:hAnsi="黑体" w:eastAsia="黑体" w:cs="黑体"/>
          <w:b w:val="0"/>
          <w:bCs w:val="0"/>
          <w:smallCaps w:val="0"/>
          <w:spacing w:val="0"/>
          <w:sz w:val="28"/>
          <w:szCs w:val="28"/>
          <w:highlight w:val="none"/>
        </w:rPr>
        <w:fldChar w:fldCharType="begin"/>
      </w:r>
      <w:r>
        <w:rPr>
          <w:rFonts w:hint="eastAsia" w:ascii="黑体" w:hAnsi="黑体" w:eastAsia="黑体" w:cs="黑体"/>
          <w:b w:val="0"/>
          <w:bCs w:val="0"/>
          <w:smallCaps w:val="0"/>
          <w:spacing w:val="0"/>
          <w:sz w:val="28"/>
          <w:szCs w:val="28"/>
          <w:highlight w:val="none"/>
        </w:rPr>
        <w:instrText xml:space="preserve"> HYPERLINK \l _Toc5469 </w:instrText>
      </w:r>
      <w:r>
        <w:rPr>
          <w:rFonts w:hint="eastAsia" w:ascii="黑体" w:hAnsi="黑体" w:eastAsia="黑体" w:cs="黑体"/>
          <w:b w:val="0"/>
          <w:bCs w:val="0"/>
          <w:smallCaps w:val="0"/>
          <w:spacing w:val="0"/>
          <w:sz w:val="28"/>
          <w:szCs w:val="28"/>
          <w:highlight w:val="none"/>
        </w:rPr>
        <w:fldChar w:fldCharType="separate"/>
      </w:r>
      <w:r>
        <w:rPr>
          <w:rFonts w:hint="eastAsia" w:ascii="黑体" w:hAnsi="黑体" w:eastAsia="黑体" w:cs="黑体"/>
          <w:b w:val="0"/>
          <w:bCs w:val="0"/>
          <w:smallCaps w:val="0"/>
          <w:spacing w:val="0"/>
          <w:sz w:val="28"/>
          <w:szCs w:val="28"/>
          <w:lang w:val="en-US" w:eastAsia="zh-CN"/>
        </w:rPr>
        <w:t xml:space="preserve">第一章 </w:t>
      </w:r>
      <w:r>
        <w:rPr>
          <w:rFonts w:hint="eastAsia" w:ascii="黑体" w:hAnsi="黑体" w:eastAsia="黑体" w:cs="黑体"/>
          <w:b w:val="0"/>
          <w:bCs w:val="0"/>
          <w:smallCaps w:val="0"/>
          <w:spacing w:val="0"/>
          <w:sz w:val="28"/>
          <w:szCs w:val="28"/>
          <w:highlight w:val="none"/>
          <w:lang w:val="en-US" w:eastAsia="zh-CN"/>
        </w:rPr>
        <w:t>发展成就</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_Toc5469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- 1 -</w:t>
      </w:r>
      <w:r>
        <w:rPr>
          <w:rFonts w:hint="eastAsia" w:ascii="楷体_GB2312" w:hAnsi="楷体_GB2312" w:eastAsia="楷体_GB2312" w:cs="楷体_GB2312"/>
          <w:b w:val="0"/>
          <w:bCs w:val="0"/>
          <w:smallCaps w:val="0"/>
          <w:spacing w:val="0"/>
          <w:sz w:val="28"/>
          <w:szCs w:val="28"/>
        </w:rPr>
        <w:fldChar w:fldCharType="end"/>
      </w:r>
      <w:r>
        <w:rPr>
          <w:rFonts w:hint="eastAsia" w:ascii="黑体" w:hAnsi="黑体" w:eastAsia="黑体" w:cs="黑体"/>
          <w:b w:val="0"/>
          <w:bCs w:val="0"/>
          <w:smallCaps w:val="0"/>
          <w:spacing w:val="0"/>
          <w:sz w:val="28"/>
          <w:szCs w:val="28"/>
          <w:highlight w:val="none"/>
        </w:rPr>
        <w:fldChar w:fldCharType="end"/>
      </w:r>
    </w:p>
    <w:p w14:paraId="2F1EB2F4">
      <w:pPr>
        <w:pStyle w:val="20"/>
        <w:tabs>
          <w:tab w:val="right" w:leader="dot" w:pos="8306"/>
        </w:tabs>
        <w:rPr>
          <w:rFonts w:hint="default" w:ascii="Times New Roman" w:hAnsi="Times New Roman" w:cs="Times New Roman"/>
          <w:b w:val="0"/>
          <w:bCs w:val="0"/>
          <w:smallCaps w:val="0"/>
          <w:spacing w:val="0"/>
          <w:sz w:val="28"/>
          <w:szCs w:val="28"/>
        </w:rPr>
      </w:pPr>
      <w:r>
        <w:rPr>
          <w:rFonts w:hint="eastAsia" w:ascii="黑体" w:hAnsi="黑体" w:eastAsia="黑体" w:cs="黑体"/>
          <w:b w:val="0"/>
          <w:bCs w:val="0"/>
          <w:smallCaps w:val="0"/>
          <w:spacing w:val="0"/>
          <w:sz w:val="28"/>
          <w:szCs w:val="28"/>
          <w:highlight w:val="none"/>
        </w:rPr>
        <w:fldChar w:fldCharType="begin"/>
      </w:r>
      <w:r>
        <w:rPr>
          <w:rFonts w:hint="eastAsia" w:ascii="黑体" w:hAnsi="黑体" w:eastAsia="黑体" w:cs="黑体"/>
          <w:b w:val="0"/>
          <w:bCs w:val="0"/>
          <w:smallCaps w:val="0"/>
          <w:spacing w:val="0"/>
          <w:sz w:val="28"/>
          <w:szCs w:val="28"/>
          <w:highlight w:val="none"/>
        </w:rPr>
        <w:instrText xml:space="preserve"> HYPERLINK \l _Toc26689 </w:instrText>
      </w:r>
      <w:r>
        <w:rPr>
          <w:rFonts w:hint="eastAsia" w:ascii="黑体" w:hAnsi="黑体" w:eastAsia="黑体" w:cs="黑体"/>
          <w:b w:val="0"/>
          <w:bCs w:val="0"/>
          <w:smallCaps w:val="0"/>
          <w:spacing w:val="0"/>
          <w:sz w:val="28"/>
          <w:szCs w:val="28"/>
          <w:highlight w:val="none"/>
        </w:rPr>
        <w:fldChar w:fldCharType="separate"/>
      </w:r>
      <w:r>
        <w:rPr>
          <w:rFonts w:hint="eastAsia" w:ascii="黑体" w:hAnsi="黑体" w:eastAsia="黑体" w:cs="黑体"/>
          <w:b w:val="0"/>
          <w:bCs w:val="0"/>
          <w:smallCaps w:val="0"/>
          <w:spacing w:val="0"/>
          <w:sz w:val="28"/>
          <w:szCs w:val="28"/>
          <w:lang w:val="en-US" w:eastAsia="zh-CN"/>
        </w:rPr>
        <w:t xml:space="preserve">第二章 </w:t>
      </w:r>
      <w:r>
        <w:rPr>
          <w:rFonts w:hint="eastAsia" w:ascii="黑体" w:hAnsi="黑体" w:eastAsia="黑体" w:cs="黑体"/>
          <w:b w:val="0"/>
          <w:bCs w:val="0"/>
          <w:smallCaps w:val="0"/>
          <w:spacing w:val="0"/>
          <w:sz w:val="28"/>
          <w:szCs w:val="28"/>
          <w:highlight w:val="none"/>
          <w:lang w:val="en-US" w:eastAsia="zh-CN"/>
        </w:rPr>
        <w:t>面临形势</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_Toc5469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xml:space="preserve">- </w:t>
      </w:r>
      <w:r>
        <w:rPr>
          <w:rFonts w:hint="eastAsia" w:ascii="楷体_GB2312" w:hAnsi="楷体_GB2312" w:eastAsia="楷体_GB2312" w:cs="楷体_GB2312"/>
          <w:b w:val="0"/>
          <w:bCs w:val="0"/>
          <w:smallCaps w:val="0"/>
          <w:spacing w:val="0"/>
          <w:sz w:val="28"/>
          <w:szCs w:val="28"/>
          <w:lang w:val="en-US" w:eastAsia="zh-CN"/>
        </w:rPr>
        <w:t>9</w:t>
      </w:r>
      <w:r>
        <w:rPr>
          <w:rFonts w:hint="eastAsia" w:ascii="楷体_GB2312" w:hAnsi="楷体_GB2312" w:eastAsia="楷体_GB2312" w:cs="楷体_GB2312"/>
          <w:b w:val="0"/>
          <w:bCs w:val="0"/>
          <w:smallCaps w:val="0"/>
          <w:spacing w:val="0"/>
          <w:sz w:val="28"/>
          <w:szCs w:val="28"/>
        </w:rPr>
        <w:t xml:space="preserve"> -</w:t>
      </w:r>
      <w:r>
        <w:rPr>
          <w:rFonts w:hint="eastAsia" w:ascii="楷体_GB2312" w:hAnsi="楷体_GB2312" w:eastAsia="楷体_GB2312" w:cs="楷体_GB2312"/>
          <w:b w:val="0"/>
          <w:bCs w:val="0"/>
          <w:smallCaps w:val="0"/>
          <w:spacing w:val="0"/>
          <w:sz w:val="28"/>
          <w:szCs w:val="28"/>
        </w:rPr>
        <w:fldChar w:fldCharType="end"/>
      </w:r>
      <w:r>
        <w:rPr>
          <w:rFonts w:hint="eastAsia" w:ascii="黑体" w:hAnsi="黑体" w:eastAsia="黑体" w:cs="黑体"/>
          <w:b w:val="0"/>
          <w:bCs w:val="0"/>
          <w:smallCaps w:val="0"/>
          <w:spacing w:val="0"/>
          <w:sz w:val="28"/>
          <w:szCs w:val="28"/>
          <w:highlight w:val="none"/>
        </w:rPr>
        <w:fldChar w:fldCharType="end"/>
      </w:r>
    </w:p>
    <w:p w14:paraId="20B8970B">
      <w:pPr>
        <w:pStyle w:val="17"/>
        <w:tabs>
          <w:tab w:val="right" w:leader="dot" w:pos="8306"/>
          <w:tab w:val="clear" w:pos="8296"/>
        </w:tabs>
        <w:rPr>
          <w:rFonts w:hint="default" w:ascii="Times New Roman" w:hAnsi="Times New Roman" w:cs="Times New Roman"/>
          <w:b w:val="0"/>
          <w:bCs w:val="0"/>
          <w:smallCaps w:val="0"/>
          <w:spacing w:val="0"/>
          <w:sz w:val="28"/>
          <w:szCs w:val="28"/>
        </w:rPr>
      </w:pPr>
      <w:r>
        <w:rPr>
          <w:rFonts w:hint="eastAsia" w:ascii="方正小标宋简体" w:hAnsi="方正小标宋简体" w:eastAsia="方正小标宋简体" w:cs="方正小标宋简体"/>
          <w:b w:val="0"/>
          <w:bCs w:val="0"/>
          <w:smallCaps w:val="0"/>
          <w:spacing w:val="0"/>
          <w:sz w:val="28"/>
          <w:szCs w:val="28"/>
          <w:highlight w:val="none"/>
        </w:rPr>
        <w:fldChar w:fldCharType="begin"/>
      </w:r>
      <w:r>
        <w:rPr>
          <w:rFonts w:hint="eastAsia" w:ascii="方正小标宋简体" w:hAnsi="方正小标宋简体" w:eastAsia="方正小标宋简体" w:cs="方正小标宋简体"/>
          <w:b w:val="0"/>
          <w:bCs w:val="0"/>
          <w:smallCaps w:val="0"/>
          <w:spacing w:val="0"/>
          <w:sz w:val="28"/>
          <w:szCs w:val="28"/>
          <w:highlight w:val="none"/>
        </w:rPr>
        <w:instrText xml:space="preserve"> HYPERLINK \l _Toc14331 </w:instrText>
      </w:r>
      <w:r>
        <w:rPr>
          <w:rFonts w:hint="eastAsia" w:ascii="方正小标宋简体" w:hAnsi="方正小标宋简体" w:eastAsia="方正小标宋简体" w:cs="方正小标宋简体"/>
          <w:b w:val="0"/>
          <w:bCs w:val="0"/>
          <w:smallCaps w:val="0"/>
          <w:spacing w:val="0"/>
          <w:sz w:val="28"/>
          <w:szCs w:val="28"/>
          <w:highlight w:val="none"/>
        </w:rPr>
        <w:fldChar w:fldCharType="separate"/>
      </w:r>
      <w:r>
        <w:rPr>
          <w:rFonts w:hint="eastAsia" w:ascii="方正小标宋简体" w:hAnsi="方正小标宋简体" w:eastAsia="方正小标宋简体" w:cs="方正小标宋简体"/>
          <w:b w:val="0"/>
          <w:bCs w:val="0"/>
          <w:smallCaps w:val="0"/>
          <w:spacing w:val="0"/>
          <w:kern w:val="2"/>
          <w:sz w:val="28"/>
          <w:szCs w:val="28"/>
          <w:lang w:val="en-US" w:eastAsia="zh-CN" w:bidi="ar-SA"/>
        </w:rPr>
        <w:t xml:space="preserve">第二篇 </w:t>
      </w:r>
      <w:r>
        <w:rPr>
          <w:rFonts w:hint="eastAsia" w:ascii="方正小标宋简体" w:hAnsi="方正小标宋简体" w:eastAsia="方正小标宋简体" w:cs="方正小标宋简体"/>
          <w:b w:val="0"/>
          <w:bCs w:val="0"/>
          <w:smallCaps w:val="0"/>
          <w:spacing w:val="0"/>
          <w:kern w:val="2"/>
          <w:sz w:val="28"/>
          <w:szCs w:val="28"/>
          <w:highlight w:val="none"/>
          <w:lang w:val="en-US" w:eastAsia="zh-CN" w:bidi="ar-SA"/>
        </w:rPr>
        <w:t>凝聚共识，擘画中国式现代化赤峰实践新图景</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_Toc14331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- 13 -</w:t>
      </w:r>
      <w:r>
        <w:rPr>
          <w:rFonts w:hint="eastAsia" w:ascii="楷体_GB2312" w:hAnsi="楷体_GB2312" w:eastAsia="楷体_GB2312" w:cs="楷体_GB2312"/>
          <w:b w:val="0"/>
          <w:bCs w:val="0"/>
          <w:smallCaps w:val="0"/>
          <w:spacing w:val="0"/>
          <w:sz w:val="28"/>
          <w:szCs w:val="28"/>
        </w:rPr>
        <w:fldChar w:fldCharType="end"/>
      </w:r>
      <w:r>
        <w:rPr>
          <w:rFonts w:hint="eastAsia" w:ascii="方正小标宋简体" w:hAnsi="方正小标宋简体" w:eastAsia="方正小标宋简体" w:cs="方正小标宋简体"/>
          <w:b w:val="0"/>
          <w:bCs w:val="0"/>
          <w:smallCaps w:val="0"/>
          <w:spacing w:val="0"/>
          <w:sz w:val="28"/>
          <w:szCs w:val="28"/>
          <w:highlight w:val="none"/>
        </w:rPr>
        <w:fldChar w:fldCharType="end"/>
      </w:r>
    </w:p>
    <w:p w14:paraId="0E34C33D">
      <w:pPr>
        <w:pStyle w:val="20"/>
        <w:tabs>
          <w:tab w:val="right" w:leader="dot" w:pos="8306"/>
        </w:tabs>
        <w:rPr>
          <w:rFonts w:hint="eastAsia" w:ascii="黑体" w:hAnsi="黑体" w:eastAsia="黑体" w:cs="黑体"/>
          <w:b w:val="0"/>
          <w:bCs w:val="0"/>
          <w:smallCaps w:val="0"/>
          <w:spacing w:val="0"/>
          <w:sz w:val="28"/>
          <w:szCs w:val="28"/>
        </w:rPr>
      </w:pPr>
      <w:r>
        <w:rPr>
          <w:rFonts w:hint="eastAsia" w:ascii="黑体" w:hAnsi="黑体" w:eastAsia="黑体" w:cs="黑体"/>
          <w:b w:val="0"/>
          <w:bCs w:val="0"/>
          <w:smallCaps w:val="0"/>
          <w:spacing w:val="0"/>
          <w:sz w:val="28"/>
          <w:szCs w:val="28"/>
          <w:highlight w:val="none"/>
        </w:rPr>
        <w:fldChar w:fldCharType="begin"/>
      </w:r>
      <w:r>
        <w:rPr>
          <w:rFonts w:hint="eastAsia" w:ascii="黑体" w:hAnsi="黑体" w:eastAsia="黑体" w:cs="黑体"/>
          <w:b w:val="0"/>
          <w:bCs w:val="0"/>
          <w:smallCaps w:val="0"/>
          <w:spacing w:val="0"/>
          <w:sz w:val="28"/>
          <w:szCs w:val="28"/>
          <w:highlight w:val="none"/>
        </w:rPr>
        <w:instrText xml:space="preserve"> HYPERLINK \l _Toc6868 </w:instrText>
      </w:r>
      <w:r>
        <w:rPr>
          <w:rFonts w:hint="eastAsia" w:ascii="黑体" w:hAnsi="黑体" w:eastAsia="黑体" w:cs="黑体"/>
          <w:b w:val="0"/>
          <w:bCs w:val="0"/>
          <w:smallCaps w:val="0"/>
          <w:spacing w:val="0"/>
          <w:sz w:val="28"/>
          <w:szCs w:val="28"/>
          <w:highlight w:val="none"/>
        </w:rPr>
        <w:fldChar w:fldCharType="separate"/>
      </w:r>
      <w:r>
        <w:rPr>
          <w:rFonts w:hint="eastAsia" w:ascii="黑体" w:hAnsi="黑体" w:eastAsia="黑体" w:cs="黑体"/>
          <w:b w:val="0"/>
          <w:bCs w:val="0"/>
          <w:smallCaps w:val="0"/>
          <w:spacing w:val="0"/>
          <w:sz w:val="28"/>
          <w:szCs w:val="28"/>
          <w:lang w:val="en-US" w:eastAsia="zh-CN"/>
        </w:rPr>
        <w:t xml:space="preserve">第三章 </w:t>
      </w:r>
      <w:r>
        <w:rPr>
          <w:rFonts w:hint="eastAsia" w:ascii="黑体" w:hAnsi="黑体" w:eastAsia="黑体" w:cs="黑体"/>
          <w:b w:val="0"/>
          <w:bCs w:val="0"/>
          <w:smallCaps w:val="0"/>
          <w:spacing w:val="0"/>
          <w:sz w:val="28"/>
          <w:szCs w:val="28"/>
          <w:highlight w:val="none"/>
          <w:lang w:val="en-US" w:eastAsia="zh-CN"/>
        </w:rPr>
        <w:t>指导思想</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_Toc6868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- 13 -</w:t>
      </w:r>
      <w:r>
        <w:rPr>
          <w:rFonts w:hint="eastAsia" w:ascii="楷体_GB2312" w:hAnsi="楷体_GB2312" w:eastAsia="楷体_GB2312" w:cs="楷体_GB2312"/>
          <w:b w:val="0"/>
          <w:bCs w:val="0"/>
          <w:smallCaps w:val="0"/>
          <w:spacing w:val="0"/>
          <w:sz w:val="28"/>
          <w:szCs w:val="28"/>
        </w:rPr>
        <w:fldChar w:fldCharType="end"/>
      </w:r>
      <w:r>
        <w:rPr>
          <w:rFonts w:hint="eastAsia" w:ascii="黑体" w:hAnsi="黑体" w:eastAsia="黑体" w:cs="黑体"/>
          <w:b w:val="0"/>
          <w:bCs w:val="0"/>
          <w:smallCaps w:val="0"/>
          <w:spacing w:val="0"/>
          <w:sz w:val="28"/>
          <w:szCs w:val="28"/>
          <w:highlight w:val="none"/>
        </w:rPr>
        <w:fldChar w:fldCharType="end"/>
      </w:r>
    </w:p>
    <w:p w14:paraId="433A251F">
      <w:pPr>
        <w:pStyle w:val="20"/>
        <w:tabs>
          <w:tab w:val="right" w:leader="dot" w:pos="8306"/>
        </w:tabs>
        <w:rPr>
          <w:rFonts w:hint="eastAsia" w:ascii="黑体" w:hAnsi="黑体" w:eastAsia="黑体" w:cs="黑体"/>
          <w:b w:val="0"/>
          <w:bCs w:val="0"/>
          <w:smallCaps w:val="0"/>
          <w:spacing w:val="0"/>
          <w:sz w:val="28"/>
          <w:szCs w:val="28"/>
        </w:rPr>
      </w:pPr>
      <w:r>
        <w:rPr>
          <w:rFonts w:hint="eastAsia" w:ascii="黑体" w:hAnsi="黑体" w:eastAsia="黑体" w:cs="黑体"/>
          <w:b w:val="0"/>
          <w:bCs w:val="0"/>
          <w:smallCaps w:val="0"/>
          <w:spacing w:val="0"/>
          <w:sz w:val="28"/>
          <w:szCs w:val="28"/>
          <w:highlight w:val="none"/>
        </w:rPr>
        <w:fldChar w:fldCharType="begin"/>
      </w:r>
      <w:r>
        <w:rPr>
          <w:rFonts w:hint="eastAsia" w:ascii="黑体" w:hAnsi="黑体" w:eastAsia="黑体" w:cs="黑体"/>
          <w:b w:val="0"/>
          <w:bCs w:val="0"/>
          <w:smallCaps w:val="0"/>
          <w:spacing w:val="0"/>
          <w:sz w:val="28"/>
          <w:szCs w:val="28"/>
          <w:highlight w:val="none"/>
        </w:rPr>
        <w:instrText xml:space="preserve"> HYPERLINK \l _Toc7684 </w:instrText>
      </w:r>
      <w:r>
        <w:rPr>
          <w:rFonts w:hint="eastAsia" w:ascii="黑体" w:hAnsi="黑体" w:eastAsia="黑体" w:cs="黑体"/>
          <w:b w:val="0"/>
          <w:bCs w:val="0"/>
          <w:smallCaps w:val="0"/>
          <w:spacing w:val="0"/>
          <w:sz w:val="28"/>
          <w:szCs w:val="28"/>
          <w:highlight w:val="none"/>
        </w:rPr>
        <w:fldChar w:fldCharType="separate"/>
      </w:r>
      <w:r>
        <w:rPr>
          <w:rFonts w:hint="eastAsia" w:ascii="黑体" w:hAnsi="黑体" w:eastAsia="黑体" w:cs="黑体"/>
          <w:b w:val="0"/>
          <w:bCs w:val="0"/>
          <w:smallCaps w:val="0"/>
          <w:spacing w:val="0"/>
          <w:sz w:val="28"/>
          <w:szCs w:val="28"/>
          <w:lang w:val="en-US" w:eastAsia="zh-CN"/>
        </w:rPr>
        <w:t xml:space="preserve">第四章 </w:t>
      </w:r>
      <w:r>
        <w:rPr>
          <w:rFonts w:hint="eastAsia" w:ascii="黑体" w:hAnsi="黑体" w:eastAsia="黑体" w:cs="黑体"/>
          <w:b w:val="0"/>
          <w:bCs w:val="0"/>
          <w:smallCaps w:val="0"/>
          <w:spacing w:val="0"/>
          <w:sz w:val="28"/>
          <w:szCs w:val="28"/>
          <w:highlight w:val="none"/>
          <w:lang w:val="en-US" w:eastAsia="zh-CN"/>
        </w:rPr>
        <w:t>基本原则</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_Toc7684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- 14 -</w:t>
      </w:r>
      <w:r>
        <w:rPr>
          <w:rFonts w:hint="eastAsia" w:ascii="楷体_GB2312" w:hAnsi="楷体_GB2312" w:eastAsia="楷体_GB2312" w:cs="楷体_GB2312"/>
          <w:b w:val="0"/>
          <w:bCs w:val="0"/>
          <w:smallCaps w:val="0"/>
          <w:spacing w:val="0"/>
          <w:sz w:val="28"/>
          <w:szCs w:val="28"/>
        </w:rPr>
        <w:fldChar w:fldCharType="end"/>
      </w:r>
      <w:r>
        <w:rPr>
          <w:rFonts w:hint="eastAsia" w:ascii="黑体" w:hAnsi="黑体" w:eastAsia="黑体" w:cs="黑体"/>
          <w:b w:val="0"/>
          <w:bCs w:val="0"/>
          <w:smallCaps w:val="0"/>
          <w:spacing w:val="0"/>
          <w:sz w:val="28"/>
          <w:szCs w:val="28"/>
          <w:highlight w:val="none"/>
        </w:rPr>
        <w:fldChar w:fldCharType="end"/>
      </w:r>
    </w:p>
    <w:p w14:paraId="4DA715A6">
      <w:pPr>
        <w:pStyle w:val="20"/>
        <w:tabs>
          <w:tab w:val="right" w:leader="dot" w:pos="8306"/>
        </w:tabs>
        <w:rPr>
          <w:rFonts w:hint="default" w:ascii="Times New Roman" w:hAnsi="Times New Roman" w:cs="Times New Roman"/>
          <w:b w:val="0"/>
          <w:bCs w:val="0"/>
          <w:smallCaps w:val="0"/>
          <w:spacing w:val="0"/>
          <w:sz w:val="28"/>
          <w:szCs w:val="28"/>
        </w:rPr>
      </w:pPr>
      <w:r>
        <w:rPr>
          <w:rFonts w:hint="eastAsia" w:ascii="黑体" w:hAnsi="黑体" w:eastAsia="黑体" w:cs="黑体"/>
          <w:b w:val="0"/>
          <w:bCs w:val="0"/>
          <w:smallCaps w:val="0"/>
          <w:spacing w:val="0"/>
          <w:sz w:val="28"/>
          <w:szCs w:val="28"/>
          <w:highlight w:val="none"/>
        </w:rPr>
        <w:fldChar w:fldCharType="begin"/>
      </w:r>
      <w:r>
        <w:rPr>
          <w:rFonts w:hint="eastAsia" w:ascii="黑体" w:hAnsi="黑体" w:eastAsia="黑体" w:cs="黑体"/>
          <w:b w:val="0"/>
          <w:bCs w:val="0"/>
          <w:smallCaps w:val="0"/>
          <w:spacing w:val="0"/>
          <w:sz w:val="28"/>
          <w:szCs w:val="28"/>
          <w:highlight w:val="none"/>
        </w:rPr>
        <w:instrText xml:space="preserve"> HYPERLINK \l _Toc21630 </w:instrText>
      </w:r>
      <w:r>
        <w:rPr>
          <w:rFonts w:hint="eastAsia" w:ascii="黑体" w:hAnsi="黑体" w:eastAsia="黑体" w:cs="黑体"/>
          <w:b w:val="0"/>
          <w:bCs w:val="0"/>
          <w:smallCaps w:val="0"/>
          <w:spacing w:val="0"/>
          <w:sz w:val="28"/>
          <w:szCs w:val="28"/>
          <w:highlight w:val="none"/>
        </w:rPr>
        <w:fldChar w:fldCharType="separate"/>
      </w:r>
      <w:r>
        <w:rPr>
          <w:rFonts w:hint="eastAsia" w:ascii="黑体" w:hAnsi="黑体" w:eastAsia="黑体" w:cs="黑体"/>
          <w:b w:val="0"/>
          <w:bCs w:val="0"/>
          <w:smallCaps w:val="0"/>
          <w:spacing w:val="0"/>
          <w:sz w:val="28"/>
          <w:szCs w:val="28"/>
          <w:lang w:val="en-US" w:eastAsia="zh-CN"/>
        </w:rPr>
        <w:t xml:space="preserve">第五章 </w:t>
      </w:r>
      <w:r>
        <w:rPr>
          <w:rFonts w:hint="eastAsia" w:ascii="黑体" w:hAnsi="黑体" w:eastAsia="黑体" w:cs="黑体"/>
          <w:b w:val="0"/>
          <w:bCs w:val="0"/>
          <w:smallCaps w:val="0"/>
          <w:spacing w:val="0"/>
          <w:sz w:val="28"/>
          <w:szCs w:val="28"/>
          <w:highlight w:val="none"/>
          <w:lang w:val="en-US" w:eastAsia="zh-CN"/>
        </w:rPr>
        <w:t>发展目标</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_Toc21630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- 15 -</w:t>
      </w:r>
      <w:r>
        <w:rPr>
          <w:rFonts w:hint="eastAsia" w:ascii="楷体_GB2312" w:hAnsi="楷体_GB2312" w:eastAsia="楷体_GB2312" w:cs="楷体_GB2312"/>
          <w:b w:val="0"/>
          <w:bCs w:val="0"/>
          <w:smallCaps w:val="0"/>
          <w:spacing w:val="0"/>
          <w:sz w:val="28"/>
          <w:szCs w:val="28"/>
        </w:rPr>
        <w:fldChar w:fldCharType="end"/>
      </w:r>
      <w:r>
        <w:rPr>
          <w:rFonts w:hint="eastAsia" w:ascii="黑体" w:hAnsi="黑体" w:eastAsia="黑体" w:cs="黑体"/>
          <w:b w:val="0"/>
          <w:bCs w:val="0"/>
          <w:smallCaps w:val="0"/>
          <w:spacing w:val="0"/>
          <w:sz w:val="28"/>
          <w:szCs w:val="28"/>
          <w:highlight w:val="none"/>
        </w:rPr>
        <w:fldChar w:fldCharType="end"/>
      </w:r>
    </w:p>
    <w:p w14:paraId="7BE31CE9">
      <w:pPr>
        <w:pStyle w:val="17"/>
        <w:tabs>
          <w:tab w:val="right" w:leader="dot" w:pos="8306"/>
          <w:tab w:val="clear" w:pos="8296"/>
        </w:tabs>
        <w:rPr>
          <w:rFonts w:hint="default" w:ascii="Times New Roman" w:hAnsi="Times New Roman" w:cs="Times New Roman"/>
          <w:b w:val="0"/>
          <w:bCs w:val="0"/>
          <w:smallCaps w:val="0"/>
          <w:spacing w:val="0"/>
          <w:sz w:val="28"/>
          <w:szCs w:val="28"/>
        </w:rPr>
      </w:pPr>
      <w:r>
        <w:rPr>
          <w:rFonts w:hint="eastAsia" w:ascii="方正小标宋简体" w:hAnsi="方正小标宋简体" w:eastAsia="方正小标宋简体" w:cs="方正小标宋简体"/>
          <w:b w:val="0"/>
          <w:bCs w:val="0"/>
          <w:smallCaps w:val="0"/>
          <w:spacing w:val="0"/>
          <w:sz w:val="28"/>
          <w:szCs w:val="28"/>
          <w:highlight w:val="none"/>
        </w:rPr>
        <w:fldChar w:fldCharType="begin"/>
      </w:r>
      <w:r>
        <w:rPr>
          <w:rFonts w:hint="eastAsia" w:ascii="方正小标宋简体" w:hAnsi="方正小标宋简体" w:eastAsia="方正小标宋简体" w:cs="方正小标宋简体"/>
          <w:b w:val="0"/>
          <w:bCs w:val="0"/>
          <w:smallCaps w:val="0"/>
          <w:spacing w:val="0"/>
          <w:sz w:val="28"/>
          <w:szCs w:val="28"/>
          <w:highlight w:val="none"/>
        </w:rPr>
        <w:instrText xml:space="preserve"> HYPERLINK \l _Toc18073 </w:instrText>
      </w:r>
      <w:r>
        <w:rPr>
          <w:rFonts w:hint="eastAsia" w:ascii="方正小标宋简体" w:hAnsi="方正小标宋简体" w:eastAsia="方正小标宋简体" w:cs="方正小标宋简体"/>
          <w:b w:val="0"/>
          <w:bCs w:val="0"/>
          <w:smallCaps w:val="0"/>
          <w:spacing w:val="0"/>
          <w:sz w:val="28"/>
          <w:szCs w:val="28"/>
          <w:highlight w:val="none"/>
        </w:rPr>
        <w:fldChar w:fldCharType="separate"/>
      </w:r>
      <w:r>
        <w:rPr>
          <w:rFonts w:hint="eastAsia" w:ascii="方正小标宋简体" w:hAnsi="方正小标宋简体" w:eastAsia="方正小标宋简体" w:cs="方正小标宋简体"/>
          <w:b w:val="0"/>
          <w:bCs w:val="0"/>
          <w:smallCaps w:val="0"/>
          <w:spacing w:val="0"/>
          <w:sz w:val="28"/>
          <w:szCs w:val="28"/>
          <w:lang w:val="en-US" w:eastAsia="zh-CN"/>
        </w:rPr>
        <w:t xml:space="preserve">第三篇 </w:t>
      </w:r>
      <w:r>
        <w:rPr>
          <w:rFonts w:hint="eastAsia" w:ascii="方正小标宋简体" w:hAnsi="方正小标宋简体" w:eastAsia="方正小标宋简体" w:cs="方正小标宋简体"/>
          <w:b w:val="0"/>
          <w:bCs w:val="0"/>
          <w:smallCaps w:val="0"/>
          <w:spacing w:val="0"/>
          <w:sz w:val="28"/>
          <w:szCs w:val="28"/>
          <w:highlight w:val="none"/>
          <w:lang w:val="en-US" w:eastAsia="zh-CN"/>
        </w:rPr>
        <w:t>聚焦重点，践行中国式现代化赤峰实践新路径</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_Toc18073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- 21 -</w:t>
      </w:r>
      <w:r>
        <w:rPr>
          <w:rFonts w:hint="eastAsia" w:ascii="楷体_GB2312" w:hAnsi="楷体_GB2312" w:eastAsia="楷体_GB2312" w:cs="楷体_GB2312"/>
          <w:b w:val="0"/>
          <w:bCs w:val="0"/>
          <w:smallCaps w:val="0"/>
          <w:spacing w:val="0"/>
          <w:sz w:val="28"/>
          <w:szCs w:val="28"/>
        </w:rPr>
        <w:fldChar w:fldCharType="end"/>
      </w:r>
      <w:r>
        <w:rPr>
          <w:rFonts w:hint="eastAsia" w:ascii="方正小标宋简体" w:hAnsi="方正小标宋简体" w:eastAsia="方正小标宋简体" w:cs="方正小标宋简体"/>
          <w:b w:val="0"/>
          <w:bCs w:val="0"/>
          <w:smallCaps w:val="0"/>
          <w:spacing w:val="0"/>
          <w:sz w:val="28"/>
          <w:szCs w:val="28"/>
          <w:highlight w:val="none"/>
        </w:rPr>
        <w:fldChar w:fldCharType="end"/>
      </w:r>
    </w:p>
    <w:p w14:paraId="7C6FE9EE">
      <w:pPr>
        <w:pStyle w:val="20"/>
        <w:tabs>
          <w:tab w:val="right" w:leader="dot" w:pos="8306"/>
        </w:tabs>
        <w:rPr>
          <w:rFonts w:hint="default" w:ascii="Times New Roman" w:hAnsi="Times New Roman" w:cs="Times New Roman"/>
          <w:b w:val="0"/>
          <w:bCs w:val="0"/>
          <w:smallCaps w:val="0"/>
          <w:spacing w:val="0"/>
          <w:sz w:val="28"/>
          <w:szCs w:val="28"/>
        </w:rPr>
      </w:pPr>
      <w:r>
        <w:rPr>
          <w:rFonts w:hint="eastAsia" w:ascii="黑体" w:hAnsi="黑体" w:eastAsia="黑体" w:cs="黑体"/>
          <w:b w:val="0"/>
          <w:bCs w:val="0"/>
          <w:smallCaps w:val="0"/>
          <w:spacing w:val="0"/>
          <w:sz w:val="28"/>
          <w:szCs w:val="28"/>
          <w:highlight w:val="none"/>
        </w:rPr>
        <w:fldChar w:fldCharType="begin"/>
      </w:r>
      <w:r>
        <w:rPr>
          <w:rFonts w:hint="eastAsia" w:ascii="黑体" w:hAnsi="黑体" w:eastAsia="黑体" w:cs="黑体"/>
          <w:b w:val="0"/>
          <w:bCs w:val="0"/>
          <w:smallCaps w:val="0"/>
          <w:spacing w:val="0"/>
          <w:sz w:val="28"/>
          <w:szCs w:val="28"/>
          <w:highlight w:val="none"/>
        </w:rPr>
        <w:instrText xml:space="preserve"> HYPERLINK \l _Toc30953 </w:instrText>
      </w:r>
      <w:r>
        <w:rPr>
          <w:rFonts w:hint="eastAsia" w:ascii="黑体" w:hAnsi="黑体" w:eastAsia="黑体" w:cs="黑体"/>
          <w:b w:val="0"/>
          <w:bCs w:val="0"/>
          <w:smallCaps w:val="0"/>
          <w:spacing w:val="0"/>
          <w:sz w:val="28"/>
          <w:szCs w:val="28"/>
          <w:highlight w:val="none"/>
        </w:rPr>
        <w:fldChar w:fldCharType="separate"/>
      </w:r>
      <w:r>
        <w:rPr>
          <w:rFonts w:hint="eastAsia" w:ascii="黑体" w:hAnsi="黑体" w:eastAsia="黑体" w:cs="黑体"/>
          <w:b w:val="0"/>
          <w:bCs w:val="0"/>
          <w:smallCaps w:val="0"/>
          <w:spacing w:val="0"/>
          <w:sz w:val="28"/>
          <w:szCs w:val="28"/>
          <w:lang w:val="en-US" w:eastAsia="zh-CN"/>
        </w:rPr>
        <w:t xml:space="preserve">第六章 </w:t>
      </w:r>
      <w:r>
        <w:rPr>
          <w:rFonts w:hint="eastAsia" w:ascii="黑体" w:hAnsi="黑体" w:eastAsia="黑体" w:cs="黑体"/>
          <w:b w:val="0"/>
          <w:bCs w:val="0"/>
          <w:smallCaps w:val="0"/>
          <w:spacing w:val="0"/>
          <w:sz w:val="28"/>
          <w:szCs w:val="28"/>
          <w:highlight w:val="none"/>
          <w:lang w:eastAsia="zh-CN"/>
        </w:rPr>
        <w:t>铸牢中华民族共同体意识，</w:t>
      </w:r>
      <w:r>
        <w:rPr>
          <w:rFonts w:hint="eastAsia" w:ascii="黑体" w:hAnsi="黑体" w:eastAsia="黑体" w:cs="黑体"/>
          <w:b w:val="0"/>
          <w:bCs w:val="0"/>
          <w:smallCaps w:val="0"/>
          <w:spacing w:val="0"/>
          <w:sz w:val="28"/>
          <w:szCs w:val="28"/>
          <w:highlight w:val="none"/>
          <w:lang w:val="en-US" w:eastAsia="zh-CN"/>
        </w:rPr>
        <w:t>推进民族工作高质量发展</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_Toc30953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- 21 -</w:t>
      </w:r>
      <w:r>
        <w:rPr>
          <w:rFonts w:hint="eastAsia" w:ascii="楷体_GB2312" w:hAnsi="楷体_GB2312" w:eastAsia="楷体_GB2312" w:cs="楷体_GB2312"/>
          <w:b w:val="0"/>
          <w:bCs w:val="0"/>
          <w:smallCaps w:val="0"/>
          <w:spacing w:val="0"/>
          <w:sz w:val="28"/>
          <w:szCs w:val="28"/>
        </w:rPr>
        <w:fldChar w:fldCharType="end"/>
      </w:r>
      <w:r>
        <w:rPr>
          <w:rFonts w:hint="eastAsia" w:ascii="黑体" w:hAnsi="黑体" w:eastAsia="黑体" w:cs="黑体"/>
          <w:b w:val="0"/>
          <w:bCs w:val="0"/>
          <w:smallCaps w:val="0"/>
          <w:spacing w:val="0"/>
          <w:sz w:val="28"/>
          <w:szCs w:val="28"/>
          <w:highlight w:val="none"/>
        </w:rPr>
        <w:fldChar w:fldCharType="end"/>
      </w:r>
    </w:p>
    <w:p w14:paraId="1C4B2892">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_Toc15005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第一节 </w:t>
      </w:r>
      <w:r>
        <w:rPr>
          <w:rFonts w:hint="eastAsia" w:ascii="楷体_GB2312" w:hAnsi="楷体_GB2312" w:eastAsia="楷体_GB2312" w:cs="楷体_GB2312"/>
          <w:b w:val="0"/>
          <w:bCs w:val="0"/>
          <w:smallCaps w:val="0"/>
          <w:spacing w:val="0"/>
          <w:sz w:val="28"/>
          <w:szCs w:val="28"/>
          <w:highlight w:val="none"/>
          <w:lang w:val="en-US" w:eastAsia="zh-CN"/>
        </w:rPr>
        <w:t>构筑中华民族共有精神家园</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_Toc15005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- 21 -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7BA4F554">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_Toc25607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第二节 </w:t>
      </w:r>
      <w:r>
        <w:rPr>
          <w:rFonts w:hint="eastAsia" w:ascii="楷体_GB2312" w:hAnsi="楷体_GB2312" w:eastAsia="楷体_GB2312" w:cs="楷体_GB2312"/>
          <w:b w:val="0"/>
          <w:bCs w:val="0"/>
          <w:smallCaps w:val="0"/>
          <w:spacing w:val="0"/>
          <w:sz w:val="28"/>
          <w:szCs w:val="28"/>
          <w:highlight w:val="none"/>
          <w:lang w:val="en-US" w:eastAsia="zh-CN"/>
        </w:rPr>
        <w:t>促进各民族交往交流交融</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_Toc25607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- 23 -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268BE996">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_Toc29417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第三节 </w:t>
      </w:r>
      <w:r>
        <w:rPr>
          <w:rFonts w:hint="eastAsia" w:ascii="楷体_GB2312" w:hAnsi="楷体_GB2312" w:eastAsia="楷体_GB2312" w:cs="楷体_GB2312"/>
          <w:b w:val="0"/>
          <w:bCs w:val="0"/>
          <w:smallCaps w:val="0"/>
          <w:spacing w:val="0"/>
          <w:sz w:val="28"/>
          <w:szCs w:val="28"/>
          <w:highlight w:val="none"/>
          <w:lang w:val="en-US" w:eastAsia="zh-CN"/>
        </w:rPr>
        <w:t>提升民族事务治理能力水平</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_Toc29417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- 24 -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06F1A0F8">
      <w:pPr>
        <w:pStyle w:val="13"/>
        <w:tabs>
          <w:tab w:val="right" w:leader="dot" w:pos="8306"/>
        </w:tabs>
        <w:rPr>
          <w:rFonts w:hint="default" w:ascii="Times New Roman" w:hAnsi="Times New Roman" w:cs="Times New Roman"/>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_Toc24792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rPr>
        <w:t xml:space="preserve">第四节 </w:t>
      </w:r>
      <w:r>
        <w:rPr>
          <w:rFonts w:hint="eastAsia" w:ascii="楷体_GB2312" w:hAnsi="楷体_GB2312" w:eastAsia="楷体_GB2312" w:cs="楷体_GB2312"/>
          <w:b w:val="0"/>
          <w:bCs w:val="0"/>
          <w:smallCaps w:val="0"/>
          <w:spacing w:val="0"/>
          <w:sz w:val="28"/>
          <w:szCs w:val="28"/>
          <w:highlight w:val="none"/>
        </w:rPr>
        <w:t>汇聚同心共筑中国梦强大合力</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_Toc24792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- 25 -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762BD0F3">
      <w:pPr>
        <w:pStyle w:val="20"/>
        <w:tabs>
          <w:tab w:val="right" w:leader="dot" w:pos="8306"/>
        </w:tabs>
        <w:rPr>
          <w:rFonts w:hint="default" w:ascii="Times New Roman" w:hAnsi="Times New Roman" w:cs="Times New Roman"/>
          <w:b w:val="0"/>
          <w:bCs w:val="0"/>
          <w:smallCaps w:val="0"/>
          <w:spacing w:val="0"/>
          <w:sz w:val="28"/>
          <w:szCs w:val="28"/>
        </w:rPr>
      </w:pPr>
      <w:r>
        <w:rPr>
          <w:rFonts w:hint="eastAsia" w:ascii="黑体" w:hAnsi="黑体" w:eastAsia="黑体" w:cs="黑体"/>
          <w:b w:val="0"/>
          <w:bCs w:val="0"/>
          <w:smallCaps w:val="0"/>
          <w:spacing w:val="0"/>
          <w:sz w:val="28"/>
          <w:szCs w:val="28"/>
          <w:highlight w:val="none"/>
        </w:rPr>
        <w:fldChar w:fldCharType="begin"/>
      </w:r>
      <w:r>
        <w:rPr>
          <w:rFonts w:hint="eastAsia" w:ascii="黑体" w:hAnsi="黑体" w:eastAsia="黑体" w:cs="黑体"/>
          <w:b w:val="0"/>
          <w:bCs w:val="0"/>
          <w:smallCaps w:val="0"/>
          <w:spacing w:val="0"/>
          <w:sz w:val="28"/>
          <w:szCs w:val="28"/>
          <w:highlight w:val="none"/>
        </w:rPr>
        <w:instrText xml:space="preserve"> HYPERLINK \l _Toc21371 </w:instrText>
      </w:r>
      <w:r>
        <w:rPr>
          <w:rFonts w:hint="eastAsia" w:ascii="黑体" w:hAnsi="黑体" w:eastAsia="黑体" w:cs="黑体"/>
          <w:b w:val="0"/>
          <w:bCs w:val="0"/>
          <w:smallCaps w:val="0"/>
          <w:spacing w:val="0"/>
          <w:sz w:val="28"/>
          <w:szCs w:val="28"/>
          <w:highlight w:val="none"/>
        </w:rPr>
        <w:fldChar w:fldCharType="separate"/>
      </w:r>
      <w:r>
        <w:rPr>
          <w:rFonts w:hint="eastAsia" w:ascii="黑体" w:hAnsi="黑体" w:eastAsia="黑体" w:cs="黑体"/>
          <w:b w:val="0"/>
          <w:bCs w:val="0"/>
          <w:smallCaps w:val="0"/>
          <w:spacing w:val="0"/>
          <w:sz w:val="28"/>
          <w:szCs w:val="28"/>
          <w:lang w:val="en-US" w:eastAsia="zh-CN"/>
        </w:rPr>
        <w:t xml:space="preserve">第七章 </w:t>
      </w:r>
      <w:r>
        <w:rPr>
          <w:rFonts w:hint="eastAsia" w:ascii="黑体" w:hAnsi="黑体" w:eastAsia="黑体" w:cs="黑体"/>
          <w:b w:val="0"/>
          <w:bCs w:val="0"/>
          <w:smallCaps w:val="0"/>
          <w:spacing w:val="0"/>
          <w:sz w:val="28"/>
          <w:szCs w:val="28"/>
          <w:highlight w:val="none"/>
          <w:lang w:val="en-US" w:eastAsia="zh-CN"/>
        </w:rPr>
        <w:t>筑牢生态安全屏障，实现人与自然和谐共生</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_Toc21371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- 27 -</w:t>
      </w:r>
      <w:r>
        <w:rPr>
          <w:rFonts w:hint="eastAsia" w:ascii="楷体_GB2312" w:hAnsi="楷体_GB2312" w:eastAsia="楷体_GB2312" w:cs="楷体_GB2312"/>
          <w:b w:val="0"/>
          <w:bCs w:val="0"/>
          <w:smallCaps w:val="0"/>
          <w:spacing w:val="0"/>
          <w:sz w:val="28"/>
          <w:szCs w:val="28"/>
        </w:rPr>
        <w:fldChar w:fldCharType="end"/>
      </w:r>
      <w:r>
        <w:rPr>
          <w:rFonts w:hint="eastAsia" w:ascii="黑体" w:hAnsi="黑体" w:eastAsia="黑体" w:cs="黑体"/>
          <w:b w:val="0"/>
          <w:bCs w:val="0"/>
          <w:smallCaps w:val="0"/>
          <w:spacing w:val="0"/>
          <w:sz w:val="28"/>
          <w:szCs w:val="28"/>
          <w:highlight w:val="none"/>
        </w:rPr>
        <w:fldChar w:fldCharType="end"/>
      </w:r>
    </w:p>
    <w:p w14:paraId="2971F651">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_Toc25008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第一节 </w:t>
      </w:r>
      <w:r>
        <w:rPr>
          <w:rFonts w:hint="eastAsia" w:ascii="楷体_GB2312" w:hAnsi="楷体_GB2312" w:eastAsia="楷体_GB2312" w:cs="楷体_GB2312"/>
          <w:b w:val="0"/>
          <w:bCs w:val="0"/>
          <w:smallCaps w:val="0"/>
          <w:spacing w:val="0"/>
          <w:sz w:val="28"/>
          <w:szCs w:val="28"/>
          <w:highlight w:val="none"/>
          <w:lang w:val="en-US" w:eastAsia="zh-CN"/>
        </w:rPr>
        <w:t>坚决打赢两大沙地歼灭战</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_Toc25008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- 27 -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0D73745D">
      <w:pPr>
        <w:pStyle w:val="13"/>
        <w:tabs>
          <w:tab w:val="right" w:leader="dot" w:pos="8306"/>
        </w:tabs>
        <w:rPr>
          <w:rFonts w:hint="eastAsia" w:ascii="楷体_GB2312" w:hAnsi="楷体_GB2312" w:eastAsia="楷体_GB2312" w:cs="楷体_GB2312"/>
          <w:b w:val="0"/>
          <w:bCs w:val="0"/>
          <w:smallCaps w:val="0"/>
          <w:spacing w:val="0"/>
          <w:sz w:val="28"/>
          <w:szCs w:val="28"/>
          <w:lang w:val="en-US" w:eastAsia="zh-CN"/>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_Toc29284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第二节 </w:t>
      </w:r>
      <w:r>
        <w:rPr>
          <w:rFonts w:hint="eastAsia" w:ascii="楷体_GB2312" w:hAnsi="楷体_GB2312" w:eastAsia="楷体_GB2312" w:cs="楷体_GB2312"/>
          <w:b w:val="0"/>
          <w:bCs w:val="0"/>
          <w:smallCaps w:val="0"/>
          <w:spacing w:val="0"/>
          <w:sz w:val="28"/>
          <w:szCs w:val="28"/>
          <w:highlight w:val="none"/>
          <w:lang w:val="en-US" w:eastAsia="zh-CN"/>
        </w:rPr>
        <w:t>全力打好污染防治攻坚战</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_Toc5469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xml:space="preserve">- </w:t>
      </w:r>
      <w:r>
        <w:rPr>
          <w:rFonts w:hint="eastAsia" w:ascii="楷体_GB2312" w:hAnsi="楷体_GB2312" w:eastAsia="楷体_GB2312" w:cs="楷体_GB2312"/>
          <w:b w:val="0"/>
          <w:bCs w:val="0"/>
          <w:smallCaps w:val="0"/>
          <w:spacing w:val="0"/>
          <w:sz w:val="28"/>
          <w:szCs w:val="28"/>
          <w:lang w:val="en-US" w:eastAsia="zh-CN"/>
        </w:rPr>
        <w:t>28</w:t>
      </w:r>
      <w:r>
        <w:rPr>
          <w:rFonts w:hint="eastAsia" w:ascii="楷体_GB2312" w:hAnsi="楷体_GB2312" w:eastAsia="楷体_GB2312" w:cs="楷体_GB2312"/>
          <w:b w:val="0"/>
          <w:bCs w:val="0"/>
          <w:smallCaps w:val="0"/>
          <w:spacing w:val="0"/>
          <w:sz w:val="28"/>
          <w:szCs w:val="28"/>
        </w:rPr>
        <w:t xml:space="preserve">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53147C7B">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_Toc1348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第三节 </w:t>
      </w:r>
      <w:r>
        <w:rPr>
          <w:rFonts w:hint="eastAsia" w:ascii="楷体_GB2312" w:hAnsi="楷体_GB2312" w:eastAsia="楷体_GB2312" w:cs="楷体_GB2312"/>
          <w:b w:val="0"/>
          <w:bCs w:val="0"/>
          <w:smallCaps w:val="0"/>
          <w:spacing w:val="0"/>
          <w:sz w:val="28"/>
          <w:szCs w:val="28"/>
          <w:highlight w:val="none"/>
          <w:lang w:val="en-US" w:eastAsia="zh-CN"/>
        </w:rPr>
        <w:t>加强生态系统保护和修复</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_Toc1348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- 31 -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77436B0A">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_Toc26588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第四节 </w:t>
      </w:r>
      <w:r>
        <w:rPr>
          <w:rFonts w:hint="eastAsia" w:ascii="楷体_GB2312" w:hAnsi="楷体_GB2312" w:eastAsia="楷体_GB2312" w:cs="楷体_GB2312"/>
          <w:b w:val="0"/>
          <w:bCs w:val="0"/>
          <w:smallCaps w:val="0"/>
          <w:spacing w:val="0"/>
          <w:sz w:val="28"/>
          <w:szCs w:val="28"/>
          <w:highlight w:val="none"/>
          <w:lang w:val="en-US" w:eastAsia="zh-CN"/>
        </w:rPr>
        <w:t>推动生态产品价值实现</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_Toc26588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- 32 -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73C8FBE5">
      <w:pPr>
        <w:pStyle w:val="13"/>
        <w:tabs>
          <w:tab w:val="right" w:leader="dot" w:pos="8306"/>
        </w:tabs>
        <w:rPr>
          <w:rFonts w:hint="default" w:ascii="Times New Roman" w:hAnsi="Times New Roman" w:cs="Times New Roman"/>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_Toc21050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第五节 </w:t>
      </w:r>
      <w:r>
        <w:rPr>
          <w:rFonts w:hint="eastAsia" w:ascii="楷体_GB2312" w:hAnsi="楷体_GB2312" w:eastAsia="楷体_GB2312" w:cs="楷体_GB2312"/>
          <w:b w:val="0"/>
          <w:bCs w:val="0"/>
          <w:smallCaps w:val="0"/>
          <w:spacing w:val="0"/>
          <w:sz w:val="28"/>
          <w:szCs w:val="28"/>
          <w:highlight w:val="none"/>
          <w:lang w:val="en-US" w:eastAsia="zh-CN"/>
        </w:rPr>
        <w:t>积极稳妥推进和实现碳达峰</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_Toc21050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- 34 -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26AE61DC">
      <w:pPr>
        <w:pStyle w:val="20"/>
        <w:tabs>
          <w:tab w:val="right" w:leader="dot" w:pos="8306"/>
        </w:tabs>
        <w:rPr>
          <w:rFonts w:hint="default" w:ascii="Times New Roman" w:hAnsi="Times New Roman" w:cs="Times New Roman"/>
          <w:b w:val="0"/>
          <w:bCs w:val="0"/>
          <w:smallCaps w:val="0"/>
          <w:spacing w:val="0"/>
          <w:sz w:val="28"/>
          <w:szCs w:val="28"/>
        </w:rPr>
      </w:pPr>
      <w:r>
        <w:rPr>
          <w:rFonts w:hint="eastAsia" w:ascii="黑体" w:hAnsi="黑体" w:eastAsia="黑体" w:cs="黑体"/>
          <w:b w:val="0"/>
          <w:bCs w:val="0"/>
          <w:smallCaps w:val="0"/>
          <w:spacing w:val="0"/>
          <w:sz w:val="28"/>
          <w:szCs w:val="28"/>
          <w:highlight w:val="none"/>
        </w:rPr>
        <w:fldChar w:fldCharType="begin"/>
      </w:r>
      <w:r>
        <w:rPr>
          <w:rFonts w:hint="eastAsia" w:ascii="黑体" w:hAnsi="黑体" w:eastAsia="黑体" w:cs="黑体"/>
          <w:b w:val="0"/>
          <w:bCs w:val="0"/>
          <w:smallCaps w:val="0"/>
          <w:spacing w:val="0"/>
          <w:sz w:val="28"/>
          <w:szCs w:val="28"/>
          <w:highlight w:val="none"/>
        </w:rPr>
        <w:instrText xml:space="preserve"> HYPERLINK \l _Toc28400 </w:instrText>
      </w:r>
      <w:r>
        <w:rPr>
          <w:rFonts w:hint="eastAsia" w:ascii="黑体" w:hAnsi="黑体" w:eastAsia="黑体" w:cs="黑体"/>
          <w:b w:val="0"/>
          <w:bCs w:val="0"/>
          <w:smallCaps w:val="0"/>
          <w:spacing w:val="0"/>
          <w:sz w:val="28"/>
          <w:szCs w:val="28"/>
          <w:highlight w:val="none"/>
        </w:rPr>
        <w:fldChar w:fldCharType="separate"/>
      </w:r>
      <w:r>
        <w:rPr>
          <w:rFonts w:hint="eastAsia" w:ascii="黑体" w:hAnsi="黑体" w:eastAsia="黑体" w:cs="黑体"/>
          <w:b w:val="0"/>
          <w:bCs w:val="0"/>
          <w:smallCaps w:val="0"/>
          <w:spacing w:val="0"/>
          <w:sz w:val="28"/>
          <w:szCs w:val="28"/>
          <w:lang w:val="en-US" w:eastAsia="zh-CN"/>
        </w:rPr>
        <w:t xml:space="preserve">第八章 </w:t>
      </w:r>
      <w:r>
        <w:rPr>
          <w:rFonts w:hint="eastAsia" w:ascii="黑体" w:hAnsi="黑体" w:eastAsia="黑体" w:cs="黑体"/>
          <w:b w:val="0"/>
          <w:bCs w:val="0"/>
          <w:smallCaps w:val="0"/>
          <w:spacing w:val="0"/>
          <w:sz w:val="28"/>
          <w:szCs w:val="28"/>
          <w:highlight w:val="none"/>
          <w:lang w:val="en-US" w:eastAsia="zh-CN"/>
        </w:rPr>
        <w:t>构建现代化产业体系，巩固壮大实体经济根基</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_Toc28400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- 37 -</w:t>
      </w:r>
      <w:r>
        <w:rPr>
          <w:rFonts w:hint="eastAsia" w:ascii="楷体_GB2312" w:hAnsi="楷体_GB2312" w:eastAsia="楷体_GB2312" w:cs="楷体_GB2312"/>
          <w:b w:val="0"/>
          <w:bCs w:val="0"/>
          <w:smallCaps w:val="0"/>
          <w:spacing w:val="0"/>
          <w:sz w:val="28"/>
          <w:szCs w:val="28"/>
        </w:rPr>
        <w:fldChar w:fldCharType="end"/>
      </w:r>
      <w:r>
        <w:rPr>
          <w:rFonts w:hint="eastAsia" w:ascii="黑体" w:hAnsi="黑体" w:eastAsia="黑体" w:cs="黑体"/>
          <w:b w:val="0"/>
          <w:bCs w:val="0"/>
          <w:smallCaps w:val="0"/>
          <w:spacing w:val="0"/>
          <w:sz w:val="28"/>
          <w:szCs w:val="28"/>
          <w:highlight w:val="none"/>
        </w:rPr>
        <w:fldChar w:fldCharType="end"/>
      </w:r>
    </w:p>
    <w:p w14:paraId="56B1B4DA">
      <w:pPr>
        <w:pStyle w:val="13"/>
        <w:tabs>
          <w:tab w:val="right" w:leader="dot" w:pos="8306"/>
        </w:tabs>
        <w:rPr>
          <w:rFonts w:hint="eastAsia" w:ascii="楷体_GB2312" w:hAnsi="楷体_GB2312" w:eastAsia="楷体_GB2312" w:cs="楷体_GB2312"/>
          <w:b w:val="0"/>
          <w:bCs w:val="0"/>
          <w:smallCaps w:val="0"/>
          <w:spacing w:val="0"/>
          <w:sz w:val="28"/>
          <w:szCs w:val="28"/>
          <w:highlight w:val="none"/>
        </w:rPr>
        <w:sectPr>
          <w:footerReference r:id="rId7" w:type="default"/>
          <w:pgSz w:w="11906" w:h="16838"/>
          <w:pgMar w:top="1440" w:right="1800" w:bottom="1440" w:left="1800" w:header="851" w:footer="992" w:gutter="0"/>
          <w:pgNumType w:fmt="upperRoman" w:start="1"/>
          <w:cols w:space="720" w:num="1"/>
          <w:docGrid w:type="lines" w:linePitch="312" w:charSpace="0"/>
        </w:sectPr>
      </w:pPr>
    </w:p>
    <w:p w14:paraId="5F77FB15">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_Toc24460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第一节 </w:t>
      </w:r>
      <w:r>
        <w:rPr>
          <w:rFonts w:hint="eastAsia" w:ascii="楷体_GB2312" w:hAnsi="楷体_GB2312" w:eastAsia="楷体_GB2312" w:cs="楷体_GB2312"/>
          <w:b w:val="0"/>
          <w:bCs w:val="0"/>
          <w:smallCaps w:val="0"/>
          <w:spacing w:val="0"/>
          <w:sz w:val="28"/>
          <w:szCs w:val="28"/>
          <w:highlight w:val="none"/>
          <w:lang w:val="en-US" w:eastAsia="zh-CN"/>
        </w:rPr>
        <w:t>深入实施工业强市战略</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_Toc24460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- 37 -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2E8892F4">
      <w:pPr>
        <w:pStyle w:val="13"/>
        <w:tabs>
          <w:tab w:val="right" w:leader="dot" w:pos="8306"/>
        </w:tabs>
        <w:rPr>
          <w:rFonts w:hint="eastAsia" w:ascii="楷体_GB2312" w:hAnsi="楷体_GB2312" w:eastAsia="楷体_GB2312" w:cs="楷体_GB2312"/>
          <w:b w:val="0"/>
          <w:bCs w:val="0"/>
          <w:smallCaps w:val="0"/>
          <w:spacing w:val="0"/>
          <w:sz w:val="28"/>
          <w:szCs w:val="28"/>
          <w:lang w:val="en-US" w:eastAsia="zh-CN"/>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_Toc27376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第二节 </w:t>
      </w:r>
      <w:r>
        <w:rPr>
          <w:rFonts w:hint="eastAsia" w:ascii="楷体_GB2312" w:hAnsi="楷体_GB2312" w:eastAsia="楷体_GB2312" w:cs="楷体_GB2312"/>
          <w:b w:val="0"/>
          <w:bCs w:val="0"/>
          <w:smallCaps w:val="0"/>
          <w:spacing w:val="0"/>
          <w:sz w:val="28"/>
          <w:szCs w:val="28"/>
          <w:highlight w:val="none"/>
          <w:lang w:val="en-US" w:eastAsia="zh-CN"/>
        </w:rPr>
        <w:t>加快建设现代农牧业强市</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_Toc5469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xml:space="preserve">- </w:t>
      </w:r>
      <w:r>
        <w:rPr>
          <w:rFonts w:hint="eastAsia" w:ascii="楷体_GB2312" w:hAnsi="楷体_GB2312" w:eastAsia="楷体_GB2312" w:cs="楷体_GB2312"/>
          <w:b w:val="0"/>
          <w:bCs w:val="0"/>
          <w:smallCaps w:val="0"/>
          <w:spacing w:val="0"/>
          <w:sz w:val="28"/>
          <w:szCs w:val="28"/>
          <w:lang w:val="en-US" w:eastAsia="zh-CN"/>
        </w:rPr>
        <w:t>49</w:t>
      </w:r>
      <w:r>
        <w:rPr>
          <w:rFonts w:hint="eastAsia" w:ascii="楷体_GB2312" w:hAnsi="楷体_GB2312" w:eastAsia="楷体_GB2312" w:cs="楷体_GB2312"/>
          <w:b w:val="0"/>
          <w:bCs w:val="0"/>
          <w:smallCaps w:val="0"/>
          <w:spacing w:val="0"/>
          <w:sz w:val="28"/>
          <w:szCs w:val="28"/>
        </w:rPr>
        <w:t xml:space="preserve">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402F14B7">
      <w:pPr>
        <w:pStyle w:val="13"/>
        <w:tabs>
          <w:tab w:val="right" w:leader="dot" w:pos="8306"/>
        </w:tabs>
        <w:rPr>
          <w:rFonts w:hint="default" w:ascii="Times New Roman" w:hAnsi="Times New Roman" w:cs="Times New Roman"/>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_Toc23758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第三节 </w:t>
      </w:r>
      <w:r>
        <w:rPr>
          <w:rFonts w:hint="eastAsia" w:ascii="楷体_GB2312" w:hAnsi="楷体_GB2312" w:eastAsia="楷体_GB2312" w:cs="楷体_GB2312"/>
          <w:b w:val="0"/>
          <w:bCs w:val="0"/>
          <w:smallCaps w:val="0"/>
          <w:spacing w:val="0"/>
          <w:sz w:val="28"/>
          <w:szCs w:val="28"/>
          <w:highlight w:val="none"/>
          <w:lang w:val="en-US" w:eastAsia="zh-CN"/>
        </w:rPr>
        <w:t>促进服务业优质高效发展</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_Toc23758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- 55 -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3F31905B">
      <w:pPr>
        <w:pStyle w:val="20"/>
        <w:tabs>
          <w:tab w:val="right" w:leader="dot" w:pos="8306"/>
        </w:tabs>
        <w:rPr>
          <w:rFonts w:hint="default" w:ascii="Times New Roman" w:hAnsi="Times New Roman" w:cs="Times New Roman"/>
          <w:b w:val="0"/>
          <w:bCs w:val="0"/>
          <w:smallCaps w:val="0"/>
          <w:spacing w:val="0"/>
          <w:sz w:val="28"/>
          <w:szCs w:val="28"/>
        </w:rPr>
      </w:pPr>
      <w:r>
        <w:rPr>
          <w:rFonts w:hint="eastAsia" w:ascii="黑体" w:hAnsi="黑体" w:eastAsia="黑体" w:cs="黑体"/>
          <w:b w:val="0"/>
          <w:bCs w:val="0"/>
          <w:smallCaps w:val="0"/>
          <w:spacing w:val="0"/>
          <w:sz w:val="28"/>
          <w:szCs w:val="28"/>
          <w:highlight w:val="none"/>
        </w:rPr>
        <w:fldChar w:fldCharType="begin"/>
      </w:r>
      <w:r>
        <w:rPr>
          <w:rFonts w:hint="eastAsia" w:ascii="黑体" w:hAnsi="黑体" w:eastAsia="黑体" w:cs="黑体"/>
          <w:b w:val="0"/>
          <w:bCs w:val="0"/>
          <w:smallCaps w:val="0"/>
          <w:spacing w:val="0"/>
          <w:sz w:val="28"/>
          <w:szCs w:val="28"/>
          <w:highlight w:val="none"/>
        </w:rPr>
        <w:instrText xml:space="preserve"> HYPERLINK \l _Toc2052 </w:instrText>
      </w:r>
      <w:r>
        <w:rPr>
          <w:rFonts w:hint="eastAsia" w:ascii="黑体" w:hAnsi="黑体" w:eastAsia="黑体" w:cs="黑体"/>
          <w:b w:val="0"/>
          <w:bCs w:val="0"/>
          <w:smallCaps w:val="0"/>
          <w:spacing w:val="0"/>
          <w:sz w:val="28"/>
          <w:szCs w:val="28"/>
          <w:highlight w:val="none"/>
        </w:rPr>
        <w:fldChar w:fldCharType="separate"/>
      </w:r>
      <w:r>
        <w:rPr>
          <w:rFonts w:hint="eastAsia" w:ascii="黑体" w:hAnsi="黑体" w:eastAsia="黑体" w:cs="黑体"/>
          <w:b w:val="0"/>
          <w:bCs w:val="0"/>
          <w:smallCaps w:val="0"/>
          <w:spacing w:val="0"/>
          <w:sz w:val="28"/>
          <w:szCs w:val="28"/>
          <w:lang w:val="en-US" w:eastAsia="zh-CN"/>
        </w:rPr>
        <w:t xml:space="preserve">第九章 </w:t>
      </w:r>
      <w:r>
        <w:rPr>
          <w:rFonts w:hint="eastAsia" w:ascii="黑体" w:hAnsi="黑体" w:eastAsia="黑体" w:cs="黑体"/>
          <w:b w:val="0"/>
          <w:bCs w:val="0"/>
          <w:smallCaps w:val="0"/>
          <w:spacing w:val="0"/>
          <w:sz w:val="28"/>
          <w:szCs w:val="28"/>
          <w:highlight w:val="none"/>
          <w:lang w:val="en-US" w:eastAsia="zh-CN"/>
        </w:rPr>
        <w:t>深入推进新型城镇化建设，推动城乡融合发展</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_Toc2052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- 61 -</w:t>
      </w:r>
      <w:r>
        <w:rPr>
          <w:rFonts w:hint="eastAsia" w:ascii="楷体_GB2312" w:hAnsi="楷体_GB2312" w:eastAsia="楷体_GB2312" w:cs="楷体_GB2312"/>
          <w:b w:val="0"/>
          <w:bCs w:val="0"/>
          <w:smallCaps w:val="0"/>
          <w:spacing w:val="0"/>
          <w:sz w:val="28"/>
          <w:szCs w:val="28"/>
        </w:rPr>
        <w:fldChar w:fldCharType="end"/>
      </w:r>
      <w:r>
        <w:rPr>
          <w:rFonts w:hint="eastAsia" w:ascii="黑体" w:hAnsi="黑体" w:eastAsia="黑体" w:cs="黑体"/>
          <w:b w:val="0"/>
          <w:bCs w:val="0"/>
          <w:smallCaps w:val="0"/>
          <w:spacing w:val="0"/>
          <w:sz w:val="28"/>
          <w:szCs w:val="28"/>
          <w:highlight w:val="none"/>
        </w:rPr>
        <w:fldChar w:fldCharType="end"/>
      </w:r>
    </w:p>
    <w:p w14:paraId="1D2D3F04">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_Toc3359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第一节 </w:t>
      </w:r>
      <w:r>
        <w:rPr>
          <w:rFonts w:hint="eastAsia" w:ascii="楷体_GB2312" w:hAnsi="楷体_GB2312" w:eastAsia="楷体_GB2312" w:cs="楷体_GB2312"/>
          <w:b w:val="0"/>
          <w:bCs w:val="0"/>
          <w:smallCaps w:val="0"/>
          <w:spacing w:val="0"/>
          <w:sz w:val="28"/>
          <w:szCs w:val="28"/>
          <w:highlight w:val="none"/>
          <w:lang w:val="en-US" w:eastAsia="zh-CN"/>
        </w:rPr>
        <w:t>优化国土空间体系</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_Toc3359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- 61 -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362F7AFC">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_Toc3588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第二节 </w:t>
      </w:r>
      <w:r>
        <w:rPr>
          <w:rFonts w:hint="eastAsia" w:ascii="楷体_GB2312" w:hAnsi="楷体_GB2312" w:eastAsia="楷体_GB2312" w:cs="楷体_GB2312"/>
          <w:b w:val="0"/>
          <w:bCs w:val="0"/>
          <w:smallCaps w:val="0"/>
          <w:spacing w:val="0"/>
          <w:sz w:val="28"/>
          <w:szCs w:val="28"/>
          <w:highlight w:val="none"/>
          <w:lang w:val="en-US" w:eastAsia="zh-CN"/>
        </w:rPr>
        <w:t>提升中心城市能级</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_Toc3588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- 63 -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32867BF0">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_Toc11624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第三节 </w:t>
      </w:r>
      <w:r>
        <w:rPr>
          <w:rFonts w:hint="eastAsia" w:ascii="楷体_GB2312" w:hAnsi="楷体_GB2312" w:eastAsia="楷体_GB2312" w:cs="楷体_GB2312"/>
          <w:b w:val="0"/>
          <w:bCs w:val="0"/>
          <w:smallCaps w:val="0"/>
          <w:spacing w:val="0"/>
          <w:sz w:val="28"/>
          <w:szCs w:val="28"/>
          <w:highlight w:val="none"/>
          <w:lang w:val="en-US" w:eastAsia="zh-CN"/>
        </w:rPr>
        <w:t>推动县域经济高质量发展</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_Toc11624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- 66 -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5CB0AAC0">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_Toc12536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第四节 </w:t>
      </w:r>
      <w:r>
        <w:rPr>
          <w:rFonts w:hint="eastAsia" w:ascii="楷体_GB2312" w:hAnsi="楷体_GB2312" w:eastAsia="楷体_GB2312" w:cs="楷体_GB2312"/>
          <w:b w:val="0"/>
          <w:bCs w:val="0"/>
          <w:smallCaps w:val="0"/>
          <w:spacing w:val="0"/>
          <w:sz w:val="28"/>
          <w:szCs w:val="28"/>
          <w:highlight w:val="none"/>
          <w:lang w:val="en-US" w:eastAsia="zh-CN"/>
        </w:rPr>
        <w:t>推动城乡融合发展</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_Toc12536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- 68 -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30B8A99B">
      <w:pPr>
        <w:pStyle w:val="13"/>
        <w:tabs>
          <w:tab w:val="right" w:leader="dot" w:pos="8306"/>
        </w:tabs>
        <w:rPr>
          <w:rFonts w:hint="eastAsia" w:ascii="Times New Roman" w:hAnsi="Times New Roman" w:eastAsia="楷体_GB2312" w:cs="Times New Roman"/>
          <w:b w:val="0"/>
          <w:bCs w:val="0"/>
          <w:smallCaps w:val="0"/>
          <w:spacing w:val="0"/>
          <w:sz w:val="28"/>
          <w:szCs w:val="28"/>
          <w:lang w:val="en-US" w:eastAsia="zh-CN"/>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_Toc26945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第五节 </w:t>
      </w:r>
      <w:r>
        <w:rPr>
          <w:rFonts w:hint="eastAsia" w:ascii="楷体_GB2312" w:hAnsi="楷体_GB2312" w:eastAsia="楷体_GB2312" w:cs="楷体_GB2312"/>
          <w:b w:val="0"/>
          <w:bCs w:val="0"/>
          <w:smallCaps w:val="0"/>
          <w:spacing w:val="0"/>
          <w:sz w:val="28"/>
          <w:szCs w:val="28"/>
          <w:highlight w:val="none"/>
          <w:lang w:val="en-US" w:eastAsia="zh-CN"/>
        </w:rPr>
        <w:t>构建现代化基础设施体系</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_Toc5469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xml:space="preserve">- </w:t>
      </w:r>
      <w:r>
        <w:rPr>
          <w:rFonts w:hint="eastAsia" w:ascii="楷体_GB2312" w:hAnsi="楷体_GB2312" w:eastAsia="楷体_GB2312" w:cs="楷体_GB2312"/>
          <w:b w:val="0"/>
          <w:bCs w:val="0"/>
          <w:smallCaps w:val="0"/>
          <w:spacing w:val="0"/>
          <w:sz w:val="28"/>
          <w:szCs w:val="28"/>
          <w:lang w:val="en-US" w:eastAsia="zh-CN"/>
        </w:rPr>
        <w:t>70</w:t>
      </w:r>
      <w:r>
        <w:rPr>
          <w:rFonts w:hint="eastAsia" w:ascii="楷体_GB2312" w:hAnsi="楷体_GB2312" w:eastAsia="楷体_GB2312" w:cs="楷体_GB2312"/>
          <w:b w:val="0"/>
          <w:bCs w:val="0"/>
          <w:smallCaps w:val="0"/>
          <w:spacing w:val="0"/>
          <w:sz w:val="28"/>
          <w:szCs w:val="28"/>
        </w:rPr>
        <w:t xml:space="preserve">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039B683A">
      <w:pPr>
        <w:pStyle w:val="20"/>
        <w:tabs>
          <w:tab w:val="right" w:leader="dot" w:pos="8306"/>
        </w:tabs>
        <w:rPr>
          <w:rFonts w:hint="default" w:ascii="Times New Roman" w:hAnsi="Times New Roman" w:cs="Times New Roman"/>
          <w:b w:val="0"/>
          <w:bCs w:val="0"/>
          <w:smallCaps w:val="0"/>
          <w:spacing w:val="0"/>
          <w:sz w:val="28"/>
          <w:szCs w:val="28"/>
        </w:rPr>
      </w:pPr>
      <w:r>
        <w:rPr>
          <w:rFonts w:hint="eastAsia" w:ascii="黑体" w:hAnsi="黑体" w:eastAsia="黑体" w:cs="黑体"/>
          <w:b w:val="0"/>
          <w:bCs w:val="0"/>
          <w:smallCaps w:val="0"/>
          <w:spacing w:val="0"/>
          <w:sz w:val="28"/>
          <w:szCs w:val="28"/>
          <w:highlight w:val="none"/>
        </w:rPr>
        <w:fldChar w:fldCharType="begin"/>
      </w:r>
      <w:r>
        <w:rPr>
          <w:rFonts w:hint="eastAsia" w:ascii="黑体" w:hAnsi="黑体" w:eastAsia="黑体" w:cs="黑体"/>
          <w:b w:val="0"/>
          <w:bCs w:val="0"/>
          <w:smallCaps w:val="0"/>
          <w:spacing w:val="0"/>
          <w:sz w:val="28"/>
          <w:szCs w:val="28"/>
          <w:highlight w:val="none"/>
        </w:rPr>
        <w:instrText xml:space="preserve"> HYPERLINK \l _Toc32486 </w:instrText>
      </w:r>
      <w:r>
        <w:rPr>
          <w:rFonts w:hint="eastAsia" w:ascii="黑体" w:hAnsi="黑体" w:eastAsia="黑体" w:cs="黑体"/>
          <w:b w:val="0"/>
          <w:bCs w:val="0"/>
          <w:smallCaps w:val="0"/>
          <w:spacing w:val="0"/>
          <w:sz w:val="28"/>
          <w:szCs w:val="28"/>
          <w:highlight w:val="none"/>
        </w:rPr>
        <w:fldChar w:fldCharType="separate"/>
      </w:r>
      <w:r>
        <w:rPr>
          <w:rFonts w:hint="eastAsia" w:ascii="黑体" w:hAnsi="黑体" w:eastAsia="黑体" w:cs="黑体"/>
          <w:b w:val="0"/>
          <w:bCs w:val="0"/>
          <w:smallCaps w:val="0"/>
          <w:spacing w:val="0"/>
          <w:sz w:val="28"/>
          <w:szCs w:val="28"/>
        </w:rPr>
        <w:t xml:space="preserve">第十章 </w:t>
      </w:r>
      <w:r>
        <w:rPr>
          <w:rFonts w:hint="eastAsia" w:ascii="黑体" w:hAnsi="黑体" w:eastAsia="黑体" w:cs="黑体"/>
          <w:b w:val="0"/>
          <w:bCs w:val="0"/>
          <w:smallCaps w:val="0"/>
          <w:spacing w:val="0"/>
          <w:sz w:val="28"/>
          <w:szCs w:val="28"/>
          <w:highlight w:val="none"/>
          <w:lang w:eastAsia="zh-CN"/>
        </w:rPr>
        <w:t>推进乡村全面振兴，建设</w:t>
      </w:r>
      <w:r>
        <w:rPr>
          <w:rFonts w:hint="eastAsia" w:ascii="黑体" w:hAnsi="黑体" w:eastAsia="黑体" w:cs="黑体"/>
          <w:b w:val="0"/>
          <w:bCs w:val="0"/>
          <w:smallCaps w:val="0"/>
          <w:spacing w:val="0"/>
          <w:sz w:val="28"/>
          <w:szCs w:val="28"/>
          <w:highlight w:val="none"/>
          <w:lang w:val="en-US" w:eastAsia="zh-CN"/>
        </w:rPr>
        <w:t>现代化</w:t>
      </w:r>
      <w:r>
        <w:rPr>
          <w:rFonts w:hint="eastAsia" w:ascii="黑体" w:hAnsi="黑体" w:eastAsia="黑体" w:cs="黑体"/>
          <w:b w:val="0"/>
          <w:bCs w:val="0"/>
          <w:smallCaps w:val="0"/>
          <w:spacing w:val="0"/>
          <w:sz w:val="28"/>
          <w:szCs w:val="28"/>
          <w:highlight w:val="none"/>
          <w:lang w:eastAsia="zh-CN"/>
        </w:rPr>
        <w:t>新农村新牧区</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_Toc32486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- 73 -</w:t>
      </w:r>
      <w:r>
        <w:rPr>
          <w:rFonts w:hint="eastAsia" w:ascii="楷体_GB2312" w:hAnsi="楷体_GB2312" w:eastAsia="楷体_GB2312" w:cs="楷体_GB2312"/>
          <w:b w:val="0"/>
          <w:bCs w:val="0"/>
          <w:smallCaps w:val="0"/>
          <w:spacing w:val="0"/>
          <w:sz w:val="28"/>
          <w:szCs w:val="28"/>
        </w:rPr>
        <w:fldChar w:fldCharType="end"/>
      </w:r>
      <w:r>
        <w:rPr>
          <w:rFonts w:hint="eastAsia" w:ascii="黑体" w:hAnsi="黑体" w:eastAsia="黑体" w:cs="黑体"/>
          <w:b w:val="0"/>
          <w:bCs w:val="0"/>
          <w:smallCaps w:val="0"/>
          <w:spacing w:val="0"/>
          <w:sz w:val="28"/>
          <w:szCs w:val="28"/>
          <w:highlight w:val="none"/>
        </w:rPr>
        <w:fldChar w:fldCharType="end"/>
      </w:r>
    </w:p>
    <w:p w14:paraId="4EC5A6A2">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_Toc11305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第一节 </w:t>
      </w:r>
      <w:r>
        <w:rPr>
          <w:rFonts w:hint="eastAsia" w:ascii="楷体_GB2312" w:hAnsi="楷体_GB2312" w:eastAsia="楷体_GB2312" w:cs="楷体_GB2312"/>
          <w:b w:val="0"/>
          <w:bCs w:val="0"/>
          <w:smallCaps w:val="0"/>
          <w:spacing w:val="0"/>
          <w:sz w:val="28"/>
          <w:szCs w:val="28"/>
          <w:highlight w:val="none"/>
          <w:lang w:val="en-US" w:eastAsia="zh-CN"/>
        </w:rPr>
        <w:t>建设宜居宜业和美乡村</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_Toc11305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- 73 -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453B0936">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_Toc7348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第二节 </w:t>
      </w:r>
      <w:r>
        <w:rPr>
          <w:rFonts w:hint="eastAsia" w:ascii="楷体_GB2312" w:hAnsi="楷体_GB2312" w:eastAsia="楷体_GB2312" w:cs="楷体_GB2312"/>
          <w:b w:val="0"/>
          <w:bCs w:val="0"/>
          <w:smallCaps w:val="0"/>
          <w:spacing w:val="0"/>
          <w:sz w:val="28"/>
          <w:szCs w:val="28"/>
          <w:highlight w:val="none"/>
          <w:lang w:val="en-US" w:eastAsia="zh-CN"/>
        </w:rPr>
        <w:t>激发农村牧区内生发展动力</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_Toc7348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- 75 -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2BE9B6D8">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_Toc22856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第三节 </w:t>
      </w:r>
      <w:r>
        <w:rPr>
          <w:rFonts w:hint="eastAsia" w:ascii="楷体_GB2312" w:hAnsi="楷体_GB2312" w:eastAsia="楷体_GB2312" w:cs="楷体_GB2312"/>
          <w:b w:val="0"/>
          <w:bCs w:val="0"/>
          <w:smallCaps w:val="0"/>
          <w:spacing w:val="0"/>
          <w:sz w:val="28"/>
          <w:szCs w:val="28"/>
          <w:highlight w:val="none"/>
          <w:lang w:val="en-US" w:eastAsia="zh-CN"/>
        </w:rPr>
        <w:t>提高强农惠农富农政策效能</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_Toc22856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- 76 -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63FF8B35">
      <w:pPr>
        <w:pStyle w:val="13"/>
        <w:tabs>
          <w:tab w:val="right" w:leader="dot" w:pos="8306"/>
        </w:tabs>
        <w:rPr>
          <w:rFonts w:hint="default" w:ascii="Times New Roman" w:hAnsi="Times New Roman" w:cs="Times New Roman"/>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_Toc1605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第四节 </w:t>
      </w:r>
      <w:r>
        <w:rPr>
          <w:rFonts w:hint="eastAsia" w:ascii="楷体_GB2312" w:hAnsi="楷体_GB2312" w:eastAsia="楷体_GB2312" w:cs="楷体_GB2312"/>
          <w:b w:val="0"/>
          <w:bCs w:val="0"/>
          <w:smallCaps w:val="0"/>
          <w:spacing w:val="0"/>
          <w:sz w:val="28"/>
          <w:szCs w:val="28"/>
          <w:highlight w:val="none"/>
          <w:lang w:val="en-US" w:eastAsia="zh-CN"/>
        </w:rPr>
        <w:t>提升乡村治理效能</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_Toc1605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- 78 -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52AEA1DC">
      <w:pPr>
        <w:pStyle w:val="20"/>
        <w:tabs>
          <w:tab w:val="right" w:leader="dot" w:pos="8306"/>
        </w:tabs>
        <w:rPr>
          <w:rFonts w:hint="eastAsia" w:ascii="Times New Roman" w:hAnsi="Times New Roman" w:eastAsia="黑体" w:cs="Times New Roman"/>
          <w:b w:val="0"/>
          <w:bCs w:val="0"/>
          <w:smallCaps w:val="0"/>
          <w:spacing w:val="0"/>
          <w:sz w:val="28"/>
          <w:szCs w:val="28"/>
          <w:lang w:val="en-US" w:eastAsia="zh-CN"/>
        </w:rPr>
      </w:pPr>
      <w:r>
        <w:rPr>
          <w:rFonts w:hint="eastAsia" w:ascii="黑体" w:hAnsi="黑体" w:eastAsia="黑体" w:cs="黑体"/>
          <w:b w:val="0"/>
          <w:bCs w:val="0"/>
          <w:smallCaps w:val="0"/>
          <w:spacing w:val="0"/>
          <w:sz w:val="28"/>
          <w:szCs w:val="28"/>
          <w:highlight w:val="none"/>
        </w:rPr>
        <w:fldChar w:fldCharType="begin"/>
      </w:r>
      <w:r>
        <w:rPr>
          <w:rFonts w:hint="eastAsia" w:ascii="黑体" w:hAnsi="黑体" w:eastAsia="黑体" w:cs="黑体"/>
          <w:b w:val="0"/>
          <w:bCs w:val="0"/>
          <w:smallCaps w:val="0"/>
          <w:spacing w:val="0"/>
          <w:sz w:val="28"/>
          <w:szCs w:val="28"/>
          <w:highlight w:val="none"/>
        </w:rPr>
        <w:instrText xml:space="preserve"> HYPERLINK \l _Toc14326 </w:instrText>
      </w:r>
      <w:r>
        <w:rPr>
          <w:rFonts w:hint="eastAsia" w:ascii="黑体" w:hAnsi="黑体" w:eastAsia="黑体" w:cs="黑体"/>
          <w:b w:val="0"/>
          <w:bCs w:val="0"/>
          <w:smallCaps w:val="0"/>
          <w:spacing w:val="0"/>
          <w:sz w:val="28"/>
          <w:szCs w:val="28"/>
          <w:highlight w:val="none"/>
        </w:rPr>
        <w:fldChar w:fldCharType="separate"/>
      </w:r>
      <w:r>
        <w:rPr>
          <w:rFonts w:hint="eastAsia" w:ascii="黑体" w:hAnsi="黑体" w:eastAsia="黑体" w:cs="黑体"/>
          <w:b w:val="0"/>
          <w:bCs w:val="0"/>
          <w:smallCaps w:val="0"/>
          <w:spacing w:val="0"/>
          <w:sz w:val="28"/>
          <w:szCs w:val="28"/>
          <w:lang w:val="en-US" w:eastAsia="zh-CN"/>
        </w:rPr>
        <w:t xml:space="preserve">第十一章 </w:t>
      </w:r>
      <w:r>
        <w:rPr>
          <w:rFonts w:hint="eastAsia" w:ascii="黑体" w:hAnsi="黑体" w:eastAsia="黑体" w:cs="黑体"/>
          <w:b w:val="0"/>
          <w:bCs w:val="0"/>
          <w:smallCaps w:val="0"/>
          <w:spacing w:val="0"/>
          <w:sz w:val="28"/>
          <w:szCs w:val="28"/>
          <w:highlight w:val="none"/>
          <w:lang w:val="en-US" w:eastAsia="zh-CN"/>
        </w:rPr>
        <w:t>扩大高水平开放，全面融入新发展格局</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_Toc5469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xml:space="preserve">- </w:t>
      </w:r>
      <w:r>
        <w:rPr>
          <w:rFonts w:hint="eastAsia" w:ascii="楷体_GB2312" w:hAnsi="楷体_GB2312" w:eastAsia="楷体_GB2312" w:cs="楷体_GB2312"/>
          <w:b w:val="0"/>
          <w:bCs w:val="0"/>
          <w:smallCaps w:val="0"/>
          <w:spacing w:val="0"/>
          <w:sz w:val="28"/>
          <w:szCs w:val="28"/>
          <w:lang w:val="en-US" w:eastAsia="zh-CN"/>
        </w:rPr>
        <w:t>79</w:t>
      </w:r>
      <w:r>
        <w:rPr>
          <w:rFonts w:hint="eastAsia" w:ascii="楷体_GB2312" w:hAnsi="楷体_GB2312" w:eastAsia="楷体_GB2312" w:cs="楷体_GB2312"/>
          <w:b w:val="0"/>
          <w:bCs w:val="0"/>
          <w:smallCaps w:val="0"/>
          <w:spacing w:val="0"/>
          <w:sz w:val="28"/>
          <w:szCs w:val="28"/>
        </w:rPr>
        <w:t xml:space="preserve"> -</w:t>
      </w:r>
      <w:r>
        <w:rPr>
          <w:rFonts w:hint="eastAsia" w:ascii="楷体_GB2312" w:hAnsi="楷体_GB2312" w:eastAsia="楷体_GB2312" w:cs="楷体_GB2312"/>
          <w:b w:val="0"/>
          <w:bCs w:val="0"/>
          <w:smallCaps w:val="0"/>
          <w:spacing w:val="0"/>
          <w:sz w:val="28"/>
          <w:szCs w:val="28"/>
        </w:rPr>
        <w:fldChar w:fldCharType="end"/>
      </w:r>
      <w:r>
        <w:rPr>
          <w:rFonts w:hint="eastAsia" w:ascii="黑体" w:hAnsi="黑体" w:eastAsia="黑体" w:cs="黑体"/>
          <w:b w:val="0"/>
          <w:bCs w:val="0"/>
          <w:smallCaps w:val="0"/>
          <w:spacing w:val="0"/>
          <w:sz w:val="28"/>
          <w:szCs w:val="28"/>
          <w:highlight w:val="none"/>
        </w:rPr>
        <w:fldChar w:fldCharType="end"/>
      </w:r>
    </w:p>
    <w:p w14:paraId="3D76347B">
      <w:pPr>
        <w:pStyle w:val="13"/>
        <w:tabs>
          <w:tab w:val="right" w:leader="dot" w:pos="8306"/>
        </w:tabs>
        <w:rPr>
          <w:rFonts w:hint="eastAsia" w:ascii="楷体_GB2312" w:hAnsi="楷体_GB2312" w:eastAsia="楷体_GB2312" w:cs="楷体_GB2312"/>
          <w:b w:val="0"/>
          <w:bCs w:val="0"/>
          <w:smallCaps w:val="0"/>
          <w:spacing w:val="0"/>
          <w:sz w:val="28"/>
          <w:szCs w:val="28"/>
          <w:lang w:val="en-US" w:eastAsia="zh-CN"/>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_Toc31243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第一节 </w:t>
      </w:r>
      <w:r>
        <w:rPr>
          <w:rFonts w:hint="eastAsia" w:ascii="楷体_GB2312" w:hAnsi="楷体_GB2312" w:eastAsia="楷体_GB2312" w:cs="楷体_GB2312"/>
          <w:b w:val="0"/>
          <w:bCs w:val="0"/>
          <w:smallCaps w:val="0"/>
          <w:spacing w:val="0"/>
          <w:sz w:val="28"/>
          <w:szCs w:val="28"/>
          <w:highlight w:val="none"/>
          <w:lang w:val="en-US" w:eastAsia="zh-CN"/>
        </w:rPr>
        <w:t>积极扩大有效投资</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_Toc5469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xml:space="preserve">- </w:t>
      </w:r>
      <w:r>
        <w:rPr>
          <w:rFonts w:hint="eastAsia" w:ascii="楷体_GB2312" w:hAnsi="楷体_GB2312" w:eastAsia="楷体_GB2312" w:cs="楷体_GB2312"/>
          <w:b w:val="0"/>
          <w:bCs w:val="0"/>
          <w:smallCaps w:val="0"/>
          <w:spacing w:val="0"/>
          <w:sz w:val="28"/>
          <w:szCs w:val="28"/>
          <w:lang w:val="en-US" w:eastAsia="zh-CN"/>
        </w:rPr>
        <w:t>79</w:t>
      </w:r>
      <w:r>
        <w:rPr>
          <w:rFonts w:hint="eastAsia" w:ascii="楷体_GB2312" w:hAnsi="楷体_GB2312" w:eastAsia="楷体_GB2312" w:cs="楷体_GB2312"/>
          <w:b w:val="0"/>
          <w:bCs w:val="0"/>
          <w:smallCaps w:val="0"/>
          <w:spacing w:val="0"/>
          <w:sz w:val="28"/>
          <w:szCs w:val="28"/>
        </w:rPr>
        <w:t xml:space="preserve">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667F85F7">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_Toc19393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第二节 </w:t>
      </w:r>
      <w:r>
        <w:rPr>
          <w:rFonts w:hint="eastAsia" w:ascii="楷体_GB2312" w:hAnsi="楷体_GB2312" w:eastAsia="楷体_GB2312" w:cs="楷体_GB2312"/>
          <w:b w:val="0"/>
          <w:bCs w:val="0"/>
          <w:smallCaps w:val="0"/>
          <w:spacing w:val="0"/>
          <w:sz w:val="28"/>
          <w:szCs w:val="28"/>
          <w:highlight w:val="none"/>
          <w:lang w:val="en-US" w:eastAsia="zh-CN"/>
        </w:rPr>
        <w:t>促进消费扩容提质</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_Toc19393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- 81 -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25F54493">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_Toc30316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第三节 </w:t>
      </w:r>
      <w:r>
        <w:rPr>
          <w:rFonts w:hint="eastAsia" w:ascii="楷体_GB2312" w:hAnsi="楷体_GB2312" w:eastAsia="楷体_GB2312" w:cs="楷体_GB2312"/>
          <w:b w:val="0"/>
          <w:bCs w:val="0"/>
          <w:smallCaps w:val="0"/>
          <w:spacing w:val="0"/>
          <w:sz w:val="28"/>
          <w:szCs w:val="28"/>
          <w:highlight w:val="none"/>
          <w:lang w:val="en-US" w:eastAsia="zh-CN"/>
        </w:rPr>
        <w:t>深入推进向北开放与向海图强</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_Toc30316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- 83 -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50FBCBCC">
      <w:pPr>
        <w:pStyle w:val="13"/>
        <w:tabs>
          <w:tab w:val="right" w:leader="dot" w:pos="8306"/>
        </w:tabs>
        <w:rPr>
          <w:rFonts w:hint="default" w:ascii="Times New Roman" w:hAnsi="Times New Roman" w:cs="Times New Roman"/>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_Toc8179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第四节 </w:t>
      </w:r>
      <w:r>
        <w:rPr>
          <w:rFonts w:hint="eastAsia" w:ascii="楷体_GB2312" w:hAnsi="楷体_GB2312" w:eastAsia="楷体_GB2312" w:cs="楷体_GB2312"/>
          <w:b w:val="0"/>
          <w:bCs w:val="0"/>
          <w:smallCaps w:val="0"/>
          <w:spacing w:val="0"/>
          <w:sz w:val="28"/>
          <w:szCs w:val="28"/>
          <w:highlight w:val="none"/>
          <w:lang w:val="en-US" w:eastAsia="zh-CN"/>
        </w:rPr>
        <w:t>持续深化区域合作与协调发展</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_Toc8179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- 85 -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1F4E6D06">
      <w:pPr>
        <w:pStyle w:val="20"/>
        <w:tabs>
          <w:tab w:val="right" w:leader="dot" w:pos="8306"/>
        </w:tabs>
        <w:rPr>
          <w:rFonts w:hint="default" w:ascii="Times New Roman" w:hAnsi="Times New Roman" w:cs="Times New Roman"/>
          <w:b w:val="0"/>
          <w:bCs w:val="0"/>
          <w:smallCaps w:val="0"/>
          <w:spacing w:val="0"/>
          <w:sz w:val="28"/>
          <w:szCs w:val="28"/>
        </w:rPr>
      </w:pPr>
      <w:r>
        <w:rPr>
          <w:rFonts w:hint="eastAsia" w:ascii="黑体" w:hAnsi="黑体" w:eastAsia="黑体" w:cs="黑体"/>
          <w:b w:val="0"/>
          <w:bCs w:val="0"/>
          <w:smallCaps w:val="0"/>
          <w:spacing w:val="0"/>
          <w:sz w:val="28"/>
          <w:szCs w:val="28"/>
          <w:highlight w:val="none"/>
        </w:rPr>
        <w:fldChar w:fldCharType="begin"/>
      </w:r>
      <w:r>
        <w:rPr>
          <w:rFonts w:hint="eastAsia" w:ascii="黑体" w:hAnsi="黑体" w:eastAsia="黑体" w:cs="黑体"/>
          <w:b w:val="0"/>
          <w:bCs w:val="0"/>
          <w:smallCaps w:val="0"/>
          <w:spacing w:val="0"/>
          <w:sz w:val="28"/>
          <w:szCs w:val="28"/>
          <w:highlight w:val="none"/>
        </w:rPr>
        <w:instrText xml:space="preserve"> HYPERLINK \l _Toc19447 </w:instrText>
      </w:r>
      <w:r>
        <w:rPr>
          <w:rFonts w:hint="eastAsia" w:ascii="黑体" w:hAnsi="黑体" w:eastAsia="黑体" w:cs="黑体"/>
          <w:b w:val="0"/>
          <w:bCs w:val="0"/>
          <w:smallCaps w:val="0"/>
          <w:spacing w:val="0"/>
          <w:sz w:val="28"/>
          <w:szCs w:val="28"/>
          <w:highlight w:val="none"/>
        </w:rPr>
        <w:fldChar w:fldCharType="separate"/>
      </w:r>
      <w:r>
        <w:rPr>
          <w:rFonts w:hint="eastAsia" w:ascii="黑体" w:hAnsi="黑体" w:eastAsia="黑体" w:cs="黑体"/>
          <w:b w:val="0"/>
          <w:bCs w:val="0"/>
          <w:smallCaps w:val="0"/>
          <w:spacing w:val="0"/>
          <w:sz w:val="28"/>
          <w:szCs w:val="28"/>
          <w:lang w:eastAsia="zh-CN"/>
        </w:rPr>
        <w:t xml:space="preserve">第十二章 </w:t>
      </w:r>
      <w:r>
        <w:rPr>
          <w:rFonts w:hint="eastAsia" w:ascii="黑体" w:hAnsi="黑体" w:eastAsia="黑体" w:cs="黑体"/>
          <w:b w:val="0"/>
          <w:bCs w:val="0"/>
          <w:smallCaps w:val="0"/>
          <w:spacing w:val="0"/>
          <w:sz w:val="28"/>
          <w:szCs w:val="28"/>
          <w:highlight w:val="none"/>
          <w:lang w:val="en-US" w:eastAsia="zh-CN"/>
        </w:rPr>
        <w:t>实施创新驱动发展战略</w:t>
      </w:r>
      <w:r>
        <w:rPr>
          <w:rFonts w:hint="eastAsia" w:ascii="黑体" w:hAnsi="黑体" w:eastAsia="黑体" w:cs="黑体"/>
          <w:b w:val="0"/>
          <w:bCs w:val="0"/>
          <w:smallCaps w:val="0"/>
          <w:spacing w:val="0"/>
          <w:sz w:val="28"/>
          <w:szCs w:val="28"/>
          <w:highlight w:val="none"/>
          <w:lang w:eastAsia="zh-CN"/>
        </w:rPr>
        <w:t>，</w:t>
      </w:r>
      <w:r>
        <w:rPr>
          <w:rFonts w:hint="eastAsia" w:ascii="黑体" w:hAnsi="黑体" w:eastAsia="黑体" w:cs="黑体"/>
          <w:b w:val="0"/>
          <w:bCs w:val="0"/>
          <w:smallCaps w:val="0"/>
          <w:spacing w:val="0"/>
          <w:sz w:val="28"/>
          <w:szCs w:val="28"/>
          <w:highlight w:val="none"/>
          <w:lang w:val="en-US" w:eastAsia="zh-CN"/>
        </w:rPr>
        <w:t>因地制宜发展新质生产力</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_Toc19447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- 86 -</w:t>
      </w:r>
      <w:r>
        <w:rPr>
          <w:rFonts w:hint="eastAsia" w:ascii="楷体_GB2312" w:hAnsi="楷体_GB2312" w:eastAsia="楷体_GB2312" w:cs="楷体_GB2312"/>
          <w:b w:val="0"/>
          <w:bCs w:val="0"/>
          <w:smallCaps w:val="0"/>
          <w:spacing w:val="0"/>
          <w:sz w:val="28"/>
          <w:szCs w:val="28"/>
        </w:rPr>
        <w:fldChar w:fldCharType="end"/>
      </w:r>
      <w:r>
        <w:rPr>
          <w:rFonts w:hint="eastAsia" w:ascii="黑体" w:hAnsi="黑体" w:eastAsia="黑体" w:cs="黑体"/>
          <w:b w:val="0"/>
          <w:bCs w:val="0"/>
          <w:smallCaps w:val="0"/>
          <w:spacing w:val="0"/>
          <w:sz w:val="28"/>
          <w:szCs w:val="28"/>
          <w:highlight w:val="none"/>
        </w:rPr>
        <w:fldChar w:fldCharType="end"/>
      </w:r>
    </w:p>
    <w:p w14:paraId="60A21735">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_Toc7824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第一节 </w:t>
      </w:r>
      <w:r>
        <w:rPr>
          <w:rFonts w:hint="eastAsia" w:ascii="楷体_GB2312" w:hAnsi="楷体_GB2312" w:eastAsia="楷体_GB2312" w:cs="楷体_GB2312"/>
          <w:b w:val="0"/>
          <w:bCs w:val="0"/>
          <w:smallCaps w:val="0"/>
          <w:spacing w:val="0"/>
          <w:sz w:val="28"/>
          <w:szCs w:val="28"/>
          <w:highlight w:val="none"/>
          <w:lang w:val="en-US" w:eastAsia="zh-CN"/>
        </w:rPr>
        <w:t>加强科技创新能力建设</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_Toc7824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- 86 -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08CB2426">
      <w:pPr>
        <w:pStyle w:val="13"/>
        <w:tabs>
          <w:tab w:val="right" w:leader="dot" w:pos="8306"/>
        </w:tabs>
        <w:rPr>
          <w:rFonts w:hint="eastAsia" w:ascii="Times New Roman" w:hAnsi="Times New Roman" w:eastAsia="楷体_GB2312" w:cs="Times New Roman"/>
          <w:b w:val="0"/>
          <w:bCs w:val="0"/>
          <w:smallCaps w:val="0"/>
          <w:spacing w:val="0"/>
          <w:sz w:val="28"/>
          <w:szCs w:val="28"/>
          <w:lang w:val="en-US" w:eastAsia="zh-CN"/>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_Toc29065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第二节 </w:t>
      </w:r>
      <w:r>
        <w:rPr>
          <w:rFonts w:hint="eastAsia" w:ascii="楷体_GB2312" w:hAnsi="楷体_GB2312" w:eastAsia="楷体_GB2312" w:cs="楷体_GB2312"/>
          <w:b w:val="0"/>
          <w:bCs w:val="0"/>
          <w:smallCaps w:val="0"/>
          <w:spacing w:val="0"/>
          <w:sz w:val="28"/>
          <w:szCs w:val="28"/>
          <w:highlight w:val="none"/>
          <w:lang w:val="en-US" w:eastAsia="zh-CN"/>
        </w:rPr>
        <w:t>一体推进教育科技人才发展</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_Toc5469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xml:space="preserve">- </w:t>
      </w:r>
      <w:r>
        <w:rPr>
          <w:rFonts w:hint="eastAsia" w:ascii="楷体_GB2312" w:hAnsi="楷体_GB2312" w:eastAsia="楷体_GB2312" w:cs="楷体_GB2312"/>
          <w:b w:val="0"/>
          <w:bCs w:val="0"/>
          <w:smallCaps w:val="0"/>
          <w:spacing w:val="0"/>
          <w:sz w:val="28"/>
          <w:szCs w:val="28"/>
          <w:lang w:val="en-US" w:eastAsia="zh-CN"/>
        </w:rPr>
        <w:t>89</w:t>
      </w:r>
      <w:r>
        <w:rPr>
          <w:rFonts w:hint="eastAsia" w:ascii="楷体_GB2312" w:hAnsi="楷体_GB2312" w:eastAsia="楷体_GB2312" w:cs="楷体_GB2312"/>
          <w:b w:val="0"/>
          <w:bCs w:val="0"/>
          <w:smallCaps w:val="0"/>
          <w:spacing w:val="0"/>
          <w:sz w:val="28"/>
          <w:szCs w:val="28"/>
        </w:rPr>
        <w:t xml:space="preserve">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0D38CD08">
      <w:pPr>
        <w:pStyle w:val="20"/>
        <w:tabs>
          <w:tab w:val="right" w:leader="dot" w:pos="8306"/>
        </w:tabs>
        <w:rPr>
          <w:rFonts w:hint="eastAsia" w:ascii="黑体" w:hAnsi="黑体" w:eastAsia="黑体" w:cs="黑体"/>
          <w:b w:val="0"/>
          <w:bCs w:val="0"/>
          <w:smallCaps w:val="0"/>
          <w:spacing w:val="0"/>
          <w:sz w:val="28"/>
          <w:szCs w:val="28"/>
          <w:highlight w:val="none"/>
        </w:rPr>
        <w:sectPr>
          <w:footerReference r:id="rId8" w:type="default"/>
          <w:footerReference r:id="rId9" w:type="even"/>
          <w:pgSz w:w="11906" w:h="16838"/>
          <w:pgMar w:top="1440" w:right="1800" w:bottom="1440" w:left="1800" w:header="851" w:footer="992" w:gutter="0"/>
          <w:pgNumType w:fmt="upperRoman"/>
          <w:cols w:space="720" w:num="1"/>
          <w:docGrid w:type="lines" w:linePitch="312" w:charSpace="0"/>
        </w:sectPr>
      </w:pPr>
    </w:p>
    <w:p w14:paraId="063FAB39">
      <w:pPr>
        <w:pStyle w:val="20"/>
        <w:tabs>
          <w:tab w:val="right" w:leader="dot" w:pos="8306"/>
        </w:tabs>
        <w:rPr>
          <w:rFonts w:hint="default" w:ascii="Times New Roman" w:hAnsi="Times New Roman" w:cs="Times New Roman"/>
          <w:b w:val="0"/>
          <w:bCs w:val="0"/>
          <w:smallCaps w:val="0"/>
          <w:spacing w:val="0"/>
          <w:sz w:val="28"/>
          <w:szCs w:val="28"/>
        </w:rPr>
      </w:pPr>
      <w:r>
        <w:rPr>
          <w:rFonts w:hint="eastAsia" w:ascii="黑体" w:hAnsi="黑体" w:eastAsia="黑体" w:cs="黑体"/>
          <w:b w:val="0"/>
          <w:bCs w:val="0"/>
          <w:smallCaps w:val="0"/>
          <w:spacing w:val="0"/>
          <w:sz w:val="28"/>
          <w:szCs w:val="28"/>
          <w:highlight w:val="none"/>
        </w:rPr>
        <w:fldChar w:fldCharType="begin"/>
      </w:r>
      <w:r>
        <w:rPr>
          <w:rFonts w:hint="eastAsia" w:ascii="黑体" w:hAnsi="黑体" w:eastAsia="黑体" w:cs="黑体"/>
          <w:b w:val="0"/>
          <w:bCs w:val="0"/>
          <w:smallCaps w:val="0"/>
          <w:spacing w:val="0"/>
          <w:sz w:val="28"/>
          <w:szCs w:val="28"/>
          <w:highlight w:val="none"/>
        </w:rPr>
        <w:instrText xml:space="preserve"> HYPERLINK \l _Toc27713 </w:instrText>
      </w:r>
      <w:r>
        <w:rPr>
          <w:rFonts w:hint="eastAsia" w:ascii="黑体" w:hAnsi="黑体" w:eastAsia="黑体" w:cs="黑体"/>
          <w:b w:val="0"/>
          <w:bCs w:val="0"/>
          <w:smallCaps w:val="0"/>
          <w:spacing w:val="0"/>
          <w:sz w:val="28"/>
          <w:szCs w:val="28"/>
          <w:highlight w:val="none"/>
        </w:rPr>
        <w:fldChar w:fldCharType="separate"/>
      </w:r>
      <w:r>
        <w:rPr>
          <w:rFonts w:hint="eastAsia" w:ascii="黑体" w:hAnsi="黑体" w:eastAsia="黑体" w:cs="黑体"/>
          <w:b w:val="0"/>
          <w:bCs w:val="0"/>
          <w:smallCaps w:val="0"/>
          <w:spacing w:val="0"/>
          <w:sz w:val="28"/>
          <w:szCs w:val="28"/>
          <w:lang w:eastAsia="zh-CN"/>
        </w:rPr>
        <w:t xml:space="preserve">第十三章 </w:t>
      </w:r>
      <w:r>
        <w:rPr>
          <w:rFonts w:hint="eastAsia" w:ascii="黑体" w:hAnsi="黑体" w:eastAsia="黑体" w:cs="黑体"/>
          <w:b w:val="0"/>
          <w:bCs w:val="0"/>
          <w:smallCaps w:val="0"/>
          <w:spacing w:val="0"/>
          <w:sz w:val="28"/>
          <w:szCs w:val="28"/>
          <w:highlight w:val="none"/>
          <w:lang w:val="en-US" w:eastAsia="zh-CN"/>
        </w:rPr>
        <w:t>深化</w:t>
      </w:r>
      <w:r>
        <w:rPr>
          <w:rFonts w:hint="eastAsia" w:ascii="黑体" w:hAnsi="黑体" w:eastAsia="黑体" w:cs="黑体"/>
          <w:b w:val="0"/>
          <w:bCs w:val="0"/>
          <w:smallCaps w:val="0"/>
          <w:spacing w:val="0"/>
          <w:sz w:val="28"/>
          <w:szCs w:val="28"/>
          <w:highlight w:val="none"/>
          <w:lang w:eastAsia="zh-CN"/>
        </w:rPr>
        <w:t>重点领域改革，</w:t>
      </w:r>
      <w:r>
        <w:rPr>
          <w:rFonts w:hint="eastAsia" w:ascii="黑体" w:hAnsi="黑体" w:eastAsia="黑体" w:cs="黑体"/>
          <w:b w:val="0"/>
          <w:bCs w:val="0"/>
          <w:smallCaps w:val="0"/>
          <w:spacing w:val="0"/>
          <w:sz w:val="28"/>
          <w:szCs w:val="28"/>
          <w:highlight w:val="none"/>
          <w:lang w:val="en-US" w:eastAsia="zh-CN"/>
        </w:rPr>
        <w:t>激发发展</w:t>
      </w:r>
      <w:r>
        <w:rPr>
          <w:rFonts w:hint="eastAsia" w:ascii="黑体" w:hAnsi="黑体" w:eastAsia="黑体" w:cs="黑体"/>
          <w:b w:val="0"/>
          <w:bCs w:val="0"/>
          <w:smallCaps w:val="0"/>
          <w:spacing w:val="0"/>
          <w:sz w:val="28"/>
          <w:szCs w:val="28"/>
          <w:highlight w:val="none"/>
          <w:lang w:eastAsia="zh-CN"/>
        </w:rPr>
        <w:t>内生动力</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_Toc27713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- 91 -</w:t>
      </w:r>
      <w:r>
        <w:rPr>
          <w:rFonts w:hint="eastAsia" w:ascii="楷体_GB2312" w:hAnsi="楷体_GB2312" w:eastAsia="楷体_GB2312" w:cs="楷体_GB2312"/>
          <w:b w:val="0"/>
          <w:bCs w:val="0"/>
          <w:smallCaps w:val="0"/>
          <w:spacing w:val="0"/>
          <w:sz w:val="28"/>
          <w:szCs w:val="28"/>
        </w:rPr>
        <w:fldChar w:fldCharType="end"/>
      </w:r>
      <w:r>
        <w:rPr>
          <w:rFonts w:hint="eastAsia" w:ascii="黑体" w:hAnsi="黑体" w:eastAsia="黑体" w:cs="黑体"/>
          <w:b w:val="0"/>
          <w:bCs w:val="0"/>
          <w:smallCaps w:val="0"/>
          <w:spacing w:val="0"/>
          <w:sz w:val="28"/>
          <w:szCs w:val="28"/>
          <w:highlight w:val="none"/>
        </w:rPr>
        <w:fldChar w:fldCharType="end"/>
      </w:r>
    </w:p>
    <w:p w14:paraId="22D8D141">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_Toc25951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第一节 </w:t>
      </w:r>
      <w:r>
        <w:rPr>
          <w:rFonts w:hint="eastAsia" w:ascii="楷体_GB2312" w:hAnsi="楷体_GB2312" w:eastAsia="楷体_GB2312" w:cs="楷体_GB2312"/>
          <w:b w:val="0"/>
          <w:bCs w:val="0"/>
          <w:smallCaps w:val="0"/>
          <w:spacing w:val="0"/>
          <w:sz w:val="28"/>
          <w:szCs w:val="28"/>
          <w:highlight w:val="none"/>
          <w:lang w:val="en-US" w:eastAsia="zh-CN"/>
        </w:rPr>
        <w:t>完善要素市场化配置体制机制</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_Toc25951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- 91 -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1F9D3F00">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_Toc12707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第二节 </w:t>
      </w:r>
      <w:r>
        <w:rPr>
          <w:rFonts w:hint="eastAsia" w:ascii="楷体_GB2312" w:hAnsi="楷体_GB2312" w:eastAsia="楷体_GB2312" w:cs="楷体_GB2312"/>
          <w:b w:val="0"/>
          <w:bCs w:val="0"/>
          <w:smallCaps w:val="0"/>
          <w:spacing w:val="0"/>
          <w:sz w:val="28"/>
          <w:szCs w:val="28"/>
          <w:highlight w:val="none"/>
          <w:lang w:val="en-US" w:eastAsia="zh-CN"/>
        </w:rPr>
        <w:t>激发各类经营主体活力</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_Toc12707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- 93 -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55C43D67">
      <w:pPr>
        <w:pStyle w:val="13"/>
        <w:tabs>
          <w:tab w:val="right" w:leader="dot" w:pos="8306"/>
        </w:tabs>
        <w:rPr>
          <w:rFonts w:hint="default" w:ascii="Times New Roman" w:hAnsi="Times New Roman" w:cs="Times New Roman"/>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_Toc2991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第三节 </w:t>
      </w:r>
      <w:r>
        <w:rPr>
          <w:rFonts w:hint="eastAsia" w:ascii="楷体_GB2312" w:hAnsi="楷体_GB2312" w:eastAsia="楷体_GB2312" w:cs="楷体_GB2312"/>
          <w:b w:val="0"/>
          <w:bCs w:val="0"/>
          <w:smallCaps w:val="0"/>
          <w:spacing w:val="0"/>
          <w:sz w:val="28"/>
          <w:szCs w:val="28"/>
          <w:highlight w:val="none"/>
          <w:lang w:val="en-US" w:eastAsia="zh-CN"/>
        </w:rPr>
        <w:t>打造市场化法治化国际化营商环境</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_Toc2991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- 94 -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1FD10B4B">
      <w:pPr>
        <w:pStyle w:val="20"/>
        <w:tabs>
          <w:tab w:val="right" w:leader="dot" w:pos="8306"/>
        </w:tabs>
        <w:rPr>
          <w:rFonts w:hint="default" w:ascii="Times New Roman" w:hAnsi="Times New Roman" w:cs="Times New Roman"/>
          <w:b w:val="0"/>
          <w:bCs w:val="0"/>
          <w:smallCaps w:val="0"/>
          <w:spacing w:val="0"/>
          <w:sz w:val="28"/>
          <w:szCs w:val="28"/>
        </w:rPr>
      </w:pPr>
      <w:r>
        <w:rPr>
          <w:rFonts w:hint="eastAsia" w:ascii="黑体" w:hAnsi="黑体" w:eastAsia="黑体" w:cs="黑体"/>
          <w:b w:val="0"/>
          <w:bCs w:val="0"/>
          <w:smallCaps w:val="0"/>
          <w:spacing w:val="0"/>
          <w:sz w:val="28"/>
          <w:szCs w:val="28"/>
          <w:highlight w:val="none"/>
        </w:rPr>
        <w:fldChar w:fldCharType="begin"/>
      </w:r>
      <w:r>
        <w:rPr>
          <w:rFonts w:hint="eastAsia" w:ascii="黑体" w:hAnsi="黑体" w:eastAsia="黑体" w:cs="黑体"/>
          <w:b w:val="0"/>
          <w:bCs w:val="0"/>
          <w:smallCaps w:val="0"/>
          <w:spacing w:val="0"/>
          <w:sz w:val="28"/>
          <w:szCs w:val="28"/>
          <w:highlight w:val="none"/>
        </w:rPr>
        <w:instrText xml:space="preserve"> HYPERLINK \l _Toc20468 </w:instrText>
      </w:r>
      <w:r>
        <w:rPr>
          <w:rFonts w:hint="eastAsia" w:ascii="黑体" w:hAnsi="黑体" w:eastAsia="黑体" w:cs="黑体"/>
          <w:b w:val="0"/>
          <w:bCs w:val="0"/>
          <w:smallCaps w:val="0"/>
          <w:spacing w:val="0"/>
          <w:sz w:val="28"/>
          <w:szCs w:val="28"/>
          <w:highlight w:val="none"/>
        </w:rPr>
        <w:fldChar w:fldCharType="separate"/>
      </w:r>
      <w:r>
        <w:rPr>
          <w:rFonts w:hint="eastAsia" w:ascii="黑体" w:hAnsi="黑体" w:eastAsia="黑体" w:cs="黑体"/>
          <w:b w:val="0"/>
          <w:bCs w:val="0"/>
          <w:smallCaps w:val="0"/>
          <w:spacing w:val="0"/>
          <w:sz w:val="28"/>
          <w:szCs w:val="28"/>
          <w:lang w:eastAsia="zh-CN"/>
        </w:rPr>
        <w:t xml:space="preserve">第十四章 </w:t>
      </w:r>
      <w:r>
        <w:rPr>
          <w:rFonts w:hint="eastAsia" w:ascii="黑体" w:hAnsi="黑体" w:eastAsia="黑体" w:cs="黑体"/>
          <w:b w:val="0"/>
          <w:bCs w:val="0"/>
          <w:smallCaps w:val="0"/>
          <w:spacing w:val="0"/>
          <w:sz w:val="28"/>
          <w:szCs w:val="28"/>
          <w:highlight w:val="none"/>
          <w:lang w:val="en-US" w:eastAsia="zh-CN"/>
        </w:rPr>
        <w:t>繁荣发展社会主义文化，建设文化强市</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_Toc20468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- 97 -</w:t>
      </w:r>
      <w:r>
        <w:rPr>
          <w:rFonts w:hint="eastAsia" w:ascii="楷体_GB2312" w:hAnsi="楷体_GB2312" w:eastAsia="楷体_GB2312" w:cs="楷体_GB2312"/>
          <w:b w:val="0"/>
          <w:bCs w:val="0"/>
          <w:smallCaps w:val="0"/>
          <w:spacing w:val="0"/>
          <w:sz w:val="28"/>
          <w:szCs w:val="28"/>
        </w:rPr>
        <w:fldChar w:fldCharType="end"/>
      </w:r>
      <w:r>
        <w:rPr>
          <w:rFonts w:hint="eastAsia" w:ascii="黑体" w:hAnsi="黑体" w:eastAsia="黑体" w:cs="黑体"/>
          <w:b w:val="0"/>
          <w:bCs w:val="0"/>
          <w:smallCaps w:val="0"/>
          <w:spacing w:val="0"/>
          <w:sz w:val="28"/>
          <w:szCs w:val="28"/>
          <w:highlight w:val="none"/>
        </w:rPr>
        <w:fldChar w:fldCharType="end"/>
      </w:r>
    </w:p>
    <w:p w14:paraId="4AA65D32">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_Toc7956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第一节 </w:t>
      </w:r>
      <w:r>
        <w:rPr>
          <w:rFonts w:hint="eastAsia" w:ascii="楷体_GB2312" w:hAnsi="楷体_GB2312" w:eastAsia="楷体_GB2312" w:cs="楷体_GB2312"/>
          <w:b w:val="0"/>
          <w:bCs w:val="0"/>
          <w:smallCaps w:val="0"/>
          <w:spacing w:val="0"/>
          <w:sz w:val="28"/>
          <w:szCs w:val="28"/>
          <w:highlight w:val="none"/>
          <w:lang w:val="en-US" w:eastAsia="zh-CN"/>
        </w:rPr>
        <w:t>弘扬和践行社会主义核心价值观</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_Toc7956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- 97 -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1EEF2BF9">
      <w:pPr>
        <w:pStyle w:val="13"/>
        <w:tabs>
          <w:tab w:val="right" w:leader="dot" w:pos="8306"/>
        </w:tabs>
        <w:rPr>
          <w:rFonts w:hint="eastAsia" w:ascii="楷体_GB2312" w:hAnsi="楷体_GB2312" w:eastAsia="楷体_GB2312" w:cs="楷体_GB2312"/>
          <w:b w:val="0"/>
          <w:bCs w:val="0"/>
          <w:smallCaps w:val="0"/>
          <w:spacing w:val="0"/>
          <w:sz w:val="28"/>
          <w:szCs w:val="28"/>
          <w:lang w:val="en-US" w:eastAsia="zh-CN"/>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_Toc25689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第二节 </w:t>
      </w:r>
      <w:r>
        <w:rPr>
          <w:rFonts w:hint="eastAsia" w:ascii="楷体_GB2312" w:hAnsi="楷体_GB2312" w:eastAsia="楷体_GB2312" w:cs="楷体_GB2312"/>
          <w:b w:val="0"/>
          <w:bCs w:val="0"/>
          <w:smallCaps w:val="0"/>
          <w:spacing w:val="0"/>
          <w:sz w:val="28"/>
          <w:szCs w:val="28"/>
          <w:highlight w:val="none"/>
          <w:lang w:val="en-US" w:eastAsia="zh-CN"/>
        </w:rPr>
        <w:t>保护传承弘扬中华优秀传统文化</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_Toc7956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- 9</w:t>
      </w:r>
      <w:r>
        <w:rPr>
          <w:rFonts w:hint="eastAsia" w:ascii="楷体_GB2312" w:hAnsi="楷体_GB2312" w:eastAsia="楷体_GB2312" w:cs="楷体_GB2312"/>
          <w:b w:val="0"/>
          <w:bCs w:val="0"/>
          <w:smallCaps w:val="0"/>
          <w:spacing w:val="0"/>
          <w:sz w:val="28"/>
          <w:szCs w:val="28"/>
          <w:lang w:val="en-US" w:eastAsia="zh-CN"/>
        </w:rPr>
        <w:t>8</w:t>
      </w:r>
      <w:r>
        <w:rPr>
          <w:rFonts w:hint="eastAsia" w:ascii="楷体_GB2312" w:hAnsi="楷体_GB2312" w:eastAsia="楷体_GB2312" w:cs="楷体_GB2312"/>
          <w:b w:val="0"/>
          <w:bCs w:val="0"/>
          <w:smallCaps w:val="0"/>
          <w:spacing w:val="0"/>
          <w:sz w:val="28"/>
          <w:szCs w:val="28"/>
        </w:rPr>
        <w:t xml:space="preserve">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0A280261">
      <w:pPr>
        <w:pStyle w:val="13"/>
        <w:tabs>
          <w:tab w:val="right" w:leader="dot" w:pos="8306"/>
        </w:tabs>
        <w:rPr>
          <w:rFonts w:hint="eastAsia" w:ascii="楷体_GB2312" w:hAnsi="楷体_GB2312" w:eastAsia="楷体_GB2312" w:cs="楷体_GB2312"/>
          <w:b w:val="0"/>
          <w:bCs w:val="0"/>
          <w:smallCaps w:val="0"/>
          <w:spacing w:val="0"/>
          <w:sz w:val="28"/>
          <w:szCs w:val="28"/>
          <w:lang w:val="en-US" w:eastAsia="zh-CN"/>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_Toc10576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第三节 </w:t>
      </w:r>
      <w:r>
        <w:rPr>
          <w:rFonts w:hint="eastAsia" w:ascii="楷体_GB2312" w:hAnsi="楷体_GB2312" w:eastAsia="楷体_GB2312" w:cs="楷体_GB2312"/>
          <w:b w:val="0"/>
          <w:bCs w:val="0"/>
          <w:smallCaps w:val="0"/>
          <w:spacing w:val="0"/>
          <w:sz w:val="28"/>
          <w:szCs w:val="28"/>
          <w:highlight w:val="none"/>
          <w:lang w:val="en-US" w:eastAsia="zh-CN"/>
        </w:rPr>
        <w:t>推动文化事业繁荣发展</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_Toc7956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xml:space="preserve">- </w:t>
      </w:r>
      <w:r>
        <w:rPr>
          <w:rFonts w:hint="eastAsia" w:ascii="楷体_GB2312" w:hAnsi="楷体_GB2312" w:eastAsia="楷体_GB2312" w:cs="楷体_GB2312"/>
          <w:b w:val="0"/>
          <w:bCs w:val="0"/>
          <w:smallCaps w:val="0"/>
          <w:spacing w:val="0"/>
          <w:sz w:val="28"/>
          <w:szCs w:val="28"/>
          <w:lang w:val="en-US" w:eastAsia="zh-CN"/>
        </w:rPr>
        <w:t>100</w:t>
      </w:r>
      <w:r>
        <w:rPr>
          <w:rFonts w:hint="eastAsia" w:ascii="楷体_GB2312" w:hAnsi="楷体_GB2312" w:eastAsia="楷体_GB2312" w:cs="楷体_GB2312"/>
          <w:b w:val="0"/>
          <w:bCs w:val="0"/>
          <w:smallCaps w:val="0"/>
          <w:spacing w:val="0"/>
          <w:sz w:val="28"/>
          <w:szCs w:val="28"/>
        </w:rPr>
        <w:t xml:space="preserve">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1B482BD4">
      <w:pPr>
        <w:pStyle w:val="13"/>
        <w:tabs>
          <w:tab w:val="right" w:leader="dot" w:pos="8306"/>
        </w:tabs>
        <w:rPr>
          <w:rFonts w:hint="default" w:ascii="Times New Roman" w:hAnsi="Times New Roman" w:cs="Times New Roman"/>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_Toc22024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第四节 </w:t>
      </w:r>
      <w:r>
        <w:rPr>
          <w:rFonts w:hint="eastAsia" w:ascii="楷体_GB2312" w:hAnsi="楷体_GB2312" w:eastAsia="楷体_GB2312" w:cs="楷体_GB2312"/>
          <w:b w:val="0"/>
          <w:bCs w:val="0"/>
          <w:smallCaps w:val="0"/>
          <w:spacing w:val="0"/>
          <w:sz w:val="28"/>
          <w:szCs w:val="28"/>
          <w:highlight w:val="none"/>
          <w:lang w:val="en-US" w:eastAsia="zh-CN"/>
        </w:rPr>
        <w:t>推进文化产业高质量发展</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_Toc22024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- 101 -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30CE5379">
      <w:pPr>
        <w:pStyle w:val="20"/>
        <w:tabs>
          <w:tab w:val="right" w:leader="dot" w:pos="8306"/>
        </w:tabs>
        <w:rPr>
          <w:rFonts w:hint="default" w:ascii="Times New Roman" w:hAnsi="Times New Roman" w:cs="Times New Roman"/>
          <w:b w:val="0"/>
          <w:bCs w:val="0"/>
          <w:smallCaps w:val="0"/>
          <w:spacing w:val="0"/>
          <w:sz w:val="28"/>
          <w:szCs w:val="28"/>
        </w:rPr>
      </w:pPr>
      <w:r>
        <w:rPr>
          <w:rFonts w:hint="eastAsia" w:ascii="黑体" w:hAnsi="黑体" w:eastAsia="黑体" w:cs="黑体"/>
          <w:b w:val="0"/>
          <w:bCs w:val="0"/>
          <w:smallCaps w:val="0"/>
          <w:spacing w:val="0"/>
          <w:sz w:val="28"/>
          <w:szCs w:val="28"/>
          <w:highlight w:val="none"/>
        </w:rPr>
        <w:fldChar w:fldCharType="begin"/>
      </w:r>
      <w:r>
        <w:rPr>
          <w:rFonts w:hint="eastAsia" w:ascii="黑体" w:hAnsi="黑体" w:eastAsia="黑体" w:cs="黑体"/>
          <w:b w:val="0"/>
          <w:bCs w:val="0"/>
          <w:smallCaps w:val="0"/>
          <w:spacing w:val="0"/>
          <w:sz w:val="28"/>
          <w:szCs w:val="28"/>
          <w:highlight w:val="none"/>
        </w:rPr>
        <w:instrText xml:space="preserve"> HYPERLINK \l _Toc28470 </w:instrText>
      </w:r>
      <w:r>
        <w:rPr>
          <w:rFonts w:hint="eastAsia" w:ascii="黑体" w:hAnsi="黑体" w:eastAsia="黑体" w:cs="黑体"/>
          <w:b w:val="0"/>
          <w:bCs w:val="0"/>
          <w:smallCaps w:val="0"/>
          <w:spacing w:val="0"/>
          <w:sz w:val="28"/>
          <w:szCs w:val="28"/>
          <w:highlight w:val="none"/>
        </w:rPr>
        <w:fldChar w:fldCharType="separate"/>
      </w:r>
      <w:r>
        <w:rPr>
          <w:rFonts w:hint="eastAsia" w:ascii="黑体" w:hAnsi="黑体" w:eastAsia="黑体" w:cs="黑体"/>
          <w:b w:val="0"/>
          <w:bCs w:val="0"/>
          <w:smallCaps w:val="0"/>
          <w:spacing w:val="0"/>
          <w:sz w:val="28"/>
          <w:szCs w:val="28"/>
          <w:lang w:eastAsia="zh-CN"/>
        </w:rPr>
        <w:t xml:space="preserve">第十五章 </w:t>
      </w:r>
      <w:r>
        <w:rPr>
          <w:rFonts w:hint="eastAsia" w:ascii="黑体" w:hAnsi="黑体" w:eastAsia="黑体" w:cs="黑体"/>
          <w:b w:val="0"/>
          <w:bCs w:val="0"/>
          <w:smallCaps w:val="0"/>
          <w:spacing w:val="0"/>
          <w:sz w:val="28"/>
          <w:szCs w:val="28"/>
          <w:highlight w:val="none"/>
          <w:lang w:eastAsia="zh-CN"/>
        </w:rPr>
        <w:t>统筹发展和安全，</w:t>
      </w:r>
      <w:r>
        <w:rPr>
          <w:rFonts w:hint="eastAsia" w:ascii="黑体" w:hAnsi="黑体" w:eastAsia="黑体" w:cs="黑体"/>
          <w:b w:val="0"/>
          <w:bCs w:val="0"/>
          <w:smallCaps w:val="0"/>
          <w:spacing w:val="0"/>
          <w:sz w:val="28"/>
          <w:szCs w:val="28"/>
          <w:highlight w:val="none"/>
          <w:lang w:val="en-US" w:eastAsia="zh-CN"/>
        </w:rPr>
        <w:t>建设更高水平平安赤峰</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_Toc28470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- 102 -</w:t>
      </w:r>
      <w:r>
        <w:rPr>
          <w:rFonts w:hint="eastAsia" w:ascii="楷体_GB2312" w:hAnsi="楷体_GB2312" w:eastAsia="楷体_GB2312" w:cs="楷体_GB2312"/>
          <w:b w:val="0"/>
          <w:bCs w:val="0"/>
          <w:smallCaps w:val="0"/>
          <w:spacing w:val="0"/>
          <w:sz w:val="28"/>
          <w:szCs w:val="28"/>
        </w:rPr>
        <w:fldChar w:fldCharType="end"/>
      </w:r>
      <w:r>
        <w:rPr>
          <w:rFonts w:hint="eastAsia" w:ascii="黑体" w:hAnsi="黑体" w:eastAsia="黑体" w:cs="黑体"/>
          <w:b w:val="0"/>
          <w:bCs w:val="0"/>
          <w:smallCaps w:val="0"/>
          <w:spacing w:val="0"/>
          <w:sz w:val="28"/>
          <w:szCs w:val="28"/>
          <w:highlight w:val="none"/>
        </w:rPr>
        <w:fldChar w:fldCharType="end"/>
      </w:r>
    </w:p>
    <w:p w14:paraId="36BFDF96">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_Toc20256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第一节 </w:t>
      </w:r>
      <w:r>
        <w:rPr>
          <w:rFonts w:hint="eastAsia" w:ascii="楷体_GB2312" w:hAnsi="楷体_GB2312" w:eastAsia="楷体_GB2312" w:cs="楷体_GB2312"/>
          <w:b w:val="0"/>
          <w:bCs w:val="0"/>
          <w:smallCaps w:val="0"/>
          <w:spacing w:val="0"/>
          <w:sz w:val="28"/>
          <w:szCs w:val="28"/>
          <w:highlight w:val="none"/>
          <w:lang w:val="en-US" w:eastAsia="zh-CN"/>
        </w:rPr>
        <w:t>坚决维护国家政治安全</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_Toc20256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- 102 -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4659CE5D">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_Toc15615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第二节 </w:t>
      </w:r>
      <w:r>
        <w:rPr>
          <w:rFonts w:hint="eastAsia" w:ascii="楷体_GB2312" w:hAnsi="楷体_GB2312" w:eastAsia="楷体_GB2312" w:cs="楷体_GB2312"/>
          <w:b w:val="0"/>
          <w:bCs w:val="0"/>
          <w:smallCaps w:val="0"/>
          <w:spacing w:val="0"/>
          <w:sz w:val="28"/>
          <w:szCs w:val="28"/>
          <w:highlight w:val="none"/>
          <w:lang w:val="en-US" w:eastAsia="zh-CN"/>
        </w:rPr>
        <w:t>抓好重点领域风险防控</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_Toc15615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- 103 -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4AE043BF">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_Toc26185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第三节 </w:t>
      </w:r>
      <w:r>
        <w:rPr>
          <w:rFonts w:hint="eastAsia" w:ascii="楷体_GB2312" w:hAnsi="楷体_GB2312" w:eastAsia="楷体_GB2312" w:cs="楷体_GB2312"/>
          <w:b w:val="0"/>
          <w:bCs w:val="0"/>
          <w:smallCaps w:val="0"/>
          <w:spacing w:val="0"/>
          <w:sz w:val="28"/>
          <w:szCs w:val="28"/>
          <w:highlight w:val="none"/>
          <w:lang w:val="en-US" w:eastAsia="zh-CN"/>
        </w:rPr>
        <w:t>加强公共安全体系建设</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_Toc26185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- 103 -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2C4E69EC">
      <w:pPr>
        <w:pStyle w:val="13"/>
        <w:tabs>
          <w:tab w:val="right" w:leader="dot" w:pos="8306"/>
        </w:tabs>
        <w:rPr>
          <w:rFonts w:hint="default" w:ascii="Times New Roman" w:hAnsi="Times New Roman" w:cs="Times New Roman"/>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_Toc7228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第四节 </w:t>
      </w:r>
      <w:r>
        <w:rPr>
          <w:rFonts w:hint="eastAsia" w:ascii="楷体_GB2312" w:hAnsi="楷体_GB2312" w:eastAsia="楷体_GB2312" w:cs="楷体_GB2312"/>
          <w:b w:val="0"/>
          <w:bCs w:val="0"/>
          <w:smallCaps w:val="0"/>
          <w:spacing w:val="0"/>
          <w:sz w:val="28"/>
          <w:szCs w:val="28"/>
          <w:highlight w:val="none"/>
          <w:lang w:val="en-US" w:eastAsia="zh-CN"/>
        </w:rPr>
        <w:t>健全完善社会治理体系</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_Toc7228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- 105 -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10AAA482">
      <w:pPr>
        <w:pStyle w:val="20"/>
        <w:tabs>
          <w:tab w:val="right" w:leader="dot" w:pos="8306"/>
        </w:tabs>
        <w:rPr>
          <w:rFonts w:hint="default" w:ascii="Times New Roman" w:hAnsi="Times New Roman" w:cs="Times New Roman"/>
          <w:b w:val="0"/>
          <w:bCs w:val="0"/>
          <w:smallCaps w:val="0"/>
          <w:spacing w:val="0"/>
          <w:sz w:val="28"/>
          <w:szCs w:val="28"/>
        </w:rPr>
      </w:pPr>
      <w:r>
        <w:rPr>
          <w:rFonts w:hint="eastAsia" w:ascii="黑体" w:hAnsi="黑体" w:eastAsia="黑体" w:cs="黑体"/>
          <w:b w:val="0"/>
          <w:bCs w:val="0"/>
          <w:smallCaps w:val="0"/>
          <w:spacing w:val="0"/>
          <w:sz w:val="28"/>
          <w:szCs w:val="28"/>
          <w:highlight w:val="none"/>
        </w:rPr>
        <w:fldChar w:fldCharType="begin"/>
      </w:r>
      <w:r>
        <w:rPr>
          <w:rFonts w:hint="eastAsia" w:ascii="黑体" w:hAnsi="黑体" w:eastAsia="黑体" w:cs="黑体"/>
          <w:b w:val="0"/>
          <w:bCs w:val="0"/>
          <w:smallCaps w:val="0"/>
          <w:spacing w:val="0"/>
          <w:sz w:val="28"/>
          <w:szCs w:val="28"/>
          <w:highlight w:val="none"/>
        </w:rPr>
        <w:instrText xml:space="preserve"> HYPERLINK \l _Toc12186 </w:instrText>
      </w:r>
      <w:r>
        <w:rPr>
          <w:rFonts w:hint="eastAsia" w:ascii="黑体" w:hAnsi="黑体" w:eastAsia="黑体" w:cs="黑体"/>
          <w:b w:val="0"/>
          <w:bCs w:val="0"/>
          <w:smallCaps w:val="0"/>
          <w:spacing w:val="0"/>
          <w:sz w:val="28"/>
          <w:szCs w:val="28"/>
          <w:highlight w:val="none"/>
        </w:rPr>
        <w:fldChar w:fldCharType="separate"/>
      </w:r>
      <w:r>
        <w:rPr>
          <w:rFonts w:hint="eastAsia" w:ascii="黑体" w:hAnsi="黑体" w:eastAsia="黑体" w:cs="黑体"/>
          <w:b w:val="0"/>
          <w:bCs w:val="0"/>
          <w:smallCaps w:val="0"/>
          <w:spacing w:val="0"/>
          <w:sz w:val="28"/>
          <w:szCs w:val="28"/>
          <w:lang w:eastAsia="zh-CN"/>
        </w:rPr>
        <w:t xml:space="preserve">第十六章 </w:t>
      </w:r>
      <w:r>
        <w:rPr>
          <w:rFonts w:hint="eastAsia" w:ascii="黑体" w:hAnsi="黑体" w:eastAsia="黑体" w:cs="黑体"/>
          <w:b w:val="0"/>
          <w:bCs w:val="0"/>
          <w:smallCaps w:val="0"/>
          <w:spacing w:val="0"/>
          <w:sz w:val="28"/>
          <w:szCs w:val="28"/>
          <w:highlight w:val="none"/>
          <w:lang w:val="en-US" w:eastAsia="zh-CN"/>
        </w:rPr>
        <w:t>切实保障和改善民生</w:t>
      </w:r>
      <w:r>
        <w:rPr>
          <w:rFonts w:hint="eastAsia" w:ascii="黑体" w:hAnsi="黑体" w:eastAsia="黑体" w:cs="黑体"/>
          <w:b w:val="0"/>
          <w:bCs w:val="0"/>
          <w:smallCaps w:val="0"/>
          <w:spacing w:val="0"/>
          <w:sz w:val="28"/>
          <w:szCs w:val="28"/>
          <w:highlight w:val="none"/>
          <w:lang w:eastAsia="zh-CN"/>
        </w:rPr>
        <w:t>，</w:t>
      </w:r>
      <w:r>
        <w:rPr>
          <w:rFonts w:hint="eastAsia" w:ascii="黑体" w:hAnsi="黑体" w:eastAsia="黑体" w:cs="黑体"/>
          <w:b w:val="0"/>
          <w:bCs w:val="0"/>
          <w:smallCaps w:val="0"/>
          <w:spacing w:val="0"/>
          <w:sz w:val="28"/>
          <w:szCs w:val="28"/>
          <w:highlight w:val="none"/>
          <w:lang w:val="en-US" w:eastAsia="zh-CN"/>
        </w:rPr>
        <w:t>扎实推进共同富裕</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_Toc12186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- 106 -</w:t>
      </w:r>
      <w:r>
        <w:rPr>
          <w:rFonts w:hint="eastAsia" w:ascii="楷体_GB2312" w:hAnsi="楷体_GB2312" w:eastAsia="楷体_GB2312" w:cs="楷体_GB2312"/>
          <w:b w:val="0"/>
          <w:bCs w:val="0"/>
          <w:smallCaps w:val="0"/>
          <w:spacing w:val="0"/>
          <w:sz w:val="28"/>
          <w:szCs w:val="28"/>
        </w:rPr>
        <w:fldChar w:fldCharType="end"/>
      </w:r>
      <w:r>
        <w:rPr>
          <w:rFonts w:hint="eastAsia" w:ascii="黑体" w:hAnsi="黑体" w:eastAsia="黑体" w:cs="黑体"/>
          <w:b w:val="0"/>
          <w:bCs w:val="0"/>
          <w:smallCaps w:val="0"/>
          <w:spacing w:val="0"/>
          <w:sz w:val="28"/>
          <w:szCs w:val="28"/>
          <w:highlight w:val="none"/>
        </w:rPr>
        <w:fldChar w:fldCharType="end"/>
      </w:r>
    </w:p>
    <w:p w14:paraId="3288C139">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_Toc13770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第一节 </w:t>
      </w:r>
      <w:r>
        <w:rPr>
          <w:rFonts w:hint="eastAsia" w:ascii="楷体_GB2312" w:hAnsi="楷体_GB2312" w:eastAsia="楷体_GB2312" w:cs="楷体_GB2312"/>
          <w:b w:val="0"/>
          <w:bCs w:val="0"/>
          <w:smallCaps w:val="0"/>
          <w:spacing w:val="0"/>
          <w:sz w:val="28"/>
          <w:szCs w:val="28"/>
          <w:highlight w:val="none"/>
          <w:lang w:val="en-US" w:eastAsia="zh-CN"/>
        </w:rPr>
        <w:t>促进高质量充分就业</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_Toc13770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- 107 -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5E85FD7C">
      <w:pPr>
        <w:pStyle w:val="13"/>
        <w:tabs>
          <w:tab w:val="right" w:leader="dot" w:pos="8306"/>
        </w:tabs>
        <w:rPr>
          <w:rFonts w:hint="eastAsia" w:ascii="楷体_GB2312" w:hAnsi="楷体_GB2312" w:eastAsia="楷体_GB2312" w:cs="楷体_GB2312"/>
          <w:b w:val="0"/>
          <w:bCs w:val="0"/>
          <w:smallCaps w:val="0"/>
          <w:spacing w:val="0"/>
          <w:sz w:val="28"/>
          <w:szCs w:val="28"/>
          <w:lang w:val="en-US" w:eastAsia="zh-CN"/>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_Toc651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第二节 </w:t>
      </w:r>
      <w:r>
        <w:rPr>
          <w:rFonts w:hint="eastAsia" w:ascii="楷体_GB2312" w:hAnsi="楷体_GB2312" w:eastAsia="楷体_GB2312" w:cs="楷体_GB2312"/>
          <w:b w:val="0"/>
          <w:bCs w:val="0"/>
          <w:smallCaps w:val="0"/>
          <w:spacing w:val="0"/>
          <w:sz w:val="28"/>
          <w:szCs w:val="28"/>
          <w:highlight w:val="none"/>
          <w:lang w:val="en-US" w:eastAsia="zh-CN"/>
        </w:rPr>
        <w:t>促进居民持续增收</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_Toc651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- 109 -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1BFD6084">
      <w:pPr>
        <w:pStyle w:val="13"/>
        <w:tabs>
          <w:tab w:val="right" w:leader="dot" w:pos="8306"/>
        </w:tabs>
        <w:rPr>
          <w:rFonts w:hint="eastAsia" w:ascii="楷体_GB2312" w:hAnsi="楷体_GB2312" w:eastAsia="楷体_GB2312" w:cs="楷体_GB2312"/>
          <w:b w:val="0"/>
          <w:bCs w:val="0"/>
          <w:smallCaps w:val="0"/>
          <w:spacing w:val="0"/>
          <w:sz w:val="28"/>
          <w:szCs w:val="28"/>
          <w:lang w:val="en-US" w:eastAsia="zh-CN"/>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_Toc24005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第三节 </w:t>
      </w:r>
      <w:r>
        <w:rPr>
          <w:rFonts w:hint="eastAsia" w:ascii="楷体_GB2312" w:hAnsi="楷体_GB2312" w:eastAsia="楷体_GB2312" w:cs="楷体_GB2312"/>
          <w:b w:val="0"/>
          <w:bCs w:val="0"/>
          <w:smallCaps w:val="0"/>
          <w:spacing w:val="0"/>
          <w:sz w:val="28"/>
          <w:szCs w:val="28"/>
          <w:highlight w:val="none"/>
          <w:lang w:val="en-US" w:eastAsia="zh-CN"/>
        </w:rPr>
        <w:t>着力建设教育强市</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_Toc24005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- 110 -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0352E8EC">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_Toc10578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第四节 </w:t>
      </w:r>
      <w:r>
        <w:rPr>
          <w:rFonts w:hint="eastAsia" w:ascii="楷体_GB2312" w:hAnsi="楷体_GB2312" w:eastAsia="楷体_GB2312" w:cs="楷体_GB2312"/>
          <w:b w:val="0"/>
          <w:bCs w:val="0"/>
          <w:smallCaps w:val="0"/>
          <w:spacing w:val="0"/>
          <w:sz w:val="28"/>
          <w:szCs w:val="28"/>
          <w:highlight w:val="none"/>
          <w:lang w:val="en-US" w:eastAsia="zh-CN"/>
        </w:rPr>
        <w:t>推进健康赤峰建设</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_Toc10578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- 113 -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75058ACA">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_Toc2541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第五节 </w:t>
      </w:r>
      <w:r>
        <w:rPr>
          <w:rFonts w:hint="eastAsia" w:ascii="楷体_GB2312" w:hAnsi="楷体_GB2312" w:eastAsia="楷体_GB2312" w:cs="楷体_GB2312"/>
          <w:b w:val="0"/>
          <w:bCs w:val="0"/>
          <w:smallCaps w:val="0"/>
          <w:spacing w:val="0"/>
          <w:sz w:val="28"/>
          <w:szCs w:val="28"/>
          <w:highlight w:val="none"/>
          <w:lang w:val="en-US" w:eastAsia="zh-CN"/>
        </w:rPr>
        <w:t>健全社会保障体系</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_Toc2541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- 116 -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70AFEE91">
      <w:pPr>
        <w:pStyle w:val="13"/>
        <w:tabs>
          <w:tab w:val="right" w:leader="dot" w:pos="8306"/>
        </w:tabs>
        <w:rPr>
          <w:rFonts w:hint="eastAsia" w:ascii="Times New Roman" w:hAnsi="Times New Roman" w:eastAsia="楷体_GB2312" w:cs="Times New Roman"/>
          <w:b w:val="0"/>
          <w:bCs w:val="0"/>
          <w:smallCaps w:val="0"/>
          <w:spacing w:val="0"/>
          <w:sz w:val="28"/>
          <w:szCs w:val="28"/>
          <w:lang w:val="en-US" w:eastAsia="zh-CN"/>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_Toc19845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第六节 </w:t>
      </w:r>
      <w:r>
        <w:rPr>
          <w:rFonts w:hint="eastAsia" w:ascii="楷体_GB2312" w:hAnsi="楷体_GB2312" w:eastAsia="楷体_GB2312" w:cs="楷体_GB2312"/>
          <w:b w:val="0"/>
          <w:bCs w:val="0"/>
          <w:smallCaps w:val="0"/>
          <w:spacing w:val="0"/>
          <w:sz w:val="28"/>
          <w:szCs w:val="28"/>
          <w:highlight w:val="none"/>
          <w:lang w:val="en-US" w:eastAsia="zh-CN"/>
        </w:rPr>
        <w:t>促进人口高质量发展</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_Toc19845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- 118 -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359C7586">
      <w:pPr>
        <w:pStyle w:val="17"/>
        <w:tabs>
          <w:tab w:val="right" w:leader="dot" w:pos="8306"/>
          <w:tab w:val="clear" w:pos="8296"/>
        </w:tabs>
        <w:rPr>
          <w:rFonts w:hint="eastAsia" w:ascii="Times New Roman" w:hAnsi="Times New Roman" w:eastAsia="方正小标宋简体" w:cs="Times New Roman"/>
          <w:b w:val="0"/>
          <w:bCs w:val="0"/>
          <w:smallCaps w:val="0"/>
          <w:spacing w:val="0"/>
          <w:sz w:val="28"/>
          <w:szCs w:val="28"/>
          <w:lang w:val="en-US" w:eastAsia="zh-CN"/>
        </w:rPr>
      </w:pPr>
      <w:r>
        <w:rPr>
          <w:rFonts w:hint="eastAsia" w:ascii="方正小标宋简体" w:hAnsi="方正小标宋简体" w:eastAsia="方正小标宋简体" w:cs="方正小标宋简体"/>
          <w:b w:val="0"/>
          <w:bCs w:val="0"/>
          <w:smallCaps w:val="0"/>
          <w:spacing w:val="0"/>
          <w:sz w:val="28"/>
          <w:szCs w:val="28"/>
          <w:highlight w:val="none"/>
        </w:rPr>
        <w:fldChar w:fldCharType="begin"/>
      </w:r>
      <w:r>
        <w:rPr>
          <w:rFonts w:hint="eastAsia" w:ascii="方正小标宋简体" w:hAnsi="方正小标宋简体" w:eastAsia="方正小标宋简体" w:cs="方正小标宋简体"/>
          <w:b w:val="0"/>
          <w:bCs w:val="0"/>
          <w:smallCaps w:val="0"/>
          <w:spacing w:val="0"/>
          <w:sz w:val="28"/>
          <w:szCs w:val="28"/>
          <w:highlight w:val="none"/>
        </w:rPr>
        <w:instrText xml:space="preserve"> HYPERLINK \l _Toc1263 </w:instrText>
      </w:r>
      <w:r>
        <w:rPr>
          <w:rFonts w:hint="eastAsia" w:ascii="方正小标宋简体" w:hAnsi="方正小标宋简体" w:eastAsia="方正小标宋简体" w:cs="方正小标宋简体"/>
          <w:b w:val="0"/>
          <w:bCs w:val="0"/>
          <w:smallCaps w:val="0"/>
          <w:spacing w:val="0"/>
          <w:sz w:val="28"/>
          <w:szCs w:val="28"/>
          <w:highlight w:val="none"/>
        </w:rPr>
        <w:fldChar w:fldCharType="separate"/>
      </w:r>
      <w:r>
        <w:rPr>
          <w:rFonts w:hint="eastAsia" w:ascii="方正小标宋简体" w:hAnsi="方正小标宋简体" w:eastAsia="方正小标宋简体" w:cs="方正小标宋简体"/>
          <w:b w:val="0"/>
          <w:bCs w:val="0"/>
          <w:smallCaps w:val="0"/>
          <w:spacing w:val="0"/>
          <w:sz w:val="28"/>
          <w:szCs w:val="28"/>
          <w:lang w:val="en-US" w:eastAsia="zh-CN"/>
        </w:rPr>
        <w:t xml:space="preserve">第四篇 </w:t>
      </w:r>
      <w:r>
        <w:rPr>
          <w:rFonts w:hint="eastAsia" w:ascii="方正小标宋简体" w:hAnsi="方正小标宋简体" w:eastAsia="方正小标宋简体" w:cs="方正小标宋简体"/>
          <w:b w:val="0"/>
          <w:bCs w:val="0"/>
          <w:smallCaps w:val="0"/>
          <w:spacing w:val="0"/>
          <w:sz w:val="28"/>
          <w:szCs w:val="28"/>
          <w:highlight w:val="none"/>
          <w:lang w:val="en-US" w:eastAsia="zh-CN"/>
        </w:rPr>
        <w:t>加强领导，强化中国式现代化赤峰实践组织保障</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_Toc1263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- 120 -</w:t>
      </w:r>
      <w:r>
        <w:rPr>
          <w:rFonts w:hint="eastAsia" w:ascii="楷体_GB2312" w:hAnsi="楷体_GB2312" w:eastAsia="楷体_GB2312" w:cs="楷体_GB2312"/>
          <w:b w:val="0"/>
          <w:bCs w:val="0"/>
          <w:smallCaps w:val="0"/>
          <w:spacing w:val="0"/>
          <w:sz w:val="28"/>
          <w:szCs w:val="28"/>
        </w:rPr>
        <w:fldChar w:fldCharType="end"/>
      </w:r>
      <w:r>
        <w:rPr>
          <w:rFonts w:hint="eastAsia" w:ascii="方正小标宋简体" w:hAnsi="方正小标宋简体" w:eastAsia="方正小标宋简体" w:cs="方正小标宋简体"/>
          <w:b w:val="0"/>
          <w:bCs w:val="0"/>
          <w:smallCaps w:val="0"/>
          <w:spacing w:val="0"/>
          <w:sz w:val="28"/>
          <w:szCs w:val="28"/>
          <w:highlight w:val="none"/>
        </w:rPr>
        <w:fldChar w:fldCharType="end"/>
      </w:r>
    </w:p>
    <w:p w14:paraId="753F845F">
      <w:pPr>
        <w:pStyle w:val="20"/>
        <w:tabs>
          <w:tab w:val="right" w:leader="dot" w:pos="8306"/>
        </w:tabs>
        <w:rPr>
          <w:rFonts w:hint="eastAsia" w:ascii="黑体" w:hAnsi="黑体" w:eastAsia="黑体" w:cs="黑体"/>
          <w:b w:val="0"/>
          <w:bCs w:val="0"/>
          <w:smallCaps w:val="0"/>
          <w:spacing w:val="0"/>
          <w:sz w:val="28"/>
          <w:szCs w:val="28"/>
          <w:highlight w:val="none"/>
        </w:rPr>
        <w:sectPr>
          <w:footerReference r:id="rId10" w:type="default"/>
          <w:footerReference r:id="rId11" w:type="even"/>
          <w:pgSz w:w="11906" w:h="16838"/>
          <w:pgMar w:top="1440" w:right="1800" w:bottom="1440" w:left="1800" w:header="851" w:footer="992" w:gutter="0"/>
          <w:pgNumType w:fmt="upperRoman"/>
          <w:cols w:space="720" w:num="1"/>
          <w:docGrid w:type="lines" w:linePitch="312" w:charSpace="0"/>
        </w:sectPr>
      </w:pPr>
    </w:p>
    <w:p w14:paraId="3AA5B93F">
      <w:pPr>
        <w:pStyle w:val="20"/>
        <w:tabs>
          <w:tab w:val="right" w:leader="dot" w:pos="8306"/>
        </w:tabs>
        <w:rPr>
          <w:rFonts w:hint="eastAsia" w:ascii="Times New Roman" w:hAnsi="Times New Roman" w:eastAsia="黑体" w:cs="Times New Roman"/>
          <w:b w:val="0"/>
          <w:bCs w:val="0"/>
          <w:smallCaps w:val="0"/>
          <w:spacing w:val="0"/>
          <w:sz w:val="28"/>
          <w:szCs w:val="28"/>
          <w:lang w:val="en-US" w:eastAsia="zh-CN"/>
        </w:rPr>
      </w:pPr>
      <w:r>
        <w:rPr>
          <w:rFonts w:hint="eastAsia" w:ascii="黑体" w:hAnsi="黑体" w:eastAsia="黑体" w:cs="黑体"/>
          <w:b w:val="0"/>
          <w:bCs w:val="0"/>
          <w:smallCaps w:val="0"/>
          <w:spacing w:val="0"/>
          <w:sz w:val="28"/>
          <w:szCs w:val="28"/>
          <w:highlight w:val="none"/>
        </w:rPr>
        <w:fldChar w:fldCharType="begin"/>
      </w:r>
      <w:r>
        <w:rPr>
          <w:rFonts w:hint="eastAsia" w:ascii="黑体" w:hAnsi="黑体" w:eastAsia="黑体" w:cs="黑体"/>
          <w:b w:val="0"/>
          <w:bCs w:val="0"/>
          <w:smallCaps w:val="0"/>
          <w:spacing w:val="0"/>
          <w:sz w:val="28"/>
          <w:szCs w:val="28"/>
          <w:highlight w:val="none"/>
        </w:rPr>
        <w:instrText xml:space="preserve"> HYPERLINK \l _Toc203 </w:instrText>
      </w:r>
      <w:r>
        <w:rPr>
          <w:rFonts w:hint="eastAsia" w:ascii="黑体" w:hAnsi="黑体" w:eastAsia="黑体" w:cs="黑体"/>
          <w:b w:val="0"/>
          <w:bCs w:val="0"/>
          <w:smallCaps w:val="0"/>
          <w:spacing w:val="0"/>
          <w:sz w:val="28"/>
          <w:szCs w:val="28"/>
          <w:highlight w:val="none"/>
        </w:rPr>
        <w:fldChar w:fldCharType="separate"/>
      </w:r>
      <w:r>
        <w:rPr>
          <w:rFonts w:hint="eastAsia" w:ascii="黑体" w:hAnsi="黑体" w:eastAsia="黑体" w:cs="黑体"/>
          <w:b w:val="0"/>
          <w:bCs w:val="0"/>
          <w:smallCaps w:val="0"/>
          <w:spacing w:val="0"/>
          <w:sz w:val="28"/>
          <w:szCs w:val="28"/>
          <w:lang w:val="en-US" w:eastAsia="zh-CN"/>
        </w:rPr>
        <w:t xml:space="preserve">第十七章 </w:t>
      </w:r>
      <w:r>
        <w:rPr>
          <w:rFonts w:hint="eastAsia" w:ascii="黑体" w:hAnsi="黑体" w:eastAsia="黑体" w:cs="黑体"/>
          <w:b w:val="0"/>
          <w:bCs w:val="0"/>
          <w:smallCaps w:val="0"/>
          <w:spacing w:val="0"/>
          <w:sz w:val="28"/>
          <w:szCs w:val="28"/>
          <w:highlight w:val="none"/>
          <w:lang w:val="en-US" w:eastAsia="zh-CN"/>
        </w:rPr>
        <w:t>加强党的全面领导和党的建设</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_Toc203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- 121 -</w:t>
      </w:r>
      <w:r>
        <w:rPr>
          <w:rFonts w:hint="eastAsia" w:ascii="楷体_GB2312" w:hAnsi="楷体_GB2312" w:eastAsia="楷体_GB2312" w:cs="楷体_GB2312"/>
          <w:b w:val="0"/>
          <w:bCs w:val="0"/>
          <w:smallCaps w:val="0"/>
          <w:spacing w:val="0"/>
          <w:sz w:val="28"/>
          <w:szCs w:val="28"/>
        </w:rPr>
        <w:fldChar w:fldCharType="end"/>
      </w:r>
      <w:r>
        <w:rPr>
          <w:rFonts w:hint="eastAsia" w:ascii="黑体" w:hAnsi="黑体" w:eastAsia="黑体" w:cs="黑体"/>
          <w:b w:val="0"/>
          <w:bCs w:val="0"/>
          <w:smallCaps w:val="0"/>
          <w:spacing w:val="0"/>
          <w:sz w:val="28"/>
          <w:szCs w:val="28"/>
          <w:highlight w:val="none"/>
        </w:rPr>
        <w:fldChar w:fldCharType="end"/>
      </w:r>
    </w:p>
    <w:p w14:paraId="69626651">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_Toc27871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第一节 </w:t>
      </w:r>
      <w:r>
        <w:rPr>
          <w:rFonts w:hint="eastAsia" w:ascii="楷体_GB2312" w:hAnsi="楷体_GB2312" w:eastAsia="楷体_GB2312" w:cs="楷体_GB2312"/>
          <w:b w:val="0"/>
          <w:bCs w:val="0"/>
          <w:smallCaps w:val="0"/>
          <w:spacing w:val="0"/>
          <w:sz w:val="28"/>
          <w:szCs w:val="28"/>
          <w:highlight w:val="none"/>
          <w:lang w:val="en-US" w:eastAsia="zh-CN"/>
        </w:rPr>
        <w:t>坚持党的全面领导</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_Toc27871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- 121 -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3355D6C6">
      <w:pPr>
        <w:pStyle w:val="13"/>
        <w:tabs>
          <w:tab w:val="right" w:leader="dot" w:pos="8306"/>
        </w:tabs>
        <w:rPr>
          <w:rFonts w:hint="default" w:ascii="Times New Roman" w:hAnsi="Times New Roman" w:cs="Times New Roman"/>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_Toc30689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第二节 </w:t>
      </w:r>
      <w:r>
        <w:rPr>
          <w:rFonts w:hint="eastAsia" w:ascii="楷体_GB2312" w:hAnsi="楷体_GB2312" w:eastAsia="楷体_GB2312" w:cs="楷体_GB2312"/>
          <w:b w:val="0"/>
          <w:bCs w:val="0"/>
          <w:smallCaps w:val="0"/>
          <w:spacing w:val="0"/>
          <w:sz w:val="28"/>
          <w:szCs w:val="28"/>
          <w:highlight w:val="none"/>
          <w:lang w:val="en-US" w:eastAsia="zh-CN"/>
        </w:rPr>
        <w:t>激励干部群众团结奋斗</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_Toc30689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- 121 -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1B42321A">
      <w:pPr>
        <w:pStyle w:val="20"/>
        <w:tabs>
          <w:tab w:val="right" w:leader="dot" w:pos="8306"/>
        </w:tabs>
        <w:rPr>
          <w:rFonts w:hint="default" w:ascii="Times New Roman" w:hAnsi="Times New Roman" w:cs="Times New Roman"/>
          <w:b w:val="0"/>
          <w:bCs w:val="0"/>
          <w:smallCaps w:val="0"/>
          <w:spacing w:val="0"/>
          <w:sz w:val="28"/>
          <w:szCs w:val="28"/>
        </w:rPr>
      </w:pPr>
      <w:r>
        <w:rPr>
          <w:rFonts w:hint="eastAsia" w:ascii="黑体" w:hAnsi="黑体" w:eastAsia="黑体" w:cs="黑体"/>
          <w:b w:val="0"/>
          <w:bCs w:val="0"/>
          <w:smallCaps w:val="0"/>
          <w:spacing w:val="0"/>
          <w:sz w:val="28"/>
          <w:szCs w:val="28"/>
          <w:highlight w:val="none"/>
        </w:rPr>
        <w:fldChar w:fldCharType="begin"/>
      </w:r>
      <w:r>
        <w:rPr>
          <w:rFonts w:hint="eastAsia" w:ascii="黑体" w:hAnsi="黑体" w:eastAsia="黑体" w:cs="黑体"/>
          <w:b w:val="0"/>
          <w:bCs w:val="0"/>
          <w:smallCaps w:val="0"/>
          <w:spacing w:val="0"/>
          <w:sz w:val="28"/>
          <w:szCs w:val="28"/>
          <w:highlight w:val="none"/>
        </w:rPr>
        <w:instrText xml:space="preserve"> HYPERLINK \l _Toc24207 </w:instrText>
      </w:r>
      <w:r>
        <w:rPr>
          <w:rFonts w:hint="eastAsia" w:ascii="黑体" w:hAnsi="黑体" w:eastAsia="黑体" w:cs="黑体"/>
          <w:b w:val="0"/>
          <w:bCs w:val="0"/>
          <w:smallCaps w:val="0"/>
          <w:spacing w:val="0"/>
          <w:sz w:val="28"/>
          <w:szCs w:val="28"/>
          <w:highlight w:val="none"/>
        </w:rPr>
        <w:fldChar w:fldCharType="separate"/>
      </w:r>
      <w:r>
        <w:rPr>
          <w:rFonts w:hint="eastAsia" w:ascii="黑体" w:hAnsi="黑体" w:eastAsia="黑体" w:cs="黑体"/>
          <w:b w:val="0"/>
          <w:bCs w:val="0"/>
          <w:smallCaps w:val="0"/>
          <w:spacing w:val="0"/>
          <w:sz w:val="28"/>
          <w:szCs w:val="28"/>
          <w:lang w:val="en-US" w:eastAsia="zh-CN"/>
        </w:rPr>
        <w:t xml:space="preserve">第十八章 </w:t>
      </w:r>
      <w:r>
        <w:rPr>
          <w:rFonts w:hint="eastAsia" w:ascii="黑体" w:hAnsi="黑体" w:eastAsia="黑体" w:cs="黑体"/>
          <w:b w:val="0"/>
          <w:bCs w:val="0"/>
          <w:smallCaps w:val="0"/>
          <w:spacing w:val="0"/>
          <w:sz w:val="28"/>
          <w:szCs w:val="28"/>
          <w:highlight w:val="none"/>
          <w:lang w:val="en-US" w:eastAsia="zh-CN"/>
        </w:rPr>
        <w:t>健全规划实施全周期推进机制</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_Toc24207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- 122 -</w:t>
      </w:r>
      <w:r>
        <w:rPr>
          <w:rFonts w:hint="eastAsia" w:ascii="楷体_GB2312" w:hAnsi="楷体_GB2312" w:eastAsia="楷体_GB2312" w:cs="楷体_GB2312"/>
          <w:b w:val="0"/>
          <w:bCs w:val="0"/>
          <w:smallCaps w:val="0"/>
          <w:spacing w:val="0"/>
          <w:sz w:val="28"/>
          <w:szCs w:val="28"/>
        </w:rPr>
        <w:fldChar w:fldCharType="end"/>
      </w:r>
      <w:r>
        <w:rPr>
          <w:rFonts w:hint="eastAsia" w:ascii="黑体" w:hAnsi="黑体" w:eastAsia="黑体" w:cs="黑体"/>
          <w:b w:val="0"/>
          <w:bCs w:val="0"/>
          <w:smallCaps w:val="0"/>
          <w:spacing w:val="0"/>
          <w:sz w:val="28"/>
          <w:szCs w:val="28"/>
          <w:highlight w:val="none"/>
        </w:rPr>
        <w:fldChar w:fldCharType="end"/>
      </w:r>
    </w:p>
    <w:p w14:paraId="5EDA5624">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_Toc29465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第一节 </w:t>
      </w:r>
      <w:r>
        <w:rPr>
          <w:rFonts w:hint="eastAsia" w:ascii="楷体_GB2312" w:hAnsi="楷体_GB2312" w:eastAsia="楷体_GB2312" w:cs="楷体_GB2312"/>
          <w:b w:val="0"/>
          <w:bCs w:val="0"/>
          <w:smallCaps w:val="0"/>
          <w:spacing w:val="0"/>
          <w:sz w:val="28"/>
          <w:szCs w:val="28"/>
          <w:highlight w:val="none"/>
          <w:lang w:val="en-US" w:eastAsia="zh-CN"/>
        </w:rPr>
        <w:t>加强规划统筹衔接</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_Toc29465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- 122 -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4B293C59">
      <w:pPr>
        <w:pStyle w:val="13"/>
        <w:tabs>
          <w:tab w:val="right" w:leader="dot" w:pos="8306"/>
        </w:tabs>
        <w:rPr>
          <w:rFonts w:hint="eastAsia" w:ascii="楷体_GB2312" w:hAnsi="楷体_GB2312" w:eastAsia="楷体_GB2312" w:cs="楷体_GB2312"/>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_Toc31919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第二节 </w:t>
      </w:r>
      <w:r>
        <w:rPr>
          <w:rFonts w:hint="eastAsia" w:ascii="楷体_GB2312" w:hAnsi="楷体_GB2312" w:eastAsia="楷体_GB2312" w:cs="楷体_GB2312"/>
          <w:b w:val="0"/>
          <w:bCs w:val="0"/>
          <w:smallCaps w:val="0"/>
          <w:spacing w:val="0"/>
          <w:sz w:val="28"/>
          <w:szCs w:val="28"/>
          <w:highlight w:val="none"/>
          <w:lang w:val="en-US" w:eastAsia="zh-CN"/>
        </w:rPr>
        <w:t>落实规划实施责任</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_Toc31919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- 123 -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0413701F">
      <w:pPr>
        <w:pStyle w:val="13"/>
        <w:tabs>
          <w:tab w:val="right" w:leader="dot" w:pos="8306"/>
        </w:tabs>
        <w:rPr>
          <w:rFonts w:hint="default" w:ascii="Times New Roman" w:hAnsi="Times New Roman" w:cs="Times New Roman"/>
          <w:b w:val="0"/>
          <w:bCs w:val="0"/>
          <w:smallCaps w:val="0"/>
          <w:spacing w:val="0"/>
          <w:sz w:val="28"/>
          <w:szCs w:val="28"/>
        </w:rPr>
      </w:pPr>
      <w:r>
        <w:rPr>
          <w:rFonts w:hint="eastAsia" w:ascii="楷体_GB2312" w:hAnsi="楷体_GB2312" w:eastAsia="楷体_GB2312" w:cs="楷体_GB2312"/>
          <w:b w:val="0"/>
          <w:bCs w:val="0"/>
          <w:smallCaps w:val="0"/>
          <w:spacing w:val="0"/>
          <w:sz w:val="28"/>
          <w:szCs w:val="28"/>
          <w:highlight w:val="none"/>
        </w:rPr>
        <w:fldChar w:fldCharType="begin"/>
      </w:r>
      <w:r>
        <w:rPr>
          <w:rFonts w:hint="eastAsia" w:ascii="楷体_GB2312" w:hAnsi="楷体_GB2312" w:eastAsia="楷体_GB2312" w:cs="楷体_GB2312"/>
          <w:b w:val="0"/>
          <w:bCs w:val="0"/>
          <w:smallCaps w:val="0"/>
          <w:spacing w:val="0"/>
          <w:sz w:val="28"/>
          <w:szCs w:val="28"/>
          <w:highlight w:val="none"/>
        </w:rPr>
        <w:instrText xml:space="preserve"> HYPERLINK \l _Toc26491 </w:instrText>
      </w:r>
      <w:r>
        <w:rPr>
          <w:rFonts w:hint="eastAsia" w:ascii="楷体_GB2312" w:hAnsi="楷体_GB2312" w:eastAsia="楷体_GB2312" w:cs="楷体_GB2312"/>
          <w:b w:val="0"/>
          <w:bCs w:val="0"/>
          <w:smallCaps w:val="0"/>
          <w:spacing w:val="0"/>
          <w:sz w:val="28"/>
          <w:szCs w:val="28"/>
          <w:highlight w:val="none"/>
        </w:rPr>
        <w:fldChar w:fldCharType="separate"/>
      </w:r>
      <w:r>
        <w:rPr>
          <w:rFonts w:hint="eastAsia" w:ascii="楷体_GB2312" w:hAnsi="楷体_GB2312" w:eastAsia="楷体_GB2312" w:cs="楷体_GB2312"/>
          <w:b w:val="0"/>
          <w:bCs w:val="0"/>
          <w:smallCaps w:val="0"/>
          <w:spacing w:val="0"/>
          <w:sz w:val="28"/>
          <w:szCs w:val="28"/>
          <w:lang w:val="en-US" w:eastAsia="zh-CN"/>
        </w:rPr>
        <w:t xml:space="preserve">第三节 </w:t>
      </w:r>
      <w:r>
        <w:rPr>
          <w:rFonts w:hint="eastAsia" w:ascii="楷体_GB2312" w:hAnsi="楷体_GB2312" w:eastAsia="楷体_GB2312" w:cs="楷体_GB2312"/>
          <w:b w:val="0"/>
          <w:bCs w:val="0"/>
          <w:smallCaps w:val="0"/>
          <w:spacing w:val="0"/>
          <w:sz w:val="28"/>
          <w:szCs w:val="28"/>
          <w:highlight w:val="none"/>
          <w:lang w:val="en-US" w:eastAsia="zh-CN"/>
        </w:rPr>
        <w:t>加强规划实施监测评估和监督</w:t>
      </w:r>
      <w:r>
        <w:rPr>
          <w:rFonts w:hint="eastAsia" w:ascii="楷体_GB2312" w:hAnsi="楷体_GB2312" w:eastAsia="楷体_GB2312" w:cs="楷体_GB2312"/>
          <w:b w:val="0"/>
          <w:bCs w:val="0"/>
          <w:smallCaps w:val="0"/>
          <w:spacing w:val="0"/>
          <w:sz w:val="28"/>
          <w:szCs w:val="28"/>
        </w:rPr>
        <w:tab/>
      </w:r>
      <w:r>
        <w:rPr>
          <w:rFonts w:hint="eastAsia" w:ascii="楷体_GB2312" w:hAnsi="楷体_GB2312" w:eastAsia="楷体_GB2312" w:cs="楷体_GB2312"/>
          <w:b w:val="0"/>
          <w:bCs w:val="0"/>
          <w:smallCaps w:val="0"/>
          <w:spacing w:val="0"/>
          <w:sz w:val="28"/>
          <w:szCs w:val="28"/>
        </w:rPr>
        <w:fldChar w:fldCharType="begin"/>
      </w:r>
      <w:r>
        <w:rPr>
          <w:rFonts w:hint="eastAsia" w:ascii="楷体_GB2312" w:hAnsi="楷体_GB2312" w:eastAsia="楷体_GB2312" w:cs="楷体_GB2312"/>
          <w:b w:val="0"/>
          <w:bCs w:val="0"/>
          <w:smallCaps w:val="0"/>
          <w:spacing w:val="0"/>
          <w:sz w:val="28"/>
          <w:szCs w:val="28"/>
        </w:rPr>
        <w:instrText xml:space="preserve"> PAGEREF _Toc26491 \h </w:instrText>
      </w:r>
      <w:r>
        <w:rPr>
          <w:rFonts w:hint="eastAsia" w:ascii="楷体_GB2312" w:hAnsi="楷体_GB2312" w:eastAsia="楷体_GB2312" w:cs="楷体_GB2312"/>
          <w:b w:val="0"/>
          <w:bCs w:val="0"/>
          <w:smallCaps w:val="0"/>
          <w:spacing w:val="0"/>
          <w:sz w:val="28"/>
          <w:szCs w:val="28"/>
        </w:rPr>
        <w:fldChar w:fldCharType="separate"/>
      </w:r>
      <w:r>
        <w:rPr>
          <w:rFonts w:hint="eastAsia" w:ascii="楷体_GB2312" w:hAnsi="楷体_GB2312" w:eastAsia="楷体_GB2312" w:cs="楷体_GB2312"/>
          <w:b w:val="0"/>
          <w:bCs w:val="0"/>
          <w:smallCaps w:val="0"/>
          <w:spacing w:val="0"/>
          <w:sz w:val="28"/>
          <w:szCs w:val="28"/>
        </w:rPr>
        <w:t>- 123 -</w:t>
      </w:r>
      <w:r>
        <w:rPr>
          <w:rFonts w:hint="eastAsia" w:ascii="楷体_GB2312" w:hAnsi="楷体_GB2312" w:eastAsia="楷体_GB2312" w:cs="楷体_GB2312"/>
          <w:b w:val="0"/>
          <w:bCs w:val="0"/>
          <w:smallCaps w:val="0"/>
          <w:spacing w:val="0"/>
          <w:sz w:val="28"/>
          <w:szCs w:val="28"/>
        </w:rPr>
        <w:fldChar w:fldCharType="end"/>
      </w:r>
      <w:r>
        <w:rPr>
          <w:rFonts w:hint="eastAsia" w:ascii="楷体_GB2312" w:hAnsi="楷体_GB2312" w:eastAsia="楷体_GB2312" w:cs="楷体_GB2312"/>
          <w:b w:val="0"/>
          <w:bCs w:val="0"/>
          <w:smallCaps w:val="0"/>
          <w:spacing w:val="0"/>
          <w:sz w:val="28"/>
          <w:szCs w:val="28"/>
          <w:highlight w:val="none"/>
        </w:rPr>
        <w:fldChar w:fldCharType="end"/>
      </w:r>
    </w:p>
    <w:p w14:paraId="45219DE5">
      <w:pPr>
        <w:pStyle w:val="13"/>
        <w:keepNext w:val="0"/>
        <w:keepLines w:val="0"/>
        <w:pageBreakBefore w:val="0"/>
        <w:widowControl w:val="0"/>
        <w:shd w:val="clear" w:color="auto" w:fill="auto"/>
        <w:tabs>
          <w:tab w:val="right" w:leader="dot" w:pos="8306"/>
        </w:tabs>
        <w:kinsoku/>
        <w:wordWrap/>
        <w:overflowPunct/>
        <w:topLinePunct w:val="0"/>
        <w:autoSpaceDE/>
        <w:autoSpaceDN/>
        <w:bidi w:val="0"/>
        <w:adjustRightInd/>
        <w:snapToGrid/>
        <w:spacing w:line="540" w:lineRule="exact"/>
        <w:textAlignment w:val="auto"/>
        <w:rPr>
          <w:rFonts w:hint="default" w:ascii="Times New Roman" w:hAnsi="Times New Roman" w:cs="Times New Roman"/>
          <w:b w:val="0"/>
          <w:bCs w:val="0"/>
          <w:highlight w:val="none"/>
        </w:rPr>
      </w:pPr>
      <w:r>
        <w:rPr>
          <w:rFonts w:hint="default" w:ascii="Times New Roman" w:hAnsi="Times New Roman" w:eastAsia="仿宋" w:cs="Times New Roman"/>
          <w:b w:val="0"/>
          <w:bCs w:val="0"/>
          <w:smallCaps w:val="0"/>
          <w:spacing w:val="0"/>
          <w:sz w:val="28"/>
          <w:szCs w:val="28"/>
          <w:highlight w:val="none"/>
        </w:rPr>
        <w:fldChar w:fldCharType="end"/>
      </w:r>
    </w:p>
    <w:p w14:paraId="4BE992BC">
      <w:pPr>
        <w:pStyle w:val="43"/>
        <w:shd w:val="clear" w:color="auto" w:fill="auto"/>
        <w:spacing w:line="600" w:lineRule="exact"/>
        <w:rPr>
          <w:rFonts w:hint="default" w:ascii="Times New Roman" w:hAnsi="Times New Roman" w:cs="Times New Roman"/>
          <w:b w:val="0"/>
          <w:bCs w:val="0"/>
          <w:highlight w:val="none"/>
        </w:rPr>
        <w:sectPr>
          <w:footerReference r:id="rId12" w:type="default"/>
          <w:footerReference r:id="rId13" w:type="even"/>
          <w:pgSz w:w="11906" w:h="16838"/>
          <w:pgMar w:top="1440" w:right="1800" w:bottom="1440" w:left="1800" w:header="851" w:footer="992" w:gutter="0"/>
          <w:pgNumType w:fmt="upperRoman"/>
          <w:cols w:space="720" w:num="1"/>
          <w:docGrid w:type="lines" w:linePitch="312" w:charSpace="0"/>
        </w:sectPr>
      </w:pPr>
    </w:p>
    <w:p w14:paraId="4CF544C1">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outlineLvl w:val="9"/>
        <w:rPr>
          <w:rFonts w:hint="eastAsia" w:ascii="Times New Roman" w:hAnsi="Times New Roman" w:eastAsia="方正黑体_GBK" w:cs="方正黑体_GBK"/>
          <w:b w:val="0"/>
          <w:bCs w:val="0"/>
          <w:sz w:val="32"/>
          <w:szCs w:val="32"/>
          <w:highlight w:val="none"/>
          <w:lang w:val="en-US" w:eastAsia="zh-CN"/>
        </w:rPr>
      </w:pPr>
      <w:bookmarkStart w:id="0" w:name="_Toc32569"/>
      <w:bookmarkStart w:id="1" w:name="_Toc31868"/>
      <w:bookmarkStart w:id="2" w:name="_Toc29989"/>
      <w:bookmarkStart w:id="3" w:name="_Toc30274"/>
      <w:bookmarkStart w:id="4" w:name="_Toc9272"/>
      <w:bookmarkStart w:id="5" w:name="_Toc17758"/>
      <w:bookmarkStart w:id="6" w:name="_Toc7365"/>
      <w:bookmarkStart w:id="7" w:name="_Toc31137"/>
      <w:bookmarkStart w:id="8" w:name="_Toc15250"/>
      <w:bookmarkStart w:id="9" w:name="_Toc13581"/>
      <w:bookmarkStart w:id="10" w:name="_Toc31986"/>
      <w:bookmarkStart w:id="11" w:name="_Toc19344"/>
      <w:bookmarkStart w:id="12" w:name="_Toc9404"/>
      <w:bookmarkStart w:id="13" w:name="_Toc7354"/>
      <w:bookmarkStart w:id="14" w:name="_Toc18842"/>
      <w:bookmarkStart w:id="15" w:name="_Toc24360"/>
      <w:bookmarkStart w:id="16" w:name="_Toc13579"/>
      <w:bookmarkStart w:id="17" w:name="_Toc12106"/>
      <w:bookmarkStart w:id="18" w:name="_Toc28041"/>
      <w:bookmarkStart w:id="19" w:name="_Toc8085"/>
      <w:bookmarkStart w:id="20" w:name="_Toc29639"/>
      <w:bookmarkStart w:id="21" w:name="_Toc14170"/>
      <w:bookmarkStart w:id="22" w:name="_Toc16642"/>
      <w:bookmarkStart w:id="23" w:name="_Toc21008"/>
      <w:bookmarkStart w:id="24" w:name="_Toc9193"/>
      <w:bookmarkStart w:id="25" w:name="_Toc17126"/>
      <w:bookmarkStart w:id="26" w:name="_Toc20818"/>
      <w:bookmarkStart w:id="27" w:name="_Toc14929"/>
      <w:r>
        <w:rPr>
          <w:rFonts w:hint="eastAsia" w:ascii="黑体" w:hAnsi="黑体" w:eastAsia="黑体" w:cs="黑体"/>
          <w:b w:val="0"/>
          <w:bCs w:val="0"/>
          <w:sz w:val="32"/>
          <w:szCs w:val="32"/>
          <w:highlight w:val="none"/>
          <w:lang w:val="en-US" w:eastAsia="zh-CN"/>
        </w:rPr>
        <w:t>前  言</w:t>
      </w:r>
    </w:p>
    <w:p w14:paraId="2FA133BB">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Times New Roman" w:hAnsi="Times New Roman" w:eastAsia="仿宋_GB2312" w:cs="方正仿宋_GBK"/>
          <w:b w:val="0"/>
          <w:bCs w:val="0"/>
          <w:highlight w:val="none"/>
        </w:rPr>
      </w:pPr>
      <w:r>
        <w:rPr>
          <w:rFonts w:hint="eastAsia" w:ascii="Times New Roman" w:hAnsi="Times New Roman" w:eastAsia="仿宋_GB2312" w:cs="方正仿宋_GBK"/>
          <w:b w:val="0"/>
          <w:bCs w:val="0"/>
          <w:sz w:val="32"/>
          <w:szCs w:val="32"/>
          <w:highlight w:val="none"/>
          <w:lang w:eastAsia="zh-CN"/>
        </w:rPr>
        <w:t>“十五五”时期（2026—2030年）是</w:t>
      </w:r>
      <w:r>
        <w:rPr>
          <w:rFonts w:hint="eastAsia" w:ascii="Times New Roman" w:hAnsi="Times New Roman" w:eastAsia="仿宋_GB2312" w:cs="方正仿宋_GBK"/>
          <w:b w:val="0"/>
          <w:bCs w:val="0"/>
          <w:sz w:val="32"/>
          <w:szCs w:val="32"/>
          <w:highlight w:val="none"/>
          <w:lang w:val="en-US" w:eastAsia="zh-CN"/>
        </w:rPr>
        <w:t>赤峰市在高质量发展新路上实现突破的</w:t>
      </w:r>
      <w:r>
        <w:rPr>
          <w:rFonts w:hint="eastAsia" w:ascii="Times New Roman" w:hAnsi="Times New Roman" w:eastAsia="仿宋_GB2312" w:cs="方正仿宋_GBK"/>
          <w:b w:val="0"/>
          <w:bCs w:val="0"/>
          <w:sz w:val="32"/>
          <w:szCs w:val="32"/>
          <w:highlight w:val="none"/>
          <w:lang w:eastAsia="zh-CN"/>
        </w:rPr>
        <w:t>关键</w:t>
      </w:r>
      <w:r>
        <w:rPr>
          <w:rFonts w:hint="eastAsia" w:ascii="Times New Roman" w:hAnsi="Times New Roman" w:eastAsia="仿宋_GB2312" w:cs="方正仿宋_GBK"/>
          <w:b w:val="0"/>
          <w:bCs w:val="0"/>
          <w:sz w:val="32"/>
          <w:szCs w:val="32"/>
          <w:highlight w:val="none"/>
          <w:lang w:val="en-US" w:eastAsia="zh-CN"/>
        </w:rPr>
        <w:t>时期</w:t>
      </w:r>
      <w:r>
        <w:rPr>
          <w:rFonts w:hint="eastAsia" w:ascii="Times New Roman" w:hAnsi="Times New Roman" w:eastAsia="仿宋_GB2312" w:cs="方正仿宋_GBK"/>
          <w:b w:val="0"/>
          <w:bCs w:val="0"/>
          <w:sz w:val="32"/>
          <w:szCs w:val="32"/>
          <w:highlight w:val="none"/>
          <w:lang w:eastAsia="zh-CN"/>
        </w:rPr>
        <w:t>。</w:t>
      </w:r>
      <w:r>
        <w:rPr>
          <w:rFonts w:hint="eastAsia" w:ascii="Times New Roman" w:hAnsi="Times New Roman" w:eastAsia="仿宋_GB2312" w:cs="方正仿宋_GBK"/>
          <w:b w:val="0"/>
          <w:bCs w:val="0"/>
          <w:sz w:val="32"/>
          <w:szCs w:val="32"/>
          <w:highlight w:val="none"/>
          <w:lang w:val="en-US" w:eastAsia="zh-CN"/>
        </w:rPr>
        <w:t>《赤峰市国民经济和社会发展第十五个五年规划纲要》，根据《中共赤峰市委关于制定国民经济和社会发展第十五个五年规划的建议》编制，主要阐明“十五五”时期全市经济社会发展目标任务，</w:t>
      </w:r>
      <w:r>
        <w:rPr>
          <w:rFonts w:hint="eastAsia" w:ascii="Times New Roman" w:hAnsi="Times New Roman" w:eastAsia="仿宋_GB2312" w:cs="方正仿宋_GBK"/>
          <w:b w:val="0"/>
          <w:bCs w:val="0"/>
          <w:sz w:val="32"/>
          <w:szCs w:val="40"/>
          <w:highlight w:val="none"/>
        </w:rPr>
        <w:t>是引领</w:t>
      </w:r>
      <w:r>
        <w:rPr>
          <w:rFonts w:hint="eastAsia" w:ascii="Times New Roman" w:hAnsi="Times New Roman" w:eastAsia="仿宋_GB2312" w:cs="方正仿宋_GBK"/>
          <w:b w:val="0"/>
          <w:bCs w:val="0"/>
          <w:sz w:val="32"/>
          <w:szCs w:val="40"/>
          <w:highlight w:val="none"/>
          <w:lang w:val="en-US" w:eastAsia="zh-CN"/>
        </w:rPr>
        <w:t>赤峰市迈向基本实现社会主义现代化</w:t>
      </w:r>
      <w:r>
        <w:rPr>
          <w:rFonts w:hint="eastAsia" w:ascii="Times New Roman" w:hAnsi="Times New Roman" w:eastAsia="仿宋_GB2312" w:cs="方正仿宋_GBK"/>
          <w:b w:val="0"/>
          <w:bCs w:val="0"/>
          <w:sz w:val="32"/>
          <w:szCs w:val="40"/>
          <w:highlight w:val="none"/>
        </w:rPr>
        <w:t>的宏伟蓝图，是各级各部门依法履行职责、编制专项规划、制定实施年度计划和各项政策措施的重要依据，是</w:t>
      </w:r>
      <w:r>
        <w:rPr>
          <w:rFonts w:hint="eastAsia" w:ascii="Times New Roman" w:hAnsi="Times New Roman" w:eastAsia="仿宋_GB2312" w:cs="方正仿宋_GBK"/>
          <w:b w:val="0"/>
          <w:bCs w:val="0"/>
          <w:sz w:val="32"/>
          <w:szCs w:val="40"/>
          <w:highlight w:val="none"/>
          <w:lang w:val="en-US" w:eastAsia="zh-CN"/>
        </w:rPr>
        <w:t>全市</w:t>
      </w:r>
      <w:r>
        <w:rPr>
          <w:rFonts w:hint="eastAsia" w:ascii="Times New Roman" w:hAnsi="Times New Roman" w:eastAsia="仿宋_GB2312" w:cs="方正仿宋_GBK"/>
          <w:b w:val="0"/>
          <w:bCs w:val="0"/>
          <w:sz w:val="32"/>
          <w:szCs w:val="40"/>
          <w:highlight w:val="none"/>
        </w:rPr>
        <w:t>人民共同奋斗的行动纲领。</w:t>
      </w:r>
    </w:p>
    <w:p w14:paraId="1936E3F3">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560" w:lineRule="exact"/>
        <w:jc w:val="center"/>
        <w:textAlignment w:val="auto"/>
        <w:outlineLvl w:val="0"/>
        <w:rPr>
          <w:rFonts w:hint="eastAsia" w:ascii="方正小标宋简体" w:hAnsi="方正小标宋简体" w:eastAsia="方正小标宋简体" w:cs="方正小标宋简体"/>
          <w:b w:val="0"/>
          <w:bCs w:val="0"/>
          <w:sz w:val="32"/>
          <w:szCs w:val="32"/>
          <w:highlight w:val="none"/>
          <w:lang w:val="en-US" w:eastAsia="zh-CN"/>
        </w:rPr>
      </w:pPr>
      <w:bookmarkStart w:id="28" w:name="_Toc2458"/>
      <w:r>
        <w:rPr>
          <w:rFonts w:hint="eastAsia" w:ascii="方正小标宋简体" w:hAnsi="方正小标宋简体" w:eastAsia="方正小标宋简体" w:cs="方正小标宋简体"/>
          <w:b w:val="0"/>
          <w:bCs w:val="0"/>
          <w:sz w:val="32"/>
          <w:szCs w:val="32"/>
          <w:highlight w:val="none"/>
          <w:lang w:val="en-US" w:eastAsia="zh-CN"/>
        </w:rPr>
        <w:t>找准坐标，开启中国式现代化赤峰实践新征程</w:t>
      </w:r>
      <w:bookmarkEnd w:id="28"/>
    </w:p>
    <w:p w14:paraId="6F61131B">
      <w:pPr>
        <w:keepNext w:val="0"/>
        <w:keepLines w:val="0"/>
        <w:pageBreakBefore w:val="0"/>
        <w:widowControl w:val="0"/>
        <w:kinsoku/>
        <w:wordWrap/>
        <w:topLinePunct w:val="0"/>
        <w:autoSpaceDE/>
        <w:autoSpaceDN/>
        <w:bidi w:val="0"/>
        <w:adjustRightInd/>
        <w:snapToGrid/>
        <w:spacing w:line="560" w:lineRule="exact"/>
        <w:ind w:firstLine="616" w:firstLineChars="200"/>
        <w:textAlignment w:val="auto"/>
        <w:rPr>
          <w:rFonts w:hint="eastAsia" w:ascii="Times New Roman" w:hAnsi="Times New Roman" w:eastAsia="仿宋_GB2312" w:cs="方正仿宋_GBK"/>
          <w:b w:val="0"/>
          <w:bCs w:val="0"/>
          <w:sz w:val="32"/>
          <w:szCs w:val="40"/>
          <w:highlight w:val="none"/>
          <w:lang w:val="en-US" w:eastAsia="zh-CN"/>
        </w:rPr>
      </w:pPr>
      <w:r>
        <w:rPr>
          <w:rFonts w:hint="eastAsia" w:ascii="Times New Roman" w:hAnsi="Times New Roman" w:eastAsia="仿宋_GB2312" w:cs="方正仿宋_GBK"/>
          <w:b w:val="0"/>
          <w:bCs w:val="0"/>
          <w:spacing w:val="-6"/>
          <w:sz w:val="32"/>
          <w:szCs w:val="40"/>
          <w:highlight w:val="none"/>
          <w:lang w:val="en-US" w:eastAsia="zh-CN"/>
        </w:rPr>
        <w:t>科学认识赤峰市经济社会发展所处的历史方位，准确识变、科学应变、主动求变，抢抓历史机遇，朝着谱写中国式现代化赤峰新篇章的宏伟目标阔步前进。</w:t>
      </w:r>
    </w:p>
    <w:p w14:paraId="1CFD7D3E">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line="560" w:lineRule="exact"/>
        <w:jc w:val="center"/>
        <w:textAlignment w:val="auto"/>
        <w:outlineLvl w:val="1"/>
        <w:rPr>
          <w:rFonts w:hint="eastAsia" w:ascii="黑体" w:hAnsi="黑体" w:eastAsia="黑体" w:cs="黑体"/>
          <w:b w:val="0"/>
          <w:bCs w:val="0"/>
          <w:sz w:val="32"/>
          <w:szCs w:val="32"/>
          <w:highlight w:val="none"/>
          <w:lang w:val="en-US" w:eastAsia="zh-CN"/>
        </w:rPr>
      </w:pPr>
      <w:bookmarkStart w:id="29" w:name="_Toc5469"/>
      <w:r>
        <w:rPr>
          <w:rFonts w:hint="eastAsia" w:ascii="黑体" w:hAnsi="黑体" w:eastAsia="黑体" w:cs="黑体"/>
          <w:b w:val="0"/>
          <w:bCs w:val="0"/>
          <w:sz w:val="32"/>
          <w:szCs w:val="32"/>
          <w:highlight w:val="none"/>
          <w:lang w:val="en-US" w:eastAsia="zh-CN"/>
        </w:rPr>
        <w:t>发展成就</w:t>
      </w:r>
      <w:bookmarkEnd w:id="29"/>
    </w:p>
    <w:p w14:paraId="55808AD7">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outlineLvl w:val="9"/>
        <w:rPr>
          <w:rFonts w:hint="eastAsia" w:ascii="Times New Roman" w:hAnsi="Times New Roman" w:eastAsia="仿宋_GB2312" w:cs="方正仿宋_GBK"/>
          <w:b w:val="0"/>
          <w:bCs w:val="0"/>
          <w:sz w:val="32"/>
          <w:szCs w:val="32"/>
          <w:highlight w:val="none"/>
          <w:lang w:val="en-US" w:eastAsia="zh-CN"/>
        </w:rPr>
      </w:pPr>
      <w:r>
        <w:rPr>
          <w:rFonts w:hint="eastAsia" w:ascii="Times New Roman" w:hAnsi="Times New Roman" w:eastAsia="仿宋_GB2312" w:cs="方正仿宋_GBK"/>
          <w:b w:val="0"/>
          <w:bCs w:val="0"/>
          <w:spacing w:val="-6"/>
          <w:sz w:val="32"/>
          <w:szCs w:val="40"/>
          <w:highlight w:val="none"/>
          <w:lang w:eastAsia="zh-CN"/>
        </w:rPr>
        <w:t>“十四五”以来，面对艰巨繁重的改革发展稳定任务，在党中央、自治区党委的坚强领导下，市委、市政府团结带领全市各族干部群众，以习近平新时代中国特色社会主义思想为指导，</w:t>
      </w:r>
      <w:r>
        <w:rPr>
          <w:rFonts w:hint="eastAsia" w:ascii="Times New Roman" w:hAnsi="Times New Roman" w:eastAsia="仿宋_GB2312" w:cs="Times New Roman"/>
          <w:b w:val="0"/>
          <w:bCs w:val="0"/>
          <w:color w:val="auto"/>
          <w:sz w:val="32"/>
          <w:szCs w:val="32"/>
          <w:highlight w:val="none"/>
          <w:lang w:val="en" w:eastAsia="zh-CN"/>
        </w:rPr>
        <w:t>深入贯彻落实习近平总书记对内蒙古系列重要讲话重要指示精神</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lang w:val="en-US" w:eastAsia="zh-CN"/>
        </w:rPr>
        <w:t>紧紧围绕</w:t>
      </w:r>
      <w:r>
        <w:rPr>
          <w:rFonts w:hint="eastAsia" w:ascii="Times New Roman" w:hAnsi="Times New Roman" w:eastAsia="仿宋_GB2312" w:cs="方正仿宋_GBK"/>
          <w:b w:val="0"/>
          <w:bCs w:val="0"/>
          <w:spacing w:val="-6"/>
          <w:sz w:val="32"/>
          <w:szCs w:val="40"/>
          <w:highlight w:val="none"/>
          <w:lang w:eastAsia="zh-CN"/>
        </w:rPr>
        <w:t>铸牢中华民族共同体意识工作主线，</w:t>
      </w:r>
      <w:r>
        <w:rPr>
          <w:rFonts w:hint="eastAsia" w:ascii="Times New Roman" w:hAnsi="Times New Roman" w:eastAsia="仿宋_GB2312" w:cs="方正仿宋_GBK"/>
          <w:b w:val="0"/>
          <w:bCs w:val="0"/>
          <w:spacing w:val="-6"/>
          <w:sz w:val="32"/>
          <w:szCs w:val="40"/>
          <w:highlight w:val="none"/>
          <w:lang w:val="en-US" w:eastAsia="zh-CN"/>
        </w:rPr>
        <w:t>着力办好</w:t>
      </w:r>
      <w:r>
        <w:rPr>
          <w:rFonts w:hint="eastAsia" w:ascii="Times New Roman" w:hAnsi="Times New Roman" w:eastAsia="仿宋_GB2312" w:cs="方正仿宋_GBK"/>
          <w:b w:val="0"/>
          <w:bCs w:val="0"/>
          <w:spacing w:val="-6"/>
          <w:sz w:val="32"/>
          <w:szCs w:val="40"/>
          <w:highlight w:val="none"/>
          <w:lang w:eastAsia="zh-CN"/>
        </w:rPr>
        <w:t>习近平总书记</w:t>
      </w:r>
      <w:r>
        <w:rPr>
          <w:rFonts w:hint="eastAsia" w:ascii="Times New Roman" w:hAnsi="Times New Roman" w:eastAsia="仿宋_GB2312" w:cs="方正仿宋_GBK"/>
          <w:b w:val="0"/>
          <w:bCs w:val="0"/>
          <w:spacing w:val="-6"/>
          <w:sz w:val="32"/>
          <w:szCs w:val="40"/>
          <w:highlight w:val="none"/>
          <w:lang w:val="en-US" w:eastAsia="zh-CN"/>
        </w:rPr>
        <w:t>和党中央赋予</w:t>
      </w:r>
      <w:r>
        <w:rPr>
          <w:rFonts w:hint="eastAsia" w:ascii="Times New Roman" w:hAnsi="Times New Roman" w:eastAsia="仿宋_GB2312" w:cs="方正仿宋_GBK"/>
          <w:b w:val="0"/>
          <w:bCs w:val="0"/>
          <w:spacing w:val="-6"/>
          <w:sz w:val="32"/>
          <w:szCs w:val="40"/>
          <w:highlight w:val="none"/>
          <w:lang w:eastAsia="zh-CN"/>
        </w:rPr>
        <w:t>内蒙古建设“两个屏障”、“两个基地”、“一个桥头堡”的五大战略定位和使命任务，</w:t>
      </w:r>
      <w:r>
        <w:rPr>
          <w:rFonts w:hint="eastAsia" w:ascii="Times New Roman" w:hAnsi="Times New Roman" w:eastAsia="仿宋_GB2312" w:cs="方正仿宋_GBK"/>
          <w:b w:val="0"/>
          <w:bCs w:val="0"/>
          <w:spacing w:val="-6"/>
          <w:sz w:val="32"/>
          <w:szCs w:val="40"/>
          <w:highlight w:val="none"/>
          <w:lang w:val="en-US" w:eastAsia="zh-CN"/>
        </w:rPr>
        <w:t>推动各项事业发展迈上新台阶</w:t>
      </w:r>
      <w:r>
        <w:rPr>
          <w:rFonts w:hint="eastAsia" w:ascii="Times New Roman" w:hAnsi="Times New Roman" w:eastAsia="仿宋_GB2312" w:cs="方正仿宋_GBK"/>
          <w:b w:val="0"/>
          <w:bCs w:val="0"/>
          <w:spacing w:val="-6"/>
          <w:sz w:val="32"/>
          <w:szCs w:val="40"/>
          <w:highlight w:val="none"/>
          <w:lang w:eastAsia="zh-CN"/>
        </w:rPr>
        <w:t>，为全面建设</w:t>
      </w:r>
      <w:r>
        <w:rPr>
          <w:rFonts w:hint="eastAsia" w:ascii="Times New Roman" w:hAnsi="Times New Roman" w:eastAsia="仿宋_GB2312" w:cs="方正仿宋_GBK"/>
          <w:b w:val="0"/>
          <w:bCs w:val="0"/>
          <w:spacing w:val="-6"/>
          <w:sz w:val="32"/>
          <w:szCs w:val="40"/>
          <w:highlight w:val="none"/>
          <w:lang w:val="en-US" w:eastAsia="zh-CN"/>
        </w:rPr>
        <w:t>社会主义</w:t>
      </w:r>
      <w:r>
        <w:rPr>
          <w:rFonts w:hint="eastAsia" w:ascii="Times New Roman" w:hAnsi="Times New Roman" w:eastAsia="仿宋_GB2312" w:cs="方正仿宋_GBK"/>
          <w:b w:val="0"/>
          <w:bCs w:val="0"/>
          <w:spacing w:val="-6"/>
          <w:sz w:val="32"/>
          <w:szCs w:val="40"/>
          <w:highlight w:val="none"/>
          <w:lang w:eastAsia="zh-CN"/>
        </w:rPr>
        <w:t>现代化赤峰打下了扎实基础。</w:t>
      </w:r>
    </w:p>
    <w:p w14:paraId="0126DE9C">
      <w:pPr>
        <w:keepNext w:val="0"/>
        <w:keepLines w:val="0"/>
        <w:pageBreakBefore w:val="0"/>
        <w:widowControl w:val="0"/>
        <w:shd w:val="clear" w:color="auto" w:fill="auto"/>
        <w:kinsoku/>
        <w:wordWrap/>
        <w:topLinePunct w:val="0"/>
        <w:autoSpaceDE/>
        <w:autoSpaceDN/>
        <w:bidi w:val="0"/>
        <w:adjustRightInd/>
        <w:snapToGrid/>
        <w:spacing w:line="560" w:lineRule="exact"/>
        <w:ind w:firstLine="616" w:firstLineChars="200"/>
        <w:textAlignment w:val="auto"/>
        <w:outlineLvl w:val="9"/>
        <w:rPr>
          <w:rFonts w:hint="eastAsia" w:ascii="Times New Roman" w:hAnsi="Times New Roman" w:eastAsia="仿宋_GB2312" w:cs="方正仿宋_GBK"/>
          <w:b w:val="0"/>
          <w:bCs w:val="0"/>
          <w:color w:val="auto"/>
          <w:spacing w:val="-6"/>
          <w:sz w:val="32"/>
          <w:szCs w:val="40"/>
          <w:highlight w:val="none"/>
        </w:rPr>
      </w:pPr>
      <w:r>
        <w:rPr>
          <w:rFonts w:hint="eastAsia" w:ascii="Times New Roman" w:hAnsi="Times New Roman" w:eastAsia="仿宋_GB2312" w:cs="方正仿宋_GBK"/>
          <w:b w:val="0"/>
          <w:bCs w:val="0"/>
          <w:color w:val="auto"/>
          <w:spacing w:val="-6"/>
          <w:sz w:val="32"/>
          <w:szCs w:val="40"/>
          <w:highlight w:val="none"/>
          <w:lang w:val="en-US" w:eastAsia="zh-CN"/>
        </w:rPr>
        <w:t>综合经济实力</w:t>
      </w:r>
      <w:r>
        <w:rPr>
          <w:rFonts w:hint="eastAsia" w:ascii="Times New Roman" w:hAnsi="Times New Roman" w:eastAsia="仿宋_GB2312" w:cs="方正仿宋_GBK"/>
          <w:b w:val="0"/>
          <w:bCs w:val="0"/>
          <w:spacing w:val="-6"/>
          <w:sz w:val="32"/>
          <w:szCs w:val="40"/>
          <w:highlight w:val="none"/>
          <w:lang w:val="en-US" w:eastAsia="zh-CN"/>
        </w:rPr>
        <w:t>持续提升。</w:t>
      </w:r>
      <w:r>
        <w:rPr>
          <w:rFonts w:hint="eastAsia" w:ascii="Times New Roman" w:hAnsi="Times New Roman" w:eastAsia="仿宋_GB2312" w:cs="方正仿宋_GBK"/>
          <w:b w:val="0"/>
          <w:bCs w:val="0"/>
          <w:color w:val="auto"/>
          <w:spacing w:val="-6"/>
          <w:sz w:val="32"/>
          <w:szCs w:val="40"/>
          <w:highlight w:val="none"/>
        </w:rPr>
        <w:t>“十四五”以来，赤峰市</w:t>
      </w:r>
      <w:r>
        <w:rPr>
          <w:rFonts w:hint="eastAsia" w:ascii="Times New Roman" w:hAnsi="Times New Roman" w:eastAsia="仿宋_GB2312" w:cs="方正仿宋_GBK"/>
          <w:b w:val="0"/>
          <w:bCs w:val="0"/>
          <w:color w:val="auto"/>
          <w:spacing w:val="-6"/>
          <w:sz w:val="32"/>
          <w:szCs w:val="40"/>
          <w:highlight w:val="none"/>
          <w:lang w:val="en-US" w:eastAsia="zh-CN"/>
        </w:rPr>
        <w:t>坚持以经济建设为中心</w:t>
      </w:r>
      <w:r>
        <w:rPr>
          <w:rFonts w:hint="eastAsia" w:ascii="Times New Roman" w:hAnsi="Times New Roman" w:eastAsia="仿宋_GB2312" w:cs="方正仿宋_GBK"/>
          <w:b w:val="0"/>
          <w:bCs w:val="0"/>
          <w:color w:val="auto"/>
          <w:spacing w:val="-6"/>
          <w:sz w:val="32"/>
          <w:szCs w:val="40"/>
          <w:highlight w:val="none"/>
        </w:rPr>
        <w:t>，多措并举挖掘经济增长潜力，宏观经济实现平稳健康发展</w:t>
      </w:r>
      <w:r>
        <w:rPr>
          <w:rFonts w:hint="eastAsia" w:ascii="Times New Roman" w:hAnsi="Times New Roman" w:eastAsia="仿宋_GB2312" w:cs="方正仿宋_GBK"/>
          <w:b w:val="0"/>
          <w:bCs w:val="0"/>
          <w:color w:val="auto"/>
          <w:spacing w:val="-6"/>
          <w:sz w:val="32"/>
          <w:szCs w:val="40"/>
          <w:highlight w:val="none"/>
          <w:lang w:eastAsia="zh-CN"/>
        </w:rPr>
        <w:t>，</w:t>
      </w:r>
      <w:r>
        <w:rPr>
          <w:rFonts w:hint="eastAsia" w:ascii="Times New Roman" w:hAnsi="Times New Roman" w:eastAsia="仿宋_GB2312" w:cs="方正仿宋_GBK"/>
          <w:b w:val="0"/>
          <w:bCs w:val="0"/>
          <w:color w:val="auto"/>
          <w:spacing w:val="-6"/>
          <w:sz w:val="32"/>
          <w:szCs w:val="40"/>
          <w:highlight w:val="none"/>
          <w:lang w:val="en-US" w:eastAsia="zh-CN"/>
        </w:rPr>
        <w:t>经济基础更加稳固</w:t>
      </w:r>
      <w:r>
        <w:rPr>
          <w:rFonts w:hint="eastAsia" w:ascii="Times New Roman" w:hAnsi="Times New Roman" w:eastAsia="仿宋_GB2312" w:cs="方正仿宋_GBK"/>
          <w:b w:val="0"/>
          <w:bCs w:val="0"/>
          <w:color w:val="auto"/>
          <w:spacing w:val="-6"/>
          <w:sz w:val="32"/>
          <w:szCs w:val="40"/>
          <w:highlight w:val="none"/>
        </w:rPr>
        <w:t>。2021年地区生产总值突破2000亿元大关，达到20</w:t>
      </w:r>
      <w:r>
        <w:rPr>
          <w:rFonts w:hint="eastAsia" w:ascii="Times New Roman" w:hAnsi="Times New Roman" w:eastAsia="仿宋_GB2312" w:cs="方正仿宋_GBK"/>
          <w:b w:val="0"/>
          <w:bCs w:val="0"/>
          <w:color w:val="auto"/>
          <w:spacing w:val="-6"/>
          <w:sz w:val="32"/>
          <w:szCs w:val="40"/>
          <w:highlight w:val="none"/>
          <w:lang w:val="en-US" w:eastAsia="zh-CN"/>
        </w:rPr>
        <w:t>43.7</w:t>
      </w:r>
      <w:r>
        <w:rPr>
          <w:rFonts w:hint="eastAsia" w:ascii="Times New Roman" w:hAnsi="Times New Roman" w:eastAsia="仿宋_GB2312" w:cs="方正仿宋_GBK"/>
          <w:b w:val="0"/>
          <w:bCs w:val="0"/>
          <w:color w:val="auto"/>
          <w:spacing w:val="-6"/>
          <w:sz w:val="32"/>
          <w:szCs w:val="40"/>
          <w:highlight w:val="none"/>
        </w:rPr>
        <w:t>亿元</w:t>
      </w:r>
      <w:r>
        <w:rPr>
          <w:rFonts w:hint="eastAsia" w:ascii="Times New Roman" w:hAnsi="Times New Roman" w:eastAsia="仿宋_GB2312" w:cs="方正仿宋_GBK"/>
          <w:b w:val="0"/>
          <w:bCs w:val="0"/>
          <w:color w:val="auto"/>
          <w:spacing w:val="-6"/>
          <w:sz w:val="32"/>
          <w:szCs w:val="40"/>
          <w:highlight w:val="none"/>
          <w:lang w:eastAsia="zh-CN"/>
        </w:rPr>
        <w:t>；</w:t>
      </w:r>
      <w:r>
        <w:rPr>
          <w:rFonts w:hint="eastAsia" w:ascii="Times New Roman" w:hAnsi="Times New Roman" w:eastAsia="仿宋_GB2312" w:cs="方正仿宋_GBK"/>
          <w:b w:val="0"/>
          <w:bCs w:val="0"/>
          <w:color w:val="auto"/>
          <w:spacing w:val="-6"/>
          <w:sz w:val="32"/>
          <w:szCs w:val="40"/>
          <w:highlight w:val="none"/>
        </w:rPr>
        <w:t>2022</w:t>
      </w:r>
      <w:r>
        <w:rPr>
          <w:rFonts w:hint="eastAsia" w:ascii="Times New Roman" w:hAnsi="Times New Roman" w:eastAsia="仿宋_GB2312" w:cs="方正仿宋_GBK"/>
          <w:b w:val="0"/>
          <w:bCs w:val="0"/>
          <w:color w:val="auto"/>
          <w:spacing w:val="-6"/>
          <w:sz w:val="32"/>
          <w:szCs w:val="40"/>
          <w:highlight w:val="none"/>
          <w:lang w:eastAsia="zh-CN"/>
        </w:rPr>
        <w:t>—</w:t>
      </w:r>
      <w:r>
        <w:rPr>
          <w:rFonts w:hint="eastAsia" w:ascii="Times New Roman" w:hAnsi="Times New Roman" w:eastAsia="仿宋_GB2312" w:cs="方正仿宋_GBK"/>
          <w:b w:val="0"/>
          <w:bCs w:val="0"/>
          <w:color w:val="auto"/>
          <w:spacing w:val="-6"/>
          <w:sz w:val="32"/>
          <w:szCs w:val="40"/>
          <w:highlight w:val="none"/>
        </w:rPr>
        <w:t>202</w:t>
      </w:r>
      <w:r>
        <w:rPr>
          <w:rFonts w:hint="eastAsia" w:ascii="Times New Roman" w:hAnsi="Times New Roman" w:eastAsia="仿宋_GB2312" w:cs="方正仿宋_GBK"/>
          <w:b w:val="0"/>
          <w:bCs w:val="0"/>
          <w:color w:val="auto"/>
          <w:spacing w:val="-6"/>
          <w:sz w:val="32"/>
          <w:szCs w:val="40"/>
          <w:highlight w:val="none"/>
          <w:lang w:val="en-US" w:eastAsia="zh-CN"/>
        </w:rPr>
        <w:t>5</w:t>
      </w:r>
      <w:r>
        <w:rPr>
          <w:rFonts w:hint="eastAsia" w:ascii="Times New Roman" w:hAnsi="Times New Roman" w:eastAsia="仿宋_GB2312" w:cs="方正仿宋_GBK"/>
          <w:b w:val="0"/>
          <w:bCs w:val="0"/>
          <w:color w:val="auto"/>
          <w:spacing w:val="-6"/>
          <w:sz w:val="32"/>
          <w:szCs w:val="40"/>
          <w:highlight w:val="none"/>
        </w:rPr>
        <w:t>年经济总量持续增长，2022年21</w:t>
      </w:r>
      <w:r>
        <w:rPr>
          <w:rFonts w:hint="eastAsia" w:ascii="Times New Roman" w:hAnsi="Times New Roman" w:eastAsia="仿宋_GB2312" w:cs="方正仿宋_GBK"/>
          <w:b w:val="0"/>
          <w:bCs w:val="0"/>
          <w:color w:val="auto"/>
          <w:spacing w:val="-6"/>
          <w:sz w:val="32"/>
          <w:szCs w:val="40"/>
          <w:highlight w:val="none"/>
          <w:lang w:val="en-US" w:eastAsia="zh-CN"/>
        </w:rPr>
        <w:t>72.2</w:t>
      </w:r>
      <w:r>
        <w:rPr>
          <w:rFonts w:hint="eastAsia" w:ascii="Times New Roman" w:hAnsi="Times New Roman" w:eastAsia="仿宋_GB2312" w:cs="方正仿宋_GBK"/>
          <w:b w:val="0"/>
          <w:bCs w:val="0"/>
          <w:color w:val="auto"/>
          <w:spacing w:val="-6"/>
          <w:sz w:val="32"/>
          <w:szCs w:val="40"/>
          <w:highlight w:val="none"/>
        </w:rPr>
        <w:t>亿元，2023年2</w:t>
      </w:r>
      <w:r>
        <w:rPr>
          <w:rFonts w:hint="eastAsia" w:ascii="Times New Roman" w:hAnsi="Times New Roman" w:eastAsia="仿宋_GB2312" w:cs="方正仿宋_GBK"/>
          <w:b w:val="0"/>
          <w:bCs w:val="0"/>
          <w:color w:val="auto"/>
          <w:spacing w:val="-6"/>
          <w:sz w:val="32"/>
          <w:szCs w:val="40"/>
          <w:highlight w:val="none"/>
          <w:lang w:val="en-US" w:eastAsia="zh-CN"/>
        </w:rPr>
        <w:t>221.2</w:t>
      </w:r>
      <w:r>
        <w:rPr>
          <w:rFonts w:hint="eastAsia" w:ascii="Times New Roman" w:hAnsi="Times New Roman" w:eastAsia="仿宋_GB2312" w:cs="方正仿宋_GBK"/>
          <w:b w:val="0"/>
          <w:bCs w:val="0"/>
          <w:color w:val="auto"/>
          <w:spacing w:val="-6"/>
          <w:sz w:val="32"/>
          <w:szCs w:val="40"/>
          <w:highlight w:val="none"/>
        </w:rPr>
        <w:t>亿元，2024年达到232</w:t>
      </w:r>
      <w:r>
        <w:rPr>
          <w:rFonts w:hint="eastAsia" w:ascii="Times New Roman" w:hAnsi="Times New Roman" w:eastAsia="仿宋_GB2312" w:cs="方正仿宋_GBK"/>
          <w:b w:val="0"/>
          <w:bCs w:val="0"/>
          <w:color w:val="auto"/>
          <w:spacing w:val="-6"/>
          <w:sz w:val="32"/>
          <w:szCs w:val="40"/>
          <w:highlight w:val="none"/>
          <w:lang w:val="en-US" w:eastAsia="zh-CN"/>
        </w:rPr>
        <w:t>8</w:t>
      </w:r>
      <w:r>
        <w:rPr>
          <w:rFonts w:hint="eastAsia" w:ascii="Times New Roman" w:hAnsi="Times New Roman" w:eastAsia="仿宋_GB2312" w:cs="方正仿宋_GBK"/>
          <w:b w:val="0"/>
          <w:bCs w:val="0"/>
          <w:color w:val="auto"/>
          <w:spacing w:val="-6"/>
          <w:sz w:val="32"/>
          <w:szCs w:val="40"/>
          <w:highlight w:val="none"/>
        </w:rPr>
        <w:t>.</w:t>
      </w:r>
      <w:r>
        <w:rPr>
          <w:rFonts w:hint="eastAsia" w:ascii="Times New Roman" w:hAnsi="Times New Roman" w:eastAsia="仿宋_GB2312" w:cs="方正仿宋_GBK"/>
          <w:b w:val="0"/>
          <w:bCs w:val="0"/>
          <w:color w:val="auto"/>
          <w:spacing w:val="-6"/>
          <w:sz w:val="32"/>
          <w:szCs w:val="40"/>
          <w:highlight w:val="none"/>
          <w:lang w:val="en-US" w:eastAsia="zh-CN"/>
        </w:rPr>
        <w:t>3</w:t>
      </w:r>
      <w:r>
        <w:rPr>
          <w:rFonts w:hint="eastAsia" w:ascii="Times New Roman" w:hAnsi="Times New Roman" w:eastAsia="仿宋_GB2312" w:cs="方正仿宋_GBK"/>
          <w:b w:val="0"/>
          <w:bCs w:val="0"/>
          <w:color w:val="auto"/>
          <w:spacing w:val="-6"/>
          <w:sz w:val="32"/>
          <w:szCs w:val="40"/>
          <w:highlight w:val="none"/>
        </w:rPr>
        <w:t>亿元，同比增长4.</w:t>
      </w:r>
      <w:r>
        <w:rPr>
          <w:rFonts w:hint="eastAsia" w:ascii="Times New Roman" w:hAnsi="Times New Roman" w:eastAsia="仿宋_GB2312" w:cs="方正仿宋_GBK"/>
          <w:b w:val="0"/>
          <w:bCs w:val="0"/>
          <w:color w:val="auto"/>
          <w:spacing w:val="-6"/>
          <w:sz w:val="32"/>
          <w:szCs w:val="40"/>
          <w:highlight w:val="none"/>
          <w:lang w:val="en-US" w:eastAsia="zh-CN"/>
        </w:rPr>
        <w:t>5</w:t>
      </w:r>
      <w:r>
        <w:rPr>
          <w:rFonts w:hint="eastAsia" w:ascii="Times New Roman" w:hAnsi="Times New Roman" w:eastAsia="仿宋_GB2312" w:cs="方正仿宋_GBK"/>
          <w:b w:val="0"/>
          <w:bCs w:val="0"/>
          <w:color w:val="auto"/>
          <w:spacing w:val="-6"/>
          <w:sz w:val="32"/>
          <w:szCs w:val="40"/>
          <w:highlight w:val="none"/>
        </w:rPr>
        <w:t>%，</w:t>
      </w:r>
      <w:r>
        <w:rPr>
          <w:rFonts w:hint="eastAsia" w:ascii="Times New Roman" w:hAnsi="Times New Roman" w:eastAsia="仿宋_GB2312" w:cs="方正仿宋_GBK"/>
          <w:b w:val="0"/>
          <w:bCs w:val="0"/>
          <w:color w:val="auto"/>
          <w:spacing w:val="-6"/>
          <w:sz w:val="32"/>
          <w:szCs w:val="40"/>
          <w:highlight w:val="none"/>
          <w:lang w:val="en-US" w:eastAsia="zh-CN"/>
        </w:rPr>
        <w:t>2025年达2407.1亿元，</w:t>
      </w:r>
      <w:r>
        <w:rPr>
          <w:rFonts w:hint="eastAsia" w:ascii="Times New Roman" w:hAnsi="Times New Roman" w:eastAsia="仿宋_GB2312" w:cs="方正仿宋_GBK"/>
          <w:b w:val="0"/>
          <w:bCs w:val="0"/>
          <w:color w:val="auto"/>
          <w:spacing w:val="-6"/>
          <w:sz w:val="32"/>
          <w:szCs w:val="40"/>
          <w:highlight w:val="none"/>
        </w:rPr>
        <w:t>同比增长4.</w:t>
      </w:r>
      <w:r>
        <w:rPr>
          <w:rFonts w:hint="eastAsia" w:ascii="Times New Roman" w:hAnsi="Times New Roman" w:eastAsia="仿宋_GB2312" w:cs="方正仿宋_GBK"/>
          <w:b w:val="0"/>
          <w:bCs w:val="0"/>
          <w:color w:val="auto"/>
          <w:spacing w:val="-6"/>
          <w:sz w:val="32"/>
          <w:szCs w:val="40"/>
          <w:highlight w:val="none"/>
          <w:lang w:val="en-US" w:eastAsia="zh-CN"/>
        </w:rPr>
        <w:t>9</w:t>
      </w:r>
      <w:r>
        <w:rPr>
          <w:rFonts w:hint="eastAsia" w:ascii="Times New Roman" w:hAnsi="Times New Roman" w:eastAsia="仿宋_GB2312" w:cs="方正仿宋_GBK"/>
          <w:b w:val="0"/>
          <w:bCs w:val="0"/>
          <w:color w:val="auto"/>
          <w:spacing w:val="-6"/>
          <w:sz w:val="32"/>
          <w:szCs w:val="40"/>
          <w:highlight w:val="none"/>
        </w:rPr>
        <w:t>%，总量稳居全区第四位、蒙东地区首位；固定资产投资规模持续扩大，2021—202</w:t>
      </w:r>
      <w:r>
        <w:rPr>
          <w:rFonts w:hint="eastAsia" w:ascii="Times New Roman" w:hAnsi="Times New Roman" w:eastAsia="仿宋_GB2312" w:cs="方正仿宋_GBK"/>
          <w:b w:val="0"/>
          <w:bCs w:val="0"/>
          <w:color w:val="auto"/>
          <w:spacing w:val="-6"/>
          <w:sz w:val="32"/>
          <w:szCs w:val="40"/>
          <w:highlight w:val="none"/>
          <w:lang w:val="en-US" w:eastAsia="zh-CN"/>
        </w:rPr>
        <w:t>5</w:t>
      </w:r>
      <w:r>
        <w:rPr>
          <w:rFonts w:hint="eastAsia" w:ascii="Times New Roman" w:hAnsi="Times New Roman" w:eastAsia="仿宋_GB2312" w:cs="方正仿宋_GBK"/>
          <w:b w:val="0"/>
          <w:bCs w:val="0"/>
          <w:color w:val="auto"/>
          <w:spacing w:val="-6"/>
          <w:sz w:val="32"/>
          <w:szCs w:val="40"/>
          <w:highlight w:val="none"/>
        </w:rPr>
        <w:t>年固定资产投资年均增长</w:t>
      </w:r>
      <w:r>
        <w:rPr>
          <w:rFonts w:hint="eastAsia" w:ascii="Times New Roman" w:hAnsi="Times New Roman" w:eastAsia="仿宋_GB2312" w:cs="方正仿宋_GBK"/>
          <w:b w:val="0"/>
          <w:bCs w:val="0"/>
          <w:color w:val="auto"/>
          <w:spacing w:val="-6"/>
          <w:sz w:val="32"/>
          <w:szCs w:val="40"/>
          <w:highlight w:val="none"/>
          <w:lang w:val="en-US" w:eastAsia="zh-CN"/>
        </w:rPr>
        <w:t>8.7</w:t>
      </w:r>
      <w:r>
        <w:rPr>
          <w:rFonts w:hint="eastAsia" w:ascii="Times New Roman" w:hAnsi="Times New Roman" w:eastAsia="仿宋_GB2312" w:cs="方正仿宋_GBK"/>
          <w:b w:val="0"/>
          <w:bCs w:val="0"/>
          <w:color w:val="auto"/>
          <w:spacing w:val="-6"/>
          <w:sz w:val="32"/>
          <w:szCs w:val="40"/>
          <w:highlight w:val="none"/>
        </w:rPr>
        <w:t>%，202</w:t>
      </w:r>
      <w:r>
        <w:rPr>
          <w:rFonts w:hint="eastAsia" w:ascii="Times New Roman" w:hAnsi="Times New Roman" w:eastAsia="仿宋_GB2312" w:cs="方正仿宋_GBK"/>
          <w:b w:val="0"/>
          <w:bCs w:val="0"/>
          <w:color w:val="auto"/>
          <w:spacing w:val="-6"/>
          <w:sz w:val="32"/>
          <w:szCs w:val="40"/>
          <w:highlight w:val="none"/>
          <w:lang w:val="en-US" w:eastAsia="zh-CN"/>
        </w:rPr>
        <w:t>5</w:t>
      </w:r>
      <w:r>
        <w:rPr>
          <w:rFonts w:hint="eastAsia" w:ascii="Times New Roman" w:hAnsi="Times New Roman" w:eastAsia="仿宋_GB2312" w:cs="方正仿宋_GBK"/>
          <w:b w:val="0"/>
          <w:bCs w:val="0"/>
          <w:color w:val="auto"/>
          <w:spacing w:val="-6"/>
          <w:sz w:val="32"/>
          <w:szCs w:val="40"/>
          <w:highlight w:val="none"/>
        </w:rPr>
        <w:t>年增长</w:t>
      </w:r>
      <w:r>
        <w:rPr>
          <w:rFonts w:hint="eastAsia" w:ascii="Times New Roman" w:hAnsi="Times New Roman" w:eastAsia="仿宋_GB2312" w:cs="方正仿宋_GBK"/>
          <w:b w:val="0"/>
          <w:bCs w:val="0"/>
          <w:color w:val="auto"/>
          <w:spacing w:val="-6"/>
          <w:sz w:val="32"/>
          <w:szCs w:val="40"/>
          <w:highlight w:val="none"/>
          <w:lang w:val="en-US" w:eastAsia="zh-CN"/>
        </w:rPr>
        <w:t>7</w:t>
      </w:r>
      <w:r>
        <w:rPr>
          <w:rFonts w:hint="eastAsia" w:ascii="Times New Roman" w:hAnsi="Times New Roman" w:eastAsia="仿宋_GB2312" w:cs="方正仿宋_GBK"/>
          <w:b w:val="0"/>
          <w:bCs w:val="0"/>
          <w:color w:val="auto"/>
          <w:spacing w:val="-6"/>
          <w:sz w:val="32"/>
          <w:szCs w:val="40"/>
          <w:highlight w:val="none"/>
        </w:rPr>
        <w:t>%，增速高于全国平均水平；规上工业增加值稳步前行，2021—202</w:t>
      </w:r>
      <w:r>
        <w:rPr>
          <w:rFonts w:hint="eastAsia" w:ascii="Times New Roman" w:hAnsi="Times New Roman" w:eastAsia="仿宋_GB2312" w:cs="方正仿宋_GBK"/>
          <w:b w:val="0"/>
          <w:bCs w:val="0"/>
          <w:color w:val="auto"/>
          <w:spacing w:val="-6"/>
          <w:sz w:val="32"/>
          <w:szCs w:val="40"/>
          <w:highlight w:val="none"/>
          <w:lang w:val="en-US" w:eastAsia="zh-CN"/>
        </w:rPr>
        <w:t>5</w:t>
      </w:r>
      <w:r>
        <w:rPr>
          <w:rFonts w:hint="eastAsia" w:ascii="Times New Roman" w:hAnsi="Times New Roman" w:eastAsia="仿宋_GB2312" w:cs="方正仿宋_GBK"/>
          <w:b w:val="0"/>
          <w:bCs w:val="0"/>
          <w:color w:val="auto"/>
          <w:spacing w:val="-6"/>
          <w:sz w:val="32"/>
          <w:szCs w:val="40"/>
          <w:highlight w:val="none"/>
        </w:rPr>
        <w:t>年规上工业增加值年均增速达到</w:t>
      </w:r>
      <w:r>
        <w:rPr>
          <w:rFonts w:hint="eastAsia" w:ascii="Times New Roman" w:hAnsi="Times New Roman" w:eastAsia="仿宋_GB2312" w:cs="方正仿宋_GBK"/>
          <w:b w:val="0"/>
          <w:bCs w:val="0"/>
          <w:color w:val="auto"/>
          <w:spacing w:val="-6"/>
          <w:sz w:val="32"/>
          <w:szCs w:val="40"/>
          <w:highlight w:val="none"/>
          <w:lang w:val="en-US" w:eastAsia="zh-CN"/>
        </w:rPr>
        <w:t>6.6</w:t>
      </w:r>
      <w:r>
        <w:rPr>
          <w:rFonts w:hint="eastAsia" w:ascii="Times New Roman" w:hAnsi="Times New Roman" w:eastAsia="仿宋_GB2312" w:cs="方正仿宋_GBK"/>
          <w:b w:val="0"/>
          <w:bCs w:val="0"/>
          <w:color w:val="auto"/>
          <w:spacing w:val="-6"/>
          <w:sz w:val="32"/>
          <w:szCs w:val="40"/>
          <w:highlight w:val="none"/>
        </w:rPr>
        <w:t>%，</w:t>
      </w:r>
      <w:r>
        <w:rPr>
          <w:rFonts w:hint="eastAsia" w:ascii="Times New Roman" w:hAnsi="Times New Roman" w:eastAsia="仿宋_GB2312" w:cs="方正仿宋_GBK"/>
          <w:b w:val="0"/>
          <w:bCs w:val="0"/>
          <w:color w:val="auto"/>
          <w:spacing w:val="-6"/>
          <w:sz w:val="32"/>
          <w:szCs w:val="40"/>
          <w:highlight w:val="none"/>
          <w:lang w:val="en-US" w:eastAsia="zh-CN"/>
        </w:rPr>
        <w:t>2024年工业经济总量成为全区第四个突破2000亿元大关的地区，2025年工业投资增长16.3%、领跑全区，工业经济发展持续向好。</w:t>
      </w:r>
    </w:p>
    <w:p w14:paraId="7B58393B">
      <w:pPr>
        <w:keepNext w:val="0"/>
        <w:keepLines w:val="0"/>
        <w:pageBreakBefore w:val="0"/>
        <w:widowControl w:val="0"/>
        <w:shd w:val="clear" w:color="auto" w:fill="auto"/>
        <w:kinsoku/>
        <w:wordWrap/>
        <w:topLinePunct w:val="0"/>
        <w:autoSpaceDE/>
        <w:autoSpaceDN/>
        <w:bidi w:val="0"/>
        <w:adjustRightInd/>
        <w:snapToGrid/>
        <w:spacing w:line="560" w:lineRule="exact"/>
        <w:ind w:firstLine="616" w:firstLineChars="200"/>
        <w:textAlignment w:val="auto"/>
        <w:outlineLvl w:val="9"/>
        <w:rPr>
          <w:rFonts w:hint="eastAsia" w:ascii="Times New Roman" w:hAnsi="Times New Roman" w:eastAsia="仿宋_GB2312" w:cs="方正仿宋_GBK"/>
          <w:b w:val="0"/>
          <w:bCs w:val="0"/>
          <w:color w:val="auto"/>
          <w:spacing w:val="-6"/>
          <w:sz w:val="32"/>
          <w:szCs w:val="40"/>
          <w:highlight w:val="none"/>
        </w:rPr>
      </w:pPr>
      <w:r>
        <w:rPr>
          <w:rFonts w:hint="eastAsia" w:ascii="Times New Roman" w:hAnsi="Times New Roman" w:eastAsia="仿宋_GB2312" w:cs="方正仿宋_GBK"/>
          <w:b w:val="0"/>
          <w:bCs w:val="0"/>
          <w:spacing w:val="-6"/>
          <w:sz w:val="32"/>
          <w:szCs w:val="40"/>
          <w:highlight w:val="none"/>
          <w:lang w:val="en-US" w:eastAsia="zh-CN"/>
        </w:rPr>
        <w:t>产业转型升级步伐加快</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color w:val="auto"/>
          <w:spacing w:val="-6"/>
          <w:sz w:val="32"/>
          <w:szCs w:val="40"/>
          <w:highlight w:val="none"/>
        </w:rPr>
        <w:t>“十四五”以来，赤峰市聚力推动产业转型升级和提质增效，产业结构不断优化，产业基础不断夯实。农牧业发展实现量质齐升</w:t>
      </w:r>
      <w:r>
        <w:rPr>
          <w:rFonts w:hint="eastAsia" w:ascii="Times New Roman" w:hAnsi="Times New Roman" w:eastAsia="仿宋_GB2312" w:cs="方正仿宋_GBK"/>
          <w:b w:val="0"/>
          <w:bCs w:val="0"/>
          <w:color w:val="auto"/>
          <w:spacing w:val="-6"/>
          <w:sz w:val="32"/>
          <w:szCs w:val="40"/>
          <w:highlight w:val="none"/>
          <w:lang w:eastAsia="zh-CN"/>
        </w:rPr>
        <w:t>，</w:t>
      </w:r>
      <w:r>
        <w:rPr>
          <w:rFonts w:hint="eastAsia" w:ascii="Times New Roman" w:hAnsi="Times New Roman" w:eastAsia="仿宋_GB2312" w:cs="方正仿宋_GBK"/>
          <w:b w:val="0"/>
          <w:bCs w:val="0"/>
          <w:color w:val="auto"/>
          <w:spacing w:val="-6"/>
          <w:sz w:val="32"/>
          <w:szCs w:val="40"/>
          <w:highlight w:val="none"/>
          <w:lang w:val="en-US" w:eastAsia="zh-CN"/>
        </w:rPr>
        <w:t>粮食安全保障能力持续增强，</w:t>
      </w:r>
      <w:r>
        <w:rPr>
          <w:rFonts w:hint="eastAsia" w:ascii="Times New Roman" w:hAnsi="Times New Roman" w:eastAsia="仿宋_GB2312" w:cs="方正仿宋_GBK"/>
          <w:b w:val="0"/>
          <w:bCs w:val="0"/>
          <w:color w:val="auto"/>
          <w:spacing w:val="-6"/>
          <w:sz w:val="32"/>
          <w:szCs w:val="40"/>
          <w:highlight w:val="none"/>
          <w:lang w:eastAsia="zh-CN"/>
        </w:rPr>
        <w:t>粮食播种面积保持在1700万亩以上，粮食产量连续稳定在130亿斤以上；</w:t>
      </w:r>
      <w:r>
        <w:rPr>
          <w:rFonts w:hint="eastAsia" w:ascii="Times New Roman" w:hAnsi="Times New Roman" w:eastAsia="仿宋_GB2312" w:cs="方正仿宋_GBK"/>
          <w:b w:val="0"/>
          <w:bCs w:val="0"/>
          <w:color w:val="auto"/>
          <w:spacing w:val="-6"/>
          <w:sz w:val="32"/>
          <w:szCs w:val="40"/>
          <w:highlight w:val="none"/>
          <w:lang w:val="en-US" w:eastAsia="zh-CN"/>
        </w:rPr>
        <w:t>农畜产品供给保障能力稳步提高，行业调度</w:t>
      </w:r>
      <w:r>
        <w:rPr>
          <w:rFonts w:hint="eastAsia" w:ascii="Times New Roman" w:hAnsi="Times New Roman" w:eastAsia="仿宋_GB2312" w:cs="方正仿宋_GBK"/>
          <w:b w:val="0"/>
          <w:bCs w:val="0"/>
          <w:color w:val="auto"/>
          <w:spacing w:val="-6"/>
          <w:sz w:val="32"/>
          <w:szCs w:val="40"/>
          <w:highlight w:val="none"/>
          <w:lang w:eastAsia="zh-CN"/>
        </w:rPr>
        <w:t>牲畜存栏</w:t>
      </w:r>
      <w:r>
        <w:rPr>
          <w:rFonts w:hint="eastAsia" w:ascii="Times New Roman" w:hAnsi="Times New Roman" w:eastAsia="仿宋_GB2312" w:cs="方正仿宋_GBK"/>
          <w:b w:val="0"/>
          <w:bCs w:val="0"/>
          <w:color w:val="auto"/>
          <w:spacing w:val="-6"/>
          <w:sz w:val="32"/>
          <w:szCs w:val="40"/>
          <w:highlight w:val="none"/>
          <w:lang w:val="en-US" w:eastAsia="zh-CN"/>
        </w:rPr>
        <w:t>超过</w:t>
      </w:r>
      <w:r>
        <w:rPr>
          <w:rFonts w:hint="eastAsia" w:ascii="Times New Roman" w:hAnsi="Times New Roman" w:eastAsia="仿宋_GB2312" w:cs="方正仿宋_GBK"/>
          <w:b w:val="0"/>
          <w:bCs w:val="0"/>
          <w:color w:val="auto"/>
          <w:spacing w:val="-6"/>
          <w:sz w:val="32"/>
          <w:szCs w:val="40"/>
          <w:highlight w:val="none"/>
          <w:lang w:eastAsia="zh-CN"/>
        </w:rPr>
        <w:t>2</w:t>
      </w:r>
      <w:r>
        <w:rPr>
          <w:rFonts w:hint="eastAsia" w:ascii="Times New Roman" w:hAnsi="Times New Roman" w:eastAsia="仿宋_GB2312" w:cs="方正仿宋_GBK"/>
          <w:b w:val="0"/>
          <w:bCs w:val="0"/>
          <w:color w:val="auto"/>
          <w:spacing w:val="-6"/>
          <w:sz w:val="32"/>
          <w:szCs w:val="40"/>
          <w:highlight w:val="none"/>
          <w:lang w:val="en-US" w:eastAsia="zh-CN"/>
        </w:rPr>
        <w:t>400</w:t>
      </w:r>
      <w:r>
        <w:rPr>
          <w:rFonts w:hint="eastAsia" w:ascii="Times New Roman" w:hAnsi="Times New Roman" w:eastAsia="仿宋_GB2312" w:cs="方正仿宋_GBK"/>
          <w:b w:val="0"/>
          <w:bCs w:val="0"/>
          <w:color w:val="auto"/>
          <w:spacing w:val="-6"/>
          <w:sz w:val="32"/>
          <w:szCs w:val="40"/>
          <w:highlight w:val="none"/>
          <w:lang w:eastAsia="zh-CN"/>
        </w:rPr>
        <w:t>万头只，肉类综合生产能力</w:t>
      </w:r>
      <w:r>
        <w:rPr>
          <w:rFonts w:hint="eastAsia" w:ascii="Times New Roman" w:hAnsi="Times New Roman" w:eastAsia="仿宋_GB2312" w:cs="方正仿宋_GBK"/>
          <w:b w:val="0"/>
          <w:bCs w:val="0"/>
          <w:color w:val="auto"/>
          <w:spacing w:val="-6"/>
          <w:sz w:val="32"/>
          <w:szCs w:val="40"/>
          <w:highlight w:val="none"/>
          <w:lang w:val="en-US" w:eastAsia="zh-CN"/>
        </w:rPr>
        <w:t>180.6</w:t>
      </w:r>
      <w:r>
        <w:rPr>
          <w:rFonts w:hint="eastAsia" w:ascii="Times New Roman" w:hAnsi="Times New Roman" w:eastAsia="仿宋_GB2312" w:cs="方正仿宋_GBK"/>
          <w:b w:val="0"/>
          <w:bCs w:val="0"/>
          <w:color w:val="auto"/>
          <w:spacing w:val="-6"/>
          <w:sz w:val="32"/>
          <w:szCs w:val="40"/>
          <w:highlight w:val="none"/>
          <w:lang w:eastAsia="zh-CN"/>
        </w:rPr>
        <w:t>万吨，禽蛋总产量</w:t>
      </w:r>
      <w:r>
        <w:rPr>
          <w:rFonts w:hint="eastAsia" w:ascii="Times New Roman" w:hAnsi="Times New Roman" w:eastAsia="仿宋_GB2312" w:cs="方正仿宋_GBK"/>
          <w:b w:val="0"/>
          <w:bCs w:val="0"/>
          <w:color w:val="auto"/>
          <w:spacing w:val="-6"/>
          <w:sz w:val="32"/>
          <w:szCs w:val="40"/>
          <w:highlight w:val="none"/>
          <w:lang w:val="en-US" w:eastAsia="zh-CN"/>
        </w:rPr>
        <w:t>41.4</w:t>
      </w:r>
      <w:r>
        <w:rPr>
          <w:rFonts w:hint="eastAsia" w:ascii="Times New Roman" w:hAnsi="Times New Roman" w:eastAsia="仿宋_GB2312" w:cs="方正仿宋_GBK"/>
          <w:b w:val="0"/>
          <w:bCs w:val="0"/>
          <w:color w:val="auto"/>
          <w:spacing w:val="-6"/>
          <w:sz w:val="32"/>
          <w:szCs w:val="40"/>
          <w:highlight w:val="none"/>
          <w:lang w:eastAsia="zh-CN"/>
        </w:rPr>
        <w:t>万吨，均稳居自治区前列；设施农业累计综合占地面积</w:t>
      </w:r>
      <w:r>
        <w:rPr>
          <w:rFonts w:hint="eastAsia" w:ascii="Times New Roman" w:hAnsi="Times New Roman" w:eastAsia="仿宋_GB2312" w:cs="方正仿宋_GBK"/>
          <w:b w:val="0"/>
          <w:bCs w:val="0"/>
          <w:color w:val="auto"/>
          <w:spacing w:val="-6"/>
          <w:sz w:val="32"/>
          <w:szCs w:val="40"/>
          <w:highlight w:val="none"/>
          <w:lang w:val="en-US" w:eastAsia="zh-CN"/>
        </w:rPr>
        <w:t>206.6</w:t>
      </w:r>
      <w:r>
        <w:rPr>
          <w:rFonts w:hint="eastAsia" w:ascii="Times New Roman" w:hAnsi="Times New Roman" w:eastAsia="仿宋_GB2312" w:cs="方正仿宋_GBK"/>
          <w:b w:val="0"/>
          <w:bCs w:val="0"/>
          <w:color w:val="auto"/>
          <w:spacing w:val="-6"/>
          <w:sz w:val="32"/>
          <w:szCs w:val="40"/>
          <w:highlight w:val="none"/>
          <w:lang w:eastAsia="zh-CN"/>
        </w:rPr>
        <w:t>万亩，年产量突破5</w:t>
      </w:r>
      <w:r>
        <w:rPr>
          <w:rFonts w:hint="eastAsia" w:ascii="Times New Roman" w:hAnsi="Times New Roman" w:eastAsia="仿宋_GB2312" w:cs="方正仿宋_GBK"/>
          <w:b w:val="0"/>
          <w:bCs w:val="0"/>
          <w:color w:val="auto"/>
          <w:spacing w:val="-6"/>
          <w:sz w:val="32"/>
          <w:szCs w:val="40"/>
          <w:highlight w:val="none"/>
          <w:lang w:val="en-US" w:eastAsia="zh-CN"/>
        </w:rPr>
        <w:t>3</w:t>
      </w:r>
      <w:r>
        <w:rPr>
          <w:rFonts w:hint="eastAsia" w:ascii="Times New Roman" w:hAnsi="Times New Roman" w:eastAsia="仿宋_GB2312" w:cs="方正仿宋_GBK"/>
          <w:b w:val="0"/>
          <w:bCs w:val="0"/>
          <w:color w:val="auto"/>
          <w:spacing w:val="-6"/>
          <w:sz w:val="32"/>
          <w:szCs w:val="40"/>
          <w:highlight w:val="none"/>
          <w:lang w:eastAsia="zh-CN"/>
        </w:rPr>
        <w:t>0万吨，稳居全区首位。人工饲草种植保有面积达到341万亩，饲草产量达到</w:t>
      </w:r>
      <w:r>
        <w:rPr>
          <w:rFonts w:hint="eastAsia" w:ascii="Times New Roman" w:hAnsi="Times New Roman" w:eastAsia="仿宋_GB2312" w:cs="方正仿宋_GBK"/>
          <w:b w:val="0"/>
          <w:bCs w:val="0"/>
          <w:color w:val="auto"/>
          <w:spacing w:val="-6"/>
          <w:sz w:val="32"/>
          <w:szCs w:val="40"/>
          <w:highlight w:val="none"/>
          <w:lang w:val="en-US" w:eastAsia="zh-CN"/>
        </w:rPr>
        <w:t>838</w:t>
      </w:r>
      <w:r>
        <w:rPr>
          <w:rFonts w:hint="eastAsia" w:ascii="Times New Roman" w:hAnsi="Times New Roman" w:eastAsia="仿宋_GB2312" w:cs="方正仿宋_GBK"/>
          <w:b w:val="0"/>
          <w:bCs w:val="0"/>
          <w:color w:val="auto"/>
          <w:spacing w:val="-6"/>
          <w:sz w:val="32"/>
          <w:szCs w:val="40"/>
          <w:highlight w:val="none"/>
          <w:lang w:eastAsia="zh-CN"/>
        </w:rPr>
        <w:t>万吨以上，苜蓿、燕麦产量居全区首位。主要农畜产品加工转化率达到</w:t>
      </w:r>
      <w:r>
        <w:rPr>
          <w:rFonts w:hint="eastAsia" w:ascii="Times New Roman" w:hAnsi="Times New Roman" w:eastAsia="仿宋_GB2312" w:cs="方正仿宋_GBK"/>
          <w:b w:val="0"/>
          <w:bCs w:val="0"/>
          <w:color w:val="auto"/>
          <w:spacing w:val="-6"/>
          <w:sz w:val="32"/>
          <w:szCs w:val="40"/>
          <w:highlight w:val="none"/>
          <w:lang w:val="en-US" w:eastAsia="zh-CN"/>
        </w:rPr>
        <w:t>80</w:t>
      </w:r>
      <w:r>
        <w:rPr>
          <w:rFonts w:hint="eastAsia" w:ascii="Times New Roman" w:hAnsi="Times New Roman" w:eastAsia="仿宋_GB2312" w:cs="方正仿宋_GBK"/>
          <w:b w:val="0"/>
          <w:bCs w:val="0"/>
          <w:color w:val="auto"/>
          <w:spacing w:val="-6"/>
          <w:sz w:val="32"/>
          <w:szCs w:val="40"/>
          <w:highlight w:val="none"/>
          <w:lang w:eastAsia="zh-CN"/>
        </w:rPr>
        <w:t>%，较“十三五”期末提高了</w:t>
      </w:r>
      <w:r>
        <w:rPr>
          <w:rFonts w:hint="eastAsia" w:ascii="Times New Roman" w:hAnsi="Times New Roman" w:eastAsia="仿宋_GB2312" w:cs="方正仿宋_GBK"/>
          <w:b w:val="0"/>
          <w:bCs w:val="0"/>
          <w:color w:val="auto"/>
          <w:spacing w:val="-6"/>
          <w:sz w:val="32"/>
          <w:szCs w:val="40"/>
          <w:highlight w:val="none"/>
          <w:lang w:val="en-US" w:eastAsia="zh-CN"/>
        </w:rPr>
        <w:t>11.5</w:t>
      </w:r>
      <w:r>
        <w:rPr>
          <w:rFonts w:hint="eastAsia" w:ascii="Times New Roman" w:hAnsi="Times New Roman" w:eastAsia="仿宋_GB2312" w:cs="方正仿宋_GBK"/>
          <w:b w:val="0"/>
          <w:bCs w:val="0"/>
          <w:color w:val="auto"/>
          <w:spacing w:val="-6"/>
          <w:sz w:val="32"/>
          <w:szCs w:val="40"/>
          <w:highlight w:val="none"/>
          <w:lang w:eastAsia="zh-CN"/>
        </w:rPr>
        <w:t>个百分点。创建国家级优势特色产业集群4个、国家现代农业产业园1个、农业产业强镇</w:t>
      </w:r>
      <w:r>
        <w:rPr>
          <w:rFonts w:hint="eastAsia" w:ascii="Times New Roman" w:hAnsi="Times New Roman" w:eastAsia="仿宋_GB2312" w:cs="方正仿宋_GBK"/>
          <w:b w:val="0"/>
          <w:bCs w:val="0"/>
          <w:color w:val="auto"/>
          <w:spacing w:val="-6"/>
          <w:sz w:val="32"/>
          <w:szCs w:val="40"/>
          <w:highlight w:val="none"/>
          <w:lang w:val="en-US" w:eastAsia="zh-CN"/>
        </w:rPr>
        <w:t>5</w:t>
      </w:r>
      <w:r>
        <w:rPr>
          <w:rFonts w:hint="eastAsia" w:ascii="Times New Roman" w:hAnsi="Times New Roman" w:eastAsia="仿宋_GB2312" w:cs="方正仿宋_GBK"/>
          <w:b w:val="0"/>
          <w:bCs w:val="0"/>
          <w:color w:val="auto"/>
          <w:spacing w:val="-6"/>
          <w:sz w:val="32"/>
          <w:szCs w:val="40"/>
          <w:highlight w:val="none"/>
          <w:lang w:eastAsia="zh-CN"/>
        </w:rPr>
        <w:t>个、自治区现代农牧业产业园7个。“赤诚峰味”、“敖汉小米”、“赤峰小米”、“赤峰绿豆”、“赤峰羊绒”等5个区域公用品牌总价值达893.85亿元，连续两年位居全区首位。</w:t>
      </w:r>
      <w:r>
        <w:rPr>
          <w:rFonts w:hint="eastAsia" w:ascii="Times New Roman" w:hAnsi="Times New Roman" w:eastAsia="仿宋_GB2312" w:cs="方正仿宋_GBK"/>
          <w:b w:val="0"/>
          <w:bCs w:val="0"/>
          <w:color w:val="auto"/>
          <w:spacing w:val="-6"/>
          <w:sz w:val="32"/>
          <w:szCs w:val="40"/>
          <w:highlight w:val="none"/>
        </w:rPr>
        <w:t>工业转型升级步伐加快</w:t>
      </w:r>
      <w:r>
        <w:rPr>
          <w:rFonts w:hint="eastAsia" w:ascii="Times New Roman" w:hAnsi="Times New Roman" w:eastAsia="仿宋_GB2312" w:cs="方正仿宋_GBK"/>
          <w:b w:val="0"/>
          <w:bCs w:val="0"/>
          <w:color w:val="auto"/>
          <w:spacing w:val="-6"/>
          <w:sz w:val="32"/>
          <w:szCs w:val="40"/>
          <w:highlight w:val="none"/>
          <w:lang w:eastAsia="zh-CN"/>
        </w:rPr>
        <w:t>，</w:t>
      </w:r>
      <w:r>
        <w:rPr>
          <w:rFonts w:hint="eastAsia" w:ascii="Times New Roman" w:hAnsi="Times New Roman" w:eastAsia="仿宋_GB2312" w:cs="方正仿宋_GBK"/>
          <w:b w:val="0"/>
          <w:bCs w:val="0"/>
          <w:color w:val="auto"/>
          <w:spacing w:val="-6"/>
          <w:sz w:val="32"/>
          <w:szCs w:val="40"/>
          <w:highlight w:val="none"/>
        </w:rPr>
        <w:t>中唐特钢精品钢、</w:t>
      </w:r>
      <w:r>
        <w:rPr>
          <w:rFonts w:hint="eastAsia" w:ascii="Times New Roman" w:hAnsi="Times New Roman" w:eastAsia="仿宋_GB2312" w:cs="方正仿宋_GBK"/>
          <w:b w:val="0"/>
          <w:bCs w:val="0"/>
          <w:color w:val="auto"/>
          <w:spacing w:val="-6"/>
          <w:sz w:val="32"/>
          <w:szCs w:val="40"/>
          <w:highlight w:val="none"/>
          <w:lang w:val="en-US" w:eastAsia="zh-CN"/>
        </w:rPr>
        <w:t>金通铜业、</w:t>
      </w:r>
      <w:r>
        <w:rPr>
          <w:rFonts w:hint="eastAsia" w:ascii="Times New Roman" w:hAnsi="Times New Roman" w:eastAsia="仿宋_GB2312" w:cs="方正仿宋_GBK"/>
          <w:b w:val="0"/>
          <w:bCs w:val="0"/>
          <w:color w:val="auto"/>
          <w:spacing w:val="-6"/>
          <w:sz w:val="32"/>
          <w:szCs w:val="40"/>
          <w:highlight w:val="none"/>
          <w:lang w:eastAsia="zh-CN"/>
        </w:rPr>
        <w:t>东山铝业</w:t>
      </w:r>
      <w:r>
        <w:rPr>
          <w:rFonts w:hint="eastAsia" w:ascii="Times New Roman" w:hAnsi="Times New Roman" w:eastAsia="仿宋_GB2312" w:cs="方正仿宋_GBK"/>
          <w:b w:val="0"/>
          <w:bCs w:val="0"/>
          <w:color w:val="auto"/>
          <w:spacing w:val="-6"/>
          <w:sz w:val="32"/>
          <w:szCs w:val="40"/>
          <w:highlight w:val="none"/>
        </w:rPr>
        <w:t>电解铝</w:t>
      </w:r>
      <w:r>
        <w:rPr>
          <w:rFonts w:hint="eastAsia" w:ascii="Times New Roman" w:hAnsi="Times New Roman" w:eastAsia="仿宋_GB2312" w:cs="方正仿宋_GBK"/>
          <w:b w:val="0"/>
          <w:bCs w:val="0"/>
          <w:color w:val="auto"/>
          <w:spacing w:val="-6"/>
          <w:sz w:val="32"/>
          <w:szCs w:val="40"/>
          <w:highlight w:val="none"/>
          <w:lang w:eastAsia="zh-CN"/>
        </w:rPr>
        <w:t>、</w:t>
      </w:r>
      <w:r>
        <w:rPr>
          <w:rFonts w:hint="eastAsia" w:ascii="Times New Roman" w:hAnsi="Times New Roman" w:eastAsia="仿宋_GB2312" w:cs="方正仿宋_GBK"/>
          <w:b w:val="0"/>
          <w:bCs w:val="0"/>
          <w:color w:val="auto"/>
          <w:spacing w:val="-6"/>
          <w:sz w:val="32"/>
          <w:szCs w:val="40"/>
          <w:highlight w:val="none"/>
        </w:rPr>
        <w:t>中骥新能源、鹏峰化工等一批重大工业项目加速落地</w:t>
      </w:r>
      <w:r>
        <w:rPr>
          <w:rFonts w:hint="eastAsia" w:ascii="Times New Roman" w:hAnsi="Times New Roman" w:eastAsia="仿宋_GB2312" w:cs="方正仿宋_GBK"/>
          <w:b w:val="0"/>
          <w:bCs w:val="0"/>
          <w:color w:val="auto"/>
          <w:spacing w:val="-6"/>
          <w:sz w:val="32"/>
          <w:szCs w:val="40"/>
          <w:highlight w:val="none"/>
          <w:lang w:eastAsia="zh-CN"/>
        </w:rPr>
        <w:t>，新能源产业迅速壮大，</w:t>
      </w:r>
      <w:r>
        <w:rPr>
          <w:rFonts w:hint="eastAsia" w:ascii="Times New Roman" w:hAnsi="Times New Roman" w:eastAsia="仿宋_GB2312" w:cs="方正仿宋_GBK"/>
          <w:b w:val="0"/>
          <w:bCs w:val="0"/>
          <w:color w:val="auto"/>
          <w:spacing w:val="-6"/>
          <w:sz w:val="32"/>
          <w:szCs w:val="40"/>
          <w:highlight w:val="none"/>
          <w:lang w:val="en-US" w:eastAsia="zh-CN"/>
        </w:rPr>
        <w:t>新能源</w:t>
      </w:r>
      <w:r>
        <w:rPr>
          <w:rFonts w:hint="eastAsia" w:ascii="Times New Roman" w:hAnsi="Times New Roman" w:eastAsia="仿宋_GB2312" w:cs="方正仿宋_GBK"/>
          <w:b w:val="0"/>
          <w:bCs w:val="0"/>
          <w:color w:val="auto"/>
          <w:spacing w:val="-6"/>
          <w:sz w:val="32"/>
          <w:szCs w:val="40"/>
          <w:highlight w:val="none"/>
          <w:lang w:eastAsia="zh-CN"/>
        </w:rPr>
        <w:t>总装机规模实现</w:t>
      </w:r>
      <w:r>
        <w:rPr>
          <w:rFonts w:hint="eastAsia" w:ascii="Times New Roman" w:hAnsi="Times New Roman" w:eastAsia="仿宋_GB2312" w:cs="方正仿宋_GBK"/>
          <w:b w:val="0"/>
          <w:bCs w:val="0"/>
          <w:color w:val="auto"/>
          <w:spacing w:val="-6"/>
          <w:sz w:val="32"/>
          <w:szCs w:val="40"/>
          <w:highlight w:val="none"/>
          <w:lang w:val="en-US" w:eastAsia="zh-CN"/>
        </w:rPr>
        <w:t>翻番增长，</w:t>
      </w:r>
      <w:r>
        <w:rPr>
          <w:rFonts w:hint="eastAsia" w:ascii="Times New Roman" w:hAnsi="Times New Roman" w:eastAsia="仿宋_GB2312" w:cs="方正仿宋_GBK"/>
          <w:b w:val="0"/>
          <w:bCs w:val="0"/>
          <w:color w:val="auto"/>
          <w:spacing w:val="-6"/>
          <w:sz w:val="32"/>
          <w:szCs w:val="40"/>
          <w:highlight w:val="none"/>
          <w:lang w:eastAsia="zh-CN"/>
        </w:rPr>
        <w:t>突破</w:t>
      </w:r>
      <w:r>
        <w:rPr>
          <w:rFonts w:hint="eastAsia" w:ascii="Times New Roman" w:hAnsi="Times New Roman" w:eastAsia="仿宋_GB2312" w:cs="方正仿宋_GBK"/>
          <w:b w:val="0"/>
          <w:bCs w:val="0"/>
          <w:color w:val="auto"/>
          <w:spacing w:val="-6"/>
          <w:sz w:val="32"/>
          <w:szCs w:val="40"/>
          <w:highlight w:val="none"/>
          <w:lang w:val="en-US" w:eastAsia="zh-CN"/>
        </w:rPr>
        <w:t>1700</w:t>
      </w:r>
      <w:r>
        <w:rPr>
          <w:rFonts w:hint="eastAsia" w:ascii="Times New Roman" w:hAnsi="Times New Roman" w:eastAsia="仿宋_GB2312" w:cs="方正仿宋_GBK"/>
          <w:b w:val="0"/>
          <w:bCs w:val="0"/>
          <w:color w:val="auto"/>
          <w:spacing w:val="-6"/>
          <w:sz w:val="32"/>
          <w:szCs w:val="40"/>
          <w:highlight w:val="none"/>
          <w:lang w:eastAsia="zh-CN"/>
        </w:rPr>
        <w:t>万千瓦；</w:t>
      </w:r>
      <w:r>
        <w:rPr>
          <w:rFonts w:hint="eastAsia" w:ascii="Times New Roman" w:hAnsi="Times New Roman" w:eastAsia="仿宋_GB2312" w:cs="方正仿宋_GBK"/>
          <w:b w:val="0"/>
          <w:bCs w:val="0"/>
          <w:color w:val="auto"/>
          <w:spacing w:val="-6"/>
          <w:sz w:val="32"/>
          <w:szCs w:val="40"/>
          <w:highlight w:val="none"/>
          <w:lang w:val="en-US" w:eastAsia="zh-CN"/>
        </w:rPr>
        <w:t>蒙东首个工业园区绿色供电项目建成投运</w:t>
      </w:r>
      <w:r>
        <w:rPr>
          <w:rFonts w:hint="eastAsia" w:ascii="Times New Roman" w:hAnsi="Times New Roman" w:eastAsia="仿宋_GB2312" w:cs="方正仿宋_GBK"/>
          <w:b w:val="0"/>
          <w:bCs w:val="0"/>
          <w:color w:val="auto"/>
          <w:spacing w:val="-6"/>
          <w:sz w:val="32"/>
          <w:szCs w:val="40"/>
          <w:highlight w:val="none"/>
          <w:lang w:eastAsia="zh-CN"/>
        </w:rPr>
        <w:t>，全国首个陆地高海拔地区大兆瓦机型风电项目全容量并网，全球首个规模最大且商业化运营的离网型风光制绿色氢氨一体化项目远景赤峰P1期工程建成投产，慕帆动力全球首台氢氨双燃料燃气轮机总装下线。</w:t>
      </w:r>
      <w:r>
        <w:rPr>
          <w:rFonts w:hint="eastAsia" w:ascii="Times New Roman" w:hAnsi="Times New Roman" w:eastAsia="仿宋_GB2312" w:cs="方正仿宋_GBK"/>
          <w:b w:val="0"/>
          <w:bCs w:val="0"/>
          <w:color w:val="auto"/>
          <w:spacing w:val="-6"/>
          <w:sz w:val="32"/>
          <w:szCs w:val="40"/>
          <w:highlight w:val="none"/>
        </w:rPr>
        <w:t>服务业多点开花</w:t>
      </w:r>
      <w:r>
        <w:rPr>
          <w:rFonts w:hint="eastAsia" w:ascii="Times New Roman" w:hAnsi="Times New Roman" w:eastAsia="仿宋_GB2312" w:cs="方正仿宋_GBK"/>
          <w:b w:val="0"/>
          <w:bCs w:val="0"/>
          <w:color w:val="auto"/>
          <w:spacing w:val="-6"/>
          <w:sz w:val="32"/>
          <w:szCs w:val="40"/>
          <w:highlight w:val="none"/>
          <w:lang w:eastAsia="zh-CN"/>
        </w:rPr>
        <w:t>，</w:t>
      </w:r>
      <w:r>
        <w:rPr>
          <w:rFonts w:hint="eastAsia" w:ascii="Times New Roman" w:hAnsi="Times New Roman" w:eastAsia="仿宋_GB2312" w:cs="方正仿宋_GBK"/>
          <w:b w:val="0"/>
          <w:bCs w:val="0"/>
          <w:color w:val="auto"/>
          <w:spacing w:val="-6"/>
          <w:sz w:val="32"/>
          <w:szCs w:val="40"/>
          <w:highlight w:val="none"/>
        </w:rPr>
        <w:t>国家特色文化旅游和生态休闲度假基地</w:t>
      </w:r>
      <w:r>
        <w:rPr>
          <w:rFonts w:hint="eastAsia" w:ascii="Times New Roman" w:hAnsi="Times New Roman" w:eastAsia="仿宋_GB2312" w:cs="方正仿宋_GBK"/>
          <w:b w:val="0"/>
          <w:bCs w:val="0"/>
          <w:color w:val="auto"/>
          <w:spacing w:val="-6"/>
          <w:sz w:val="32"/>
          <w:szCs w:val="40"/>
          <w:highlight w:val="none"/>
          <w:lang w:val="en-US" w:eastAsia="zh-CN"/>
        </w:rPr>
        <w:t>成效突出，</w:t>
      </w:r>
      <w:r>
        <w:rPr>
          <w:rFonts w:hint="eastAsia" w:ascii="Times New Roman" w:hAnsi="Times New Roman" w:eastAsia="仿宋_GB2312" w:cs="方正仿宋_GBK"/>
          <w:b w:val="0"/>
          <w:bCs w:val="0"/>
          <w:color w:val="auto"/>
          <w:spacing w:val="-6"/>
          <w:sz w:val="32"/>
          <w:szCs w:val="40"/>
          <w:highlight w:val="none"/>
        </w:rPr>
        <w:t>玉龙沙湖旅游区创建5A级旅游景区列入自治区旅游品牌创建名录库</w:t>
      </w:r>
      <w:r>
        <w:rPr>
          <w:rFonts w:hint="eastAsia" w:ascii="Times New Roman" w:hAnsi="Times New Roman" w:eastAsia="仿宋_GB2312" w:cs="方正仿宋_GBK"/>
          <w:b w:val="0"/>
          <w:bCs w:val="0"/>
          <w:color w:val="auto"/>
          <w:spacing w:val="-6"/>
          <w:sz w:val="32"/>
          <w:szCs w:val="40"/>
          <w:highlight w:val="none"/>
          <w:lang w:eastAsia="zh-CN"/>
        </w:rPr>
        <w:t>，</w:t>
      </w:r>
      <w:r>
        <w:rPr>
          <w:rFonts w:hint="eastAsia" w:ascii="Times New Roman" w:hAnsi="Times New Roman" w:eastAsia="仿宋_GB2312" w:cs="方正仿宋_GBK"/>
          <w:b w:val="0"/>
          <w:bCs w:val="0"/>
          <w:color w:val="auto"/>
          <w:spacing w:val="-6"/>
          <w:sz w:val="32"/>
          <w:szCs w:val="40"/>
          <w:highlight w:val="none"/>
        </w:rPr>
        <w:t>公主湖草原旅游度假区、天龙山景区等新景区开门迎客，辽上京国家考古遗址公园成功获批挂牌，</w:t>
      </w:r>
      <w:r>
        <w:rPr>
          <w:rFonts w:hint="eastAsia" w:ascii="Times New Roman" w:hAnsi="Times New Roman" w:eastAsia="仿宋_GB2312" w:cs="方正仿宋_GBK"/>
          <w:b w:val="0"/>
          <w:bCs w:val="0"/>
          <w:color w:val="auto"/>
          <w:spacing w:val="-6"/>
          <w:sz w:val="32"/>
          <w:szCs w:val="40"/>
          <w:highlight w:val="none"/>
          <w:lang w:val="en-US" w:eastAsia="zh-CN"/>
        </w:rPr>
        <w:t>喀喇沁旗成功创建首批文化产业赋能乡村振兴试点，</w:t>
      </w:r>
      <w:r>
        <w:rPr>
          <w:rFonts w:hint="eastAsia" w:ascii="Times New Roman" w:hAnsi="Times New Roman" w:eastAsia="仿宋_GB2312" w:cs="方正仿宋_GBK"/>
          <w:b w:val="0"/>
          <w:bCs w:val="0"/>
          <w:color w:val="auto"/>
          <w:spacing w:val="-6"/>
          <w:sz w:val="32"/>
          <w:szCs w:val="40"/>
          <w:highlight w:val="none"/>
        </w:rPr>
        <w:t>美林谷滑雪旅游度假地成功创建国家级滑雪旅游度假地，“周末上哪疯 一站到赤峰”文旅品牌全面打响</w:t>
      </w:r>
      <w:r>
        <w:rPr>
          <w:rFonts w:hint="eastAsia" w:ascii="Times New Roman" w:hAnsi="Times New Roman" w:eastAsia="仿宋_GB2312" w:cs="方正仿宋_GBK"/>
          <w:b w:val="0"/>
          <w:bCs w:val="0"/>
          <w:color w:val="auto"/>
          <w:spacing w:val="-6"/>
          <w:sz w:val="32"/>
          <w:szCs w:val="40"/>
          <w:highlight w:val="none"/>
          <w:lang w:eastAsia="zh-CN"/>
        </w:rPr>
        <w:t>，“</w:t>
      </w:r>
      <w:r>
        <w:rPr>
          <w:rFonts w:hint="eastAsia" w:ascii="Times New Roman" w:hAnsi="Times New Roman" w:eastAsia="仿宋_GB2312" w:cs="方正仿宋_GBK"/>
          <w:b w:val="0"/>
          <w:bCs w:val="0"/>
          <w:color w:val="auto"/>
          <w:spacing w:val="-6"/>
          <w:sz w:val="32"/>
          <w:szCs w:val="40"/>
          <w:highlight w:val="none"/>
          <w:lang w:val="en-US" w:eastAsia="zh-CN"/>
        </w:rPr>
        <w:t>十四五</w:t>
      </w:r>
      <w:r>
        <w:rPr>
          <w:rFonts w:hint="eastAsia" w:ascii="Times New Roman" w:hAnsi="Times New Roman" w:eastAsia="仿宋_GB2312" w:cs="方正仿宋_GBK"/>
          <w:b w:val="0"/>
          <w:bCs w:val="0"/>
          <w:color w:val="auto"/>
          <w:spacing w:val="-6"/>
          <w:sz w:val="32"/>
          <w:szCs w:val="40"/>
          <w:highlight w:val="none"/>
          <w:lang w:eastAsia="zh-CN"/>
        </w:rPr>
        <w:t>”</w:t>
      </w:r>
      <w:r>
        <w:rPr>
          <w:rFonts w:hint="eastAsia" w:ascii="Times New Roman" w:hAnsi="Times New Roman" w:eastAsia="仿宋_GB2312" w:cs="方正仿宋_GBK"/>
          <w:b w:val="0"/>
          <w:bCs w:val="0"/>
          <w:color w:val="auto"/>
          <w:spacing w:val="-6"/>
          <w:sz w:val="32"/>
          <w:szCs w:val="40"/>
          <w:highlight w:val="none"/>
          <w:lang w:val="en-US" w:eastAsia="zh-CN"/>
        </w:rPr>
        <w:t>期间全市</w:t>
      </w:r>
      <w:r>
        <w:rPr>
          <w:rFonts w:hint="eastAsia" w:ascii="Times New Roman" w:hAnsi="Times New Roman" w:eastAsia="仿宋_GB2312" w:cs="方正仿宋_GBK"/>
          <w:b w:val="0"/>
          <w:bCs w:val="0"/>
          <w:color w:val="auto"/>
          <w:spacing w:val="-6"/>
          <w:sz w:val="32"/>
          <w:szCs w:val="40"/>
          <w:highlight w:val="none"/>
        </w:rPr>
        <w:t>新增国家A级旅游景区2</w:t>
      </w:r>
      <w:r>
        <w:rPr>
          <w:rFonts w:hint="eastAsia" w:ascii="Times New Roman" w:hAnsi="Times New Roman" w:eastAsia="仿宋_GB2312" w:cs="方正仿宋_GBK"/>
          <w:b w:val="0"/>
          <w:bCs w:val="0"/>
          <w:color w:val="auto"/>
          <w:spacing w:val="-6"/>
          <w:sz w:val="32"/>
          <w:szCs w:val="40"/>
          <w:highlight w:val="none"/>
          <w:lang w:val="en-US" w:eastAsia="zh-CN"/>
        </w:rPr>
        <w:t>6</w:t>
      </w:r>
      <w:r>
        <w:rPr>
          <w:rFonts w:hint="eastAsia" w:ascii="Times New Roman" w:hAnsi="Times New Roman" w:eastAsia="仿宋_GB2312" w:cs="方正仿宋_GBK"/>
          <w:b w:val="0"/>
          <w:bCs w:val="0"/>
          <w:color w:val="auto"/>
          <w:spacing w:val="-6"/>
          <w:sz w:val="32"/>
          <w:szCs w:val="40"/>
          <w:highlight w:val="none"/>
        </w:rPr>
        <w:t>个、全国乡村旅游重点村3个。商贸服务型国家物流枢纽承载城市</w:t>
      </w:r>
      <w:r>
        <w:rPr>
          <w:rFonts w:hint="eastAsia" w:ascii="Times New Roman" w:hAnsi="Times New Roman" w:eastAsia="仿宋_GB2312" w:cs="方正仿宋_GBK"/>
          <w:b w:val="0"/>
          <w:bCs w:val="0"/>
          <w:color w:val="auto"/>
          <w:spacing w:val="-6"/>
          <w:sz w:val="32"/>
          <w:szCs w:val="40"/>
          <w:highlight w:val="none"/>
          <w:lang w:val="en-US" w:eastAsia="zh-CN"/>
        </w:rPr>
        <w:t>建设加快推进</w:t>
      </w:r>
      <w:r>
        <w:rPr>
          <w:rFonts w:hint="eastAsia" w:ascii="Times New Roman" w:hAnsi="Times New Roman" w:eastAsia="仿宋_GB2312" w:cs="方正仿宋_GBK"/>
          <w:b w:val="0"/>
          <w:bCs w:val="0"/>
          <w:color w:val="auto"/>
          <w:spacing w:val="-6"/>
          <w:sz w:val="32"/>
          <w:szCs w:val="40"/>
          <w:highlight w:val="none"/>
        </w:rPr>
        <w:t>，中欧班列（赤峰）</w:t>
      </w:r>
      <w:r>
        <w:rPr>
          <w:rFonts w:hint="eastAsia" w:ascii="Times New Roman" w:hAnsi="Times New Roman" w:eastAsia="仿宋_GB2312" w:cs="方正仿宋_GBK"/>
          <w:b w:val="0"/>
          <w:bCs w:val="0"/>
          <w:color w:val="auto"/>
          <w:spacing w:val="-6"/>
          <w:sz w:val="32"/>
          <w:szCs w:val="40"/>
          <w:highlight w:val="none"/>
          <w:lang w:val="en-US" w:eastAsia="zh-CN"/>
        </w:rPr>
        <w:t>自2022年4月首发以来实现常态化运行，累计开行64列，贸易额8.1亿元人民币；累计建成运营57个专业市场，</w:t>
      </w:r>
      <w:r>
        <w:rPr>
          <w:rFonts w:hint="eastAsia" w:ascii="Times New Roman" w:hAnsi="Times New Roman" w:eastAsia="仿宋_GB2312" w:cs="方正仿宋_GBK"/>
          <w:b w:val="0"/>
          <w:bCs w:val="0"/>
          <w:color w:val="auto"/>
          <w:spacing w:val="-6"/>
          <w:sz w:val="32"/>
          <w:szCs w:val="40"/>
          <w:highlight w:val="none"/>
        </w:rPr>
        <w:t>年交易额达</w:t>
      </w:r>
      <w:r>
        <w:rPr>
          <w:rFonts w:hint="eastAsia" w:ascii="Times New Roman" w:hAnsi="Times New Roman" w:eastAsia="仿宋_GB2312" w:cs="方正仿宋_GBK"/>
          <w:b w:val="0"/>
          <w:bCs w:val="0"/>
          <w:color w:val="auto"/>
          <w:spacing w:val="-6"/>
          <w:sz w:val="32"/>
          <w:szCs w:val="40"/>
          <w:highlight w:val="none"/>
          <w:lang w:val="en-US" w:eastAsia="zh-CN"/>
        </w:rPr>
        <w:t>354</w:t>
      </w:r>
      <w:r>
        <w:rPr>
          <w:rFonts w:hint="eastAsia" w:ascii="Times New Roman" w:hAnsi="Times New Roman" w:eastAsia="仿宋_GB2312" w:cs="方正仿宋_GBK"/>
          <w:b w:val="0"/>
          <w:bCs w:val="0"/>
          <w:color w:val="auto"/>
          <w:spacing w:val="-6"/>
          <w:sz w:val="32"/>
          <w:szCs w:val="40"/>
          <w:highlight w:val="none"/>
        </w:rPr>
        <w:t>亿元</w:t>
      </w:r>
      <w:r>
        <w:rPr>
          <w:rFonts w:hint="eastAsia" w:ascii="Times New Roman" w:hAnsi="Times New Roman" w:eastAsia="仿宋_GB2312" w:cs="方正仿宋_GBK"/>
          <w:b w:val="0"/>
          <w:bCs w:val="0"/>
          <w:color w:val="auto"/>
          <w:spacing w:val="-6"/>
          <w:sz w:val="32"/>
          <w:szCs w:val="40"/>
          <w:highlight w:val="none"/>
          <w:lang w:eastAsia="zh-CN"/>
        </w:rPr>
        <w:t>；</w:t>
      </w:r>
      <w:r>
        <w:rPr>
          <w:rFonts w:hint="eastAsia" w:ascii="Times New Roman" w:hAnsi="Times New Roman" w:eastAsia="仿宋_GB2312" w:cs="方正仿宋_GBK"/>
          <w:b w:val="0"/>
          <w:bCs w:val="0"/>
          <w:color w:val="auto"/>
          <w:spacing w:val="-6"/>
          <w:sz w:val="32"/>
          <w:szCs w:val="40"/>
          <w:highlight w:val="none"/>
          <w:lang w:val="en-US" w:eastAsia="zh-CN"/>
        </w:rPr>
        <w:t>年均开放22个夜经济点位，年均拉动消费超10亿元。</w:t>
      </w:r>
    </w:p>
    <w:p w14:paraId="0811E014">
      <w:pPr>
        <w:keepNext w:val="0"/>
        <w:keepLines w:val="0"/>
        <w:pageBreakBefore w:val="0"/>
        <w:widowControl w:val="0"/>
        <w:shd w:val="clear" w:color="auto" w:fill="auto"/>
        <w:kinsoku/>
        <w:wordWrap/>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方正仿宋_GBK"/>
          <w:b w:val="0"/>
          <w:bCs w:val="0"/>
          <w:spacing w:val="-6"/>
          <w:sz w:val="32"/>
          <w:szCs w:val="40"/>
          <w:highlight w:val="none"/>
        </w:rPr>
      </w:pPr>
      <w:r>
        <w:rPr>
          <w:rFonts w:hint="eastAsia" w:ascii="仿宋_GB2312" w:hAnsi="仿宋_GB2312" w:eastAsia="仿宋_GB2312" w:cs="仿宋_GB2312"/>
          <w:b w:val="0"/>
          <w:bCs w:val="0"/>
          <w:sz w:val="32"/>
          <w:szCs w:val="32"/>
          <w:highlight w:val="none"/>
          <w:u w:val="none" w:color="auto"/>
          <w:lang w:eastAsia="zh-CN"/>
        </w:rPr>
        <w:t>生态</w:t>
      </w:r>
      <w:r>
        <w:rPr>
          <w:rFonts w:hint="eastAsia" w:ascii="仿宋_GB2312" w:hAnsi="仿宋_GB2312" w:eastAsia="仿宋_GB2312" w:cs="仿宋_GB2312"/>
          <w:b w:val="0"/>
          <w:bCs w:val="0"/>
          <w:sz w:val="32"/>
          <w:szCs w:val="32"/>
          <w:highlight w:val="none"/>
          <w:u w:val="none" w:color="auto"/>
          <w:lang w:val="en-US" w:eastAsia="zh-CN"/>
        </w:rPr>
        <w:t>保护</w:t>
      </w:r>
      <w:r>
        <w:rPr>
          <w:rFonts w:hint="eastAsia" w:ascii="仿宋_GB2312" w:hAnsi="仿宋_GB2312" w:eastAsia="仿宋_GB2312" w:cs="仿宋_GB2312"/>
          <w:b w:val="0"/>
          <w:bCs w:val="0"/>
          <w:sz w:val="32"/>
          <w:szCs w:val="32"/>
          <w:highlight w:val="none"/>
          <w:u w:val="none" w:color="auto"/>
          <w:lang w:eastAsia="zh-CN"/>
        </w:rPr>
        <w:t>建设成果</w:t>
      </w:r>
      <w:r>
        <w:rPr>
          <w:rFonts w:hint="eastAsia" w:ascii="仿宋_GB2312" w:hAnsi="仿宋_GB2312" w:eastAsia="仿宋_GB2312" w:cs="仿宋_GB2312"/>
          <w:b w:val="0"/>
          <w:bCs w:val="0"/>
          <w:sz w:val="32"/>
          <w:szCs w:val="32"/>
          <w:highlight w:val="none"/>
          <w:u w:val="none" w:color="auto"/>
          <w:lang w:val="en-US" w:eastAsia="zh-CN"/>
        </w:rPr>
        <w:t>持续</w:t>
      </w:r>
      <w:r>
        <w:rPr>
          <w:rFonts w:hint="eastAsia" w:ascii="仿宋_GB2312" w:hAnsi="仿宋_GB2312" w:eastAsia="仿宋_GB2312" w:cs="仿宋_GB2312"/>
          <w:b w:val="0"/>
          <w:bCs w:val="0"/>
          <w:sz w:val="32"/>
          <w:szCs w:val="32"/>
          <w:highlight w:val="none"/>
          <w:u w:val="none" w:color="auto"/>
          <w:lang w:eastAsia="zh-CN"/>
        </w:rPr>
        <w:t>巩固</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rPr>
        <w:t>“十四五”以来，赤峰市坚持保护优先，着力强化山水林田湖草沙系统治理，生态安全屏障持续筑牢。完成市级国土空间规划编制，科学划定“三区三线”</w:t>
      </w:r>
      <w:r>
        <w:rPr>
          <w:rFonts w:hint="eastAsia" w:ascii="Times New Roman" w:hAnsi="Times New Roman" w:eastAsia="仿宋_GB2312" w:cs="方正仿宋_GBK"/>
          <w:b w:val="0"/>
          <w:bCs w:val="0"/>
          <w:spacing w:val="-6"/>
          <w:sz w:val="32"/>
          <w:szCs w:val="40"/>
          <w:highlight w:val="none"/>
          <w:lang w:eastAsia="zh-CN"/>
        </w:rPr>
        <w:t>，将</w:t>
      </w:r>
      <w:r>
        <w:rPr>
          <w:rFonts w:hint="eastAsia" w:ascii="Times New Roman" w:hAnsi="Times New Roman" w:eastAsia="仿宋_GB2312" w:cs="方正仿宋_GBK"/>
          <w:b w:val="0"/>
          <w:bCs w:val="0"/>
          <w:spacing w:val="-6"/>
          <w:sz w:val="32"/>
          <w:szCs w:val="40"/>
          <w:highlight w:val="none"/>
        </w:rPr>
        <w:t>2.5847万平方</w:t>
      </w:r>
      <w:r>
        <w:rPr>
          <w:rFonts w:hint="eastAsia" w:ascii="Times New Roman" w:hAnsi="Times New Roman" w:eastAsia="仿宋_GB2312" w:cs="方正仿宋_GBK"/>
          <w:b w:val="0"/>
          <w:bCs w:val="0"/>
          <w:spacing w:val="-6"/>
          <w:sz w:val="32"/>
          <w:szCs w:val="40"/>
          <w:highlight w:val="none"/>
          <w:lang w:val="en-US" w:eastAsia="zh-CN"/>
        </w:rPr>
        <w:t>千</w:t>
      </w:r>
      <w:r>
        <w:rPr>
          <w:rFonts w:hint="eastAsia" w:ascii="Times New Roman" w:hAnsi="Times New Roman" w:eastAsia="仿宋_GB2312" w:cs="方正仿宋_GBK"/>
          <w:b w:val="0"/>
          <w:bCs w:val="0"/>
          <w:spacing w:val="-6"/>
          <w:sz w:val="32"/>
          <w:szCs w:val="40"/>
          <w:highlight w:val="none"/>
        </w:rPr>
        <w:t>米的国土面积划入生态保护红线。深入打好污染防治</w:t>
      </w:r>
      <w:r>
        <w:rPr>
          <w:rFonts w:hint="eastAsia" w:ascii="Times New Roman" w:hAnsi="Times New Roman" w:eastAsia="仿宋_GB2312" w:cs="方正仿宋_GBK"/>
          <w:b w:val="0"/>
          <w:bCs w:val="0"/>
          <w:spacing w:val="-6"/>
          <w:sz w:val="32"/>
          <w:szCs w:val="40"/>
          <w:highlight w:val="none"/>
          <w:lang w:val="en-US" w:eastAsia="zh-CN"/>
        </w:rPr>
        <w:t>攻坚战</w:t>
      </w:r>
      <w:r>
        <w:rPr>
          <w:rFonts w:hint="eastAsia" w:ascii="Times New Roman" w:hAnsi="Times New Roman" w:eastAsia="仿宋_GB2312" w:cs="方正仿宋_GBK"/>
          <w:b w:val="0"/>
          <w:bCs w:val="0"/>
          <w:spacing w:val="-6"/>
          <w:sz w:val="32"/>
          <w:szCs w:val="40"/>
          <w:highlight w:val="none"/>
        </w:rPr>
        <w:t>，环境质量持续好转，中心城市空气质量优良天数比率上升至97％，地表水国控断面优良水体比例</w:t>
      </w:r>
      <w:r>
        <w:rPr>
          <w:rFonts w:hint="eastAsia" w:ascii="Times New Roman" w:hAnsi="Times New Roman" w:eastAsia="仿宋_GB2312" w:cs="方正仿宋_GBK"/>
          <w:b w:val="0"/>
          <w:bCs w:val="0"/>
          <w:spacing w:val="-6"/>
          <w:sz w:val="32"/>
          <w:szCs w:val="40"/>
          <w:highlight w:val="none"/>
          <w:lang w:val="en-US" w:eastAsia="zh-CN"/>
        </w:rPr>
        <w:t>87</w:t>
      </w:r>
      <w:r>
        <w:rPr>
          <w:rFonts w:hint="eastAsia" w:ascii="Times New Roman" w:hAnsi="Times New Roman" w:eastAsia="仿宋_GB2312" w:cs="方正仿宋_GBK"/>
          <w:b w:val="0"/>
          <w:bCs w:val="0"/>
          <w:spacing w:val="-6"/>
          <w:sz w:val="32"/>
          <w:szCs w:val="40"/>
          <w:highlight w:val="none"/>
        </w:rPr>
        <w:t>%，土壤环境保持总体稳定。着力推动生态系统保护修复，</w:t>
      </w:r>
      <w:r>
        <w:rPr>
          <w:rFonts w:hint="eastAsia" w:ascii="Times New Roman" w:hAnsi="Times New Roman" w:eastAsia="仿宋_GB2312" w:cs="方正仿宋_GBK"/>
          <w:b w:val="0"/>
          <w:bCs w:val="0"/>
          <w:spacing w:val="-6"/>
          <w:sz w:val="32"/>
          <w:szCs w:val="40"/>
          <w:highlight w:val="none"/>
          <w:lang w:eastAsia="zh-CN"/>
        </w:rPr>
        <w:t>完成营造林</w:t>
      </w:r>
      <w:r>
        <w:rPr>
          <w:rFonts w:hint="eastAsia" w:ascii="Times New Roman" w:hAnsi="Times New Roman" w:eastAsia="仿宋_GB2312" w:cs="方正仿宋_GBK"/>
          <w:b w:val="0"/>
          <w:bCs w:val="0"/>
          <w:spacing w:val="-6"/>
          <w:sz w:val="32"/>
          <w:szCs w:val="40"/>
          <w:highlight w:val="none"/>
          <w:lang w:val="en-US" w:eastAsia="zh-CN"/>
        </w:rPr>
        <w:t>597.33万亩、种草1117.18万亩、新增沙化土地治理面积333.76万亩</w:t>
      </w:r>
      <w:r>
        <w:rPr>
          <w:rFonts w:hint="eastAsia" w:ascii="Times New Roman" w:hAnsi="Times New Roman" w:eastAsia="仿宋_GB2312" w:cs="方正仿宋_GBK"/>
          <w:b w:val="0"/>
          <w:bCs w:val="0"/>
          <w:spacing w:val="-6"/>
          <w:sz w:val="32"/>
          <w:szCs w:val="40"/>
          <w:highlight w:val="none"/>
        </w:rPr>
        <w:t>。湿地保护力度全面加强，内蒙古巴林左旗乌力吉沐沦河国家湿地公园已通过自治区林草局验收，认定</w:t>
      </w:r>
      <w:r>
        <w:rPr>
          <w:rFonts w:hint="eastAsia" w:ascii="Times New Roman" w:hAnsi="Times New Roman" w:eastAsia="仿宋_GB2312" w:cs="方正仿宋_GBK"/>
          <w:b w:val="0"/>
          <w:bCs w:val="0"/>
          <w:spacing w:val="-6"/>
          <w:sz w:val="32"/>
          <w:szCs w:val="40"/>
          <w:highlight w:val="none"/>
          <w:lang w:val="en-US" w:eastAsia="zh-CN"/>
        </w:rPr>
        <w:t>发布</w:t>
      </w:r>
      <w:r>
        <w:rPr>
          <w:rFonts w:hint="eastAsia" w:ascii="Times New Roman" w:hAnsi="Times New Roman" w:eastAsia="仿宋_GB2312" w:cs="方正仿宋_GBK"/>
          <w:b w:val="0"/>
          <w:bCs w:val="0"/>
          <w:spacing w:val="-6"/>
          <w:sz w:val="32"/>
          <w:szCs w:val="40"/>
          <w:highlight w:val="none"/>
        </w:rPr>
        <w:t>自治区重要湿地2处、盟市重要湿地4处</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rPr>
        <w:t>小微湿地15个。</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rPr>
        <w:t>双碳</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rPr>
        <w:t>工作取得阶段性进展</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rPr>
        <w:t>碳达峰碳中和“1+N+X”政策体系基本建立，</w:t>
      </w:r>
      <w:r>
        <w:rPr>
          <w:rFonts w:hint="eastAsia" w:ascii="Times New Roman" w:hAnsi="Times New Roman" w:eastAsia="仿宋_GB2312" w:cs="方正仿宋_GBK"/>
          <w:b w:val="0"/>
          <w:bCs w:val="0"/>
          <w:spacing w:val="-6"/>
          <w:sz w:val="32"/>
          <w:szCs w:val="40"/>
          <w:highlight w:val="none"/>
          <w:lang w:val="en-US" w:eastAsia="zh-CN"/>
        </w:rPr>
        <w:t>赤峰高新区纳入国家碳达峰试点园区，松山区纳入自治区碳达峰试点旗县（区），敖汉工业园区纳入自治区碳达峰试点园区。</w:t>
      </w:r>
    </w:p>
    <w:p w14:paraId="3BC6F0DD">
      <w:pPr>
        <w:keepNext w:val="0"/>
        <w:keepLines w:val="0"/>
        <w:pageBreakBefore w:val="0"/>
        <w:widowControl w:val="0"/>
        <w:shd w:val="clear" w:color="auto" w:fill="auto"/>
        <w:kinsoku/>
        <w:wordWrap/>
        <w:topLinePunct w:val="0"/>
        <w:autoSpaceDE/>
        <w:autoSpaceDN/>
        <w:bidi w:val="0"/>
        <w:adjustRightInd/>
        <w:snapToGrid/>
        <w:spacing w:line="560" w:lineRule="exact"/>
        <w:ind w:firstLine="616" w:firstLineChars="200"/>
        <w:textAlignment w:val="auto"/>
        <w:outlineLvl w:val="9"/>
        <w:rPr>
          <w:rFonts w:hint="eastAsia" w:ascii="Times New Roman" w:hAnsi="Times New Roman" w:eastAsia="仿宋_GB2312" w:cs="方正仿宋_GBK"/>
          <w:b w:val="0"/>
          <w:bCs w:val="0"/>
          <w:color w:val="auto"/>
          <w:spacing w:val="-6"/>
          <w:sz w:val="32"/>
          <w:szCs w:val="40"/>
          <w:highlight w:val="none"/>
        </w:rPr>
      </w:pPr>
      <w:r>
        <w:rPr>
          <w:rFonts w:hint="eastAsia" w:ascii="Times New Roman" w:hAnsi="Times New Roman" w:eastAsia="仿宋_GB2312" w:cs="方正仿宋_GBK"/>
          <w:b w:val="0"/>
          <w:bCs w:val="0"/>
          <w:spacing w:val="-6"/>
          <w:sz w:val="32"/>
          <w:szCs w:val="40"/>
          <w:highlight w:val="none"/>
          <w:lang w:val="en-US" w:eastAsia="zh-CN"/>
        </w:rPr>
        <w:t>改革开放持续深化</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color w:val="auto"/>
          <w:spacing w:val="-6"/>
          <w:sz w:val="32"/>
          <w:szCs w:val="40"/>
          <w:highlight w:val="none"/>
        </w:rPr>
        <w:t>“十四五”以来，赤峰市聚力深化改革开放，着力优化营商环境，发展动力活力加速显现。</w:t>
      </w:r>
      <w:r>
        <w:rPr>
          <w:rFonts w:hint="eastAsia" w:ascii="Times New Roman" w:hAnsi="Times New Roman" w:eastAsia="仿宋_GB2312" w:cs="方正仿宋_GBK"/>
          <w:b w:val="0"/>
          <w:bCs w:val="0"/>
          <w:color w:val="auto"/>
          <w:spacing w:val="-6"/>
          <w:sz w:val="32"/>
          <w:szCs w:val="40"/>
          <w:highlight w:val="none"/>
          <w:lang w:val="en-US" w:eastAsia="zh-CN"/>
        </w:rPr>
        <w:t>国企改革成效显著</w:t>
      </w:r>
      <w:r>
        <w:rPr>
          <w:rFonts w:hint="eastAsia" w:ascii="Times New Roman" w:hAnsi="Times New Roman" w:eastAsia="仿宋_GB2312" w:cs="方正仿宋_GBK"/>
          <w:b w:val="0"/>
          <w:bCs w:val="0"/>
          <w:color w:val="auto"/>
          <w:spacing w:val="-6"/>
          <w:sz w:val="32"/>
          <w:szCs w:val="40"/>
          <w:highlight w:val="none"/>
        </w:rPr>
        <w:t>，统筹推动国有企业战略性重组和专业化整合，实现优质资源向优质企业集中</w:t>
      </w:r>
      <w:r>
        <w:rPr>
          <w:rFonts w:hint="eastAsia" w:ascii="Times New Roman" w:hAnsi="Times New Roman" w:eastAsia="仿宋_GB2312" w:cs="方正仿宋_GBK"/>
          <w:b w:val="0"/>
          <w:bCs w:val="0"/>
          <w:color w:val="auto"/>
          <w:spacing w:val="-6"/>
          <w:sz w:val="32"/>
          <w:szCs w:val="40"/>
          <w:highlight w:val="none"/>
          <w:lang w:eastAsia="zh-CN"/>
        </w:rPr>
        <w:t>，</w:t>
      </w:r>
      <w:r>
        <w:rPr>
          <w:rFonts w:hint="eastAsia" w:ascii="Times New Roman" w:hAnsi="Times New Roman" w:eastAsia="仿宋_GB2312" w:cs="方正仿宋_GBK"/>
          <w:b w:val="0"/>
          <w:bCs w:val="0"/>
          <w:color w:val="auto"/>
          <w:spacing w:val="-6"/>
          <w:sz w:val="32"/>
          <w:szCs w:val="40"/>
          <w:highlight w:val="none"/>
        </w:rPr>
        <w:t>国资监管体制更加完善。“放管服”改革不断深化，58项许可事项实现“市县同权”无差别办理、11</w:t>
      </w:r>
      <w:r>
        <w:rPr>
          <w:rFonts w:hint="eastAsia" w:ascii="Times New Roman" w:hAnsi="Times New Roman" w:eastAsia="仿宋_GB2312" w:cs="方正仿宋_GBK"/>
          <w:b w:val="0"/>
          <w:bCs w:val="0"/>
          <w:color w:val="auto"/>
          <w:spacing w:val="-6"/>
          <w:sz w:val="32"/>
          <w:szCs w:val="40"/>
          <w:highlight w:val="none"/>
          <w:lang w:val="en-US" w:eastAsia="zh-CN"/>
        </w:rPr>
        <w:t>7</w:t>
      </w:r>
      <w:r>
        <w:rPr>
          <w:rFonts w:hint="eastAsia" w:ascii="Times New Roman" w:hAnsi="Times New Roman" w:eastAsia="仿宋_GB2312" w:cs="方正仿宋_GBK"/>
          <w:b w:val="0"/>
          <w:bCs w:val="0"/>
          <w:color w:val="auto"/>
          <w:spacing w:val="-6"/>
          <w:sz w:val="32"/>
          <w:szCs w:val="40"/>
          <w:highlight w:val="none"/>
        </w:rPr>
        <w:t>个“一件事一次办”集成服务全面铺开。企业审批事项全程网办比例提高到62.6％，新注册企业全程电子化登记占比达到97％。京赤</w:t>
      </w:r>
      <w:r>
        <w:rPr>
          <w:rFonts w:hint="eastAsia" w:ascii="Times New Roman" w:hAnsi="Times New Roman" w:eastAsia="仿宋_GB2312" w:cs="方正仿宋_GBK"/>
          <w:b w:val="0"/>
          <w:bCs w:val="0"/>
          <w:color w:val="auto"/>
          <w:spacing w:val="-6"/>
          <w:sz w:val="32"/>
          <w:szCs w:val="40"/>
          <w:highlight w:val="none"/>
          <w:lang w:val="en-US" w:eastAsia="zh-CN"/>
        </w:rPr>
        <w:t>帮扶</w:t>
      </w:r>
      <w:r>
        <w:rPr>
          <w:rFonts w:hint="eastAsia" w:ascii="Times New Roman" w:hAnsi="Times New Roman" w:eastAsia="仿宋_GB2312" w:cs="方正仿宋_GBK"/>
          <w:b w:val="0"/>
          <w:bCs w:val="0"/>
          <w:color w:val="auto"/>
          <w:spacing w:val="-6"/>
          <w:sz w:val="32"/>
          <w:szCs w:val="40"/>
          <w:highlight w:val="none"/>
        </w:rPr>
        <w:t>持续深化，京蒙（亦庄·赤峰）科创产业园开工建设；对外贸易规模持续扩大</w:t>
      </w:r>
      <w:r>
        <w:rPr>
          <w:rFonts w:hint="eastAsia" w:ascii="Times New Roman" w:hAnsi="Times New Roman" w:eastAsia="仿宋_GB2312" w:cs="方正仿宋_GBK"/>
          <w:b w:val="0"/>
          <w:bCs w:val="0"/>
          <w:color w:val="auto"/>
          <w:spacing w:val="-6"/>
          <w:sz w:val="32"/>
          <w:szCs w:val="40"/>
          <w:highlight w:val="none"/>
          <w:lang w:eastAsia="zh-CN"/>
        </w:rPr>
        <w:t>，</w:t>
      </w:r>
      <w:r>
        <w:rPr>
          <w:rFonts w:hint="eastAsia" w:ascii="Times New Roman" w:hAnsi="Times New Roman" w:eastAsia="仿宋_GB2312" w:cs="方正仿宋_GBK"/>
          <w:b w:val="0"/>
          <w:bCs w:val="0"/>
          <w:color w:val="auto"/>
          <w:spacing w:val="-6"/>
          <w:sz w:val="32"/>
          <w:szCs w:val="40"/>
          <w:highlight w:val="none"/>
          <w:lang w:val="en-US" w:eastAsia="zh-CN"/>
        </w:rPr>
        <w:t>2025年实现进出口总额341.5亿元，是</w:t>
      </w:r>
      <w:r>
        <w:rPr>
          <w:rFonts w:hint="eastAsia" w:ascii="Times New Roman" w:hAnsi="Times New Roman" w:eastAsia="仿宋_GB2312" w:cs="方正仿宋_GBK"/>
          <w:b w:val="0"/>
          <w:bCs w:val="0"/>
          <w:color w:val="auto"/>
          <w:spacing w:val="-6"/>
          <w:sz w:val="32"/>
          <w:szCs w:val="40"/>
          <w:highlight w:val="none"/>
        </w:rPr>
        <w:t>2020年</w:t>
      </w:r>
      <w:r>
        <w:rPr>
          <w:rFonts w:hint="eastAsia" w:ascii="Times New Roman" w:hAnsi="Times New Roman" w:eastAsia="仿宋_GB2312" w:cs="方正仿宋_GBK"/>
          <w:b w:val="0"/>
          <w:bCs w:val="0"/>
          <w:color w:val="auto"/>
          <w:spacing w:val="-6"/>
          <w:sz w:val="32"/>
          <w:szCs w:val="40"/>
          <w:highlight w:val="none"/>
          <w:lang w:val="en-US" w:eastAsia="zh-CN"/>
        </w:rPr>
        <w:t>的3.42倍</w:t>
      </w:r>
      <w:r>
        <w:rPr>
          <w:rFonts w:hint="eastAsia" w:ascii="Times New Roman" w:hAnsi="Times New Roman" w:eastAsia="仿宋_GB2312" w:cs="方正仿宋_GBK"/>
          <w:b w:val="0"/>
          <w:bCs w:val="0"/>
          <w:color w:val="auto"/>
          <w:spacing w:val="-6"/>
          <w:sz w:val="32"/>
          <w:szCs w:val="40"/>
          <w:highlight w:val="none"/>
        </w:rPr>
        <w:t>。</w:t>
      </w:r>
      <w:r>
        <w:rPr>
          <w:rFonts w:hint="eastAsia" w:ascii="Times New Roman" w:hAnsi="Times New Roman" w:eastAsia="仿宋_GB2312" w:cs="方正仿宋_GBK"/>
          <w:b w:val="0"/>
          <w:bCs w:val="0"/>
          <w:color w:val="auto"/>
          <w:spacing w:val="-6"/>
          <w:sz w:val="32"/>
          <w:szCs w:val="40"/>
          <w:highlight w:val="none"/>
          <w:lang w:val="en-US" w:eastAsia="zh-CN"/>
        </w:rPr>
        <w:t>2025年赤峰保税物流中心实现贸易额20.17亿元，是2020年的31.4倍；</w:t>
      </w:r>
      <w:r>
        <w:rPr>
          <w:rFonts w:hint="eastAsia" w:ascii="Times New Roman" w:hAnsi="Times New Roman" w:eastAsia="仿宋_GB2312" w:cs="方正仿宋_GBK"/>
          <w:b w:val="0"/>
          <w:bCs w:val="0"/>
          <w:color w:val="auto"/>
          <w:spacing w:val="-6"/>
          <w:sz w:val="32"/>
          <w:szCs w:val="40"/>
          <w:highlight w:val="none"/>
          <w:lang w:eastAsia="zh-CN"/>
        </w:rPr>
        <w:t>跨境电商进出口额累计实现</w:t>
      </w:r>
      <w:r>
        <w:rPr>
          <w:rFonts w:hint="eastAsia" w:ascii="Times New Roman" w:hAnsi="Times New Roman" w:eastAsia="仿宋_GB2312" w:cs="方正仿宋_GBK"/>
          <w:b w:val="0"/>
          <w:bCs w:val="0"/>
          <w:color w:val="auto"/>
          <w:spacing w:val="-6"/>
          <w:sz w:val="32"/>
          <w:szCs w:val="40"/>
          <w:highlight w:val="none"/>
          <w:lang w:val="en-US" w:eastAsia="zh-CN"/>
        </w:rPr>
        <w:t>26.3</w:t>
      </w:r>
      <w:r>
        <w:rPr>
          <w:rFonts w:hint="eastAsia" w:ascii="Times New Roman" w:hAnsi="Times New Roman" w:eastAsia="仿宋_GB2312" w:cs="方正仿宋_GBK"/>
          <w:b w:val="0"/>
          <w:bCs w:val="0"/>
          <w:color w:val="auto"/>
          <w:spacing w:val="-6"/>
          <w:sz w:val="32"/>
          <w:szCs w:val="40"/>
          <w:highlight w:val="none"/>
          <w:lang w:eastAsia="zh-CN"/>
        </w:rPr>
        <w:t>亿元</w:t>
      </w:r>
      <w:r>
        <w:rPr>
          <w:rFonts w:hint="eastAsia" w:ascii="Times New Roman" w:hAnsi="Times New Roman" w:eastAsia="仿宋_GB2312" w:cs="方正仿宋_GBK"/>
          <w:b w:val="0"/>
          <w:bCs w:val="0"/>
          <w:color w:val="auto"/>
          <w:spacing w:val="-6"/>
          <w:sz w:val="32"/>
          <w:szCs w:val="40"/>
          <w:highlight w:val="none"/>
        </w:rPr>
        <w:t>。赤峰至天津港、大连港铁海联运集装箱班列、中欧班列（赤峰</w:t>
      </w:r>
      <w:r>
        <w:rPr>
          <w:rFonts w:hint="eastAsia" w:ascii="Times New Roman" w:hAnsi="Times New Roman" w:eastAsia="仿宋_GB2312" w:cs="方正仿宋_GBK"/>
          <w:b w:val="0"/>
          <w:bCs w:val="0"/>
          <w:color w:val="auto"/>
          <w:spacing w:val="-6"/>
          <w:sz w:val="32"/>
          <w:szCs w:val="40"/>
          <w:highlight w:val="none"/>
          <w:lang w:eastAsia="zh-CN"/>
        </w:rPr>
        <w:t>—</w:t>
      </w:r>
      <w:r>
        <w:rPr>
          <w:rFonts w:hint="eastAsia" w:ascii="Times New Roman" w:hAnsi="Times New Roman" w:eastAsia="仿宋_GB2312" w:cs="方正仿宋_GBK"/>
          <w:b w:val="0"/>
          <w:bCs w:val="0"/>
          <w:color w:val="auto"/>
          <w:spacing w:val="-6"/>
          <w:sz w:val="32"/>
          <w:szCs w:val="40"/>
          <w:highlight w:val="none"/>
          <w:lang w:val="en-US" w:eastAsia="zh-CN"/>
        </w:rPr>
        <w:t>俄罗斯</w:t>
      </w:r>
      <w:r>
        <w:rPr>
          <w:rFonts w:hint="eastAsia" w:ascii="Times New Roman" w:hAnsi="Times New Roman" w:eastAsia="仿宋_GB2312" w:cs="方正仿宋_GBK"/>
          <w:b w:val="0"/>
          <w:bCs w:val="0"/>
          <w:color w:val="auto"/>
          <w:spacing w:val="-6"/>
          <w:sz w:val="32"/>
          <w:szCs w:val="40"/>
          <w:highlight w:val="none"/>
        </w:rPr>
        <w:t>）开通运行，赤峰成为自治区首个同时开通国际无水海运、陆运双通道的城市。全面执行最新《</w:t>
      </w:r>
      <w:r>
        <w:rPr>
          <w:rFonts w:hint="eastAsia" w:ascii="Times New Roman" w:hAnsi="Times New Roman" w:eastAsia="仿宋_GB2312" w:cs="方正仿宋_GBK"/>
          <w:b w:val="0"/>
          <w:bCs w:val="0"/>
          <w:color w:val="auto"/>
          <w:spacing w:val="-6"/>
          <w:sz w:val="32"/>
          <w:szCs w:val="40"/>
          <w:highlight w:val="none"/>
          <w:lang w:val="en-US" w:eastAsia="zh-CN"/>
        </w:rPr>
        <w:t>中华人民共和国</w:t>
      </w:r>
      <w:r>
        <w:rPr>
          <w:rFonts w:hint="eastAsia" w:ascii="Times New Roman" w:hAnsi="Times New Roman" w:eastAsia="仿宋_GB2312" w:cs="方正仿宋_GBK"/>
          <w:b w:val="0"/>
          <w:bCs w:val="0"/>
          <w:color w:val="auto"/>
          <w:spacing w:val="-6"/>
          <w:sz w:val="32"/>
          <w:szCs w:val="40"/>
          <w:highlight w:val="none"/>
        </w:rPr>
        <w:t>外商投资法》和外商投资准入特别管理措施，提升精准服务水平，实际利用外资额保持在自治区前列。</w:t>
      </w:r>
    </w:p>
    <w:p w14:paraId="18D2B29F">
      <w:pPr>
        <w:keepNext w:val="0"/>
        <w:keepLines w:val="0"/>
        <w:pageBreakBefore w:val="0"/>
        <w:widowControl w:val="0"/>
        <w:shd w:val="clear" w:color="auto" w:fill="auto"/>
        <w:kinsoku/>
        <w:wordWrap/>
        <w:topLinePunct w:val="0"/>
        <w:autoSpaceDE/>
        <w:autoSpaceDN/>
        <w:bidi w:val="0"/>
        <w:adjustRightInd/>
        <w:snapToGrid/>
        <w:spacing w:line="560" w:lineRule="exact"/>
        <w:ind w:firstLine="616" w:firstLineChars="200"/>
        <w:textAlignment w:val="auto"/>
        <w:outlineLvl w:val="9"/>
        <w:rPr>
          <w:rFonts w:hint="eastAsia" w:ascii="Times New Roman" w:hAnsi="Times New Roman" w:eastAsia="仿宋_GB2312" w:cs="方正仿宋_GBK"/>
          <w:b w:val="0"/>
          <w:bCs w:val="0"/>
          <w:spacing w:val="-6"/>
          <w:sz w:val="32"/>
          <w:szCs w:val="40"/>
          <w:highlight w:val="none"/>
          <w:lang w:val="en-US" w:eastAsia="zh-CN"/>
        </w:rPr>
      </w:pPr>
      <w:r>
        <w:rPr>
          <w:rFonts w:hint="eastAsia" w:ascii="Times New Roman" w:hAnsi="Times New Roman" w:eastAsia="仿宋_GB2312" w:cs="方正仿宋_GBK"/>
          <w:b w:val="0"/>
          <w:bCs w:val="0"/>
          <w:spacing w:val="-6"/>
          <w:sz w:val="32"/>
          <w:szCs w:val="40"/>
          <w:highlight w:val="none"/>
        </w:rPr>
        <w:t>城乡</w:t>
      </w:r>
      <w:r>
        <w:rPr>
          <w:rFonts w:hint="eastAsia" w:ascii="Times New Roman" w:hAnsi="Times New Roman" w:eastAsia="仿宋_GB2312" w:cs="方正仿宋_GBK"/>
          <w:b w:val="0"/>
          <w:bCs w:val="0"/>
          <w:spacing w:val="-6"/>
          <w:sz w:val="32"/>
          <w:szCs w:val="40"/>
          <w:highlight w:val="none"/>
          <w:lang w:val="en-US" w:eastAsia="zh-CN"/>
        </w:rPr>
        <w:t>协调发展加快推进</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rPr>
        <w:t>“十四五”以来，赤峰市</w:t>
      </w:r>
      <w:r>
        <w:rPr>
          <w:rFonts w:hint="eastAsia" w:ascii="Times New Roman" w:hAnsi="Times New Roman" w:eastAsia="仿宋_GB2312" w:cs="方正仿宋_GBK"/>
          <w:b w:val="0"/>
          <w:bCs w:val="0"/>
          <w:spacing w:val="-6"/>
          <w:sz w:val="32"/>
          <w:szCs w:val="40"/>
          <w:highlight w:val="none"/>
          <w:lang w:val="en-US" w:eastAsia="zh-CN"/>
        </w:rPr>
        <w:t>以建设现代化区域中心城市为抓手，</w:t>
      </w:r>
      <w:r>
        <w:rPr>
          <w:rFonts w:hint="eastAsia" w:ascii="Times New Roman" w:hAnsi="Times New Roman" w:eastAsia="仿宋_GB2312" w:cs="方正仿宋_GBK"/>
          <w:b w:val="0"/>
          <w:bCs w:val="0"/>
          <w:spacing w:val="-6"/>
          <w:sz w:val="32"/>
          <w:szCs w:val="40"/>
          <w:highlight w:val="none"/>
        </w:rPr>
        <w:t>着力推动</w:t>
      </w:r>
      <w:r>
        <w:rPr>
          <w:rFonts w:hint="eastAsia" w:ascii="Times New Roman" w:hAnsi="Times New Roman" w:eastAsia="仿宋_GB2312" w:cs="方正仿宋_GBK"/>
          <w:b w:val="0"/>
          <w:bCs w:val="0"/>
          <w:spacing w:val="-6"/>
          <w:sz w:val="32"/>
          <w:szCs w:val="40"/>
          <w:highlight w:val="none"/>
          <w:lang w:val="en-US" w:eastAsia="zh-CN"/>
        </w:rPr>
        <w:t>城乡</w:t>
      </w:r>
      <w:r>
        <w:rPr>
          <w:rFonts w:hint="eastAsia" w:ascii="Times New Roman" w:hAnsi="Times New Roman" w:eastAsia="仿宋_GB2312" w:cs="方正仿宋_GBK"/>
          <w:b w:val="0"/>
          <w:bCs w:val="0"/>
          <w:spacing w:val="-6"/>
          <w:sz w:val="32"/>
          <w:szCs w:val="40"/>
          <w:highlight w:val="none"/>
        </w:rPr>
        <w:t>建设，不断完善优化功能配套，城乡面貌显著改善</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lang w:val="en-US" w:eastAsia="zh-CN"/>
        </w:rPr>
        <w:t>连续30年保持国家卫生城市荣誉</w:t>
      </w:r>
      <w:r>
        <w:rPr>
          <w:rFonts w:hint="eastAsia" w:ascii="Times New Roman" w:hAnsi="Times New Roman" w:eastAsia="仿宋_GB2312" w:cs="方正仿宋_GBK"/>
          <w:b w:val="0"/>
          <w:bCs w:val="0"/>
          <w:spacing w:val="-6"/>
          <w:sz w:val="32"/>
          <w:szCs w:val="40"/>
          <w:highlight w:val="none"/>
        </w:rPr>
        <w:t>。全市城市建成区面积达27</w:t>
      </w:r>
      <w:r>
        <w:rPr>
          <w:rFonts w:hint="eastAsia" w:ascii="Times New Roman" w:hAnsi="Times New Roman" w:eastAsia="仿宋_GB2312" w:cs="方正仿宋_GBK"/>
          <w:b w:val="0"/>
          <w:bCs w:val="0"/>
          <w:spacing w:val="-6"/>
          <w:sz w:val="32"/>
          <w:szCs w:val="40"/>
          <w:highlight w:val="none"/>
          <w:lang w:val="en-US" w:eastAsia="zh-CN"/>
        </w:rPr>
        <w:t>3</w:t>
      </w:r>
      <w:r>
        <w:rPr>
          <w:rFonts w:hint="eastAsia" w:ascii="Times New Roman" w:hAnsi="Times New Roman" w:eastAsia="仿宋_GB2312" w:cs="方正仿宋_GBK"/>
          <w:b w:val="0"/>
          <w:bCs w:val="0"/>
          <w:spacing w:val="-6"/>
          <w:sz w:val="32"/>
          <w:szCs w:val="40"/>
          <w:highlight w:val="none"/>
        </w:rPr>
        <w:t>.</w:t>
      </w:r>
      <w:r>
        <w:rPr>
          <w:rFonts w:hint="eastAsia" w:ascii="Times New Roman" w:hAnsi="Times New Roman" w:eastAsia="仿宋_GB2312" w:cs="方正仿宋_GBK"/>
          <w:b w:val="0"/>
          <w:bCs w:val="0"/>
          <w:spacing w:val="-6"/>
          <w:sz w:val="32"/>
          <w:szCs w:val="40"/>
          <w:highlight w:val="none"/>
          <w:lang w:val="en-US" w:eastAsia="zh-CN"/>
        </w:rPr>
        <w:t>75</w:t>
      </w:r>
      <w:r>
        <w:rPr>
          <w:rFonts w:hint="eastAsia" w:ascii="Times New Roman" w:hAnsi="Times New Roman" w:eastAsia="仿宋_GB2312" w:cs="方正仿宋_GBK"/>
          <w:b w:val="0"/>
          <w:bCs w:val="0"/>
          <w:spacing w:val="-6"/>
          <w:sz w:val="32"/>
          <w:szCs w:val="40"/>
          <w:highlight w:val="none"/>
        </w:rPr>
        <w:t>平方公里，中心城区建成区面积超过1</w:t>
      </w:r>
      <w:r>
        <w:rPr>
          <w:rFonts w:hint="eastAsia" w:ascii="Times New Roman" w:hAnsi="Times New Roman" w:eastAsia="仿宋_GB2312" w:cs="方正仿宋_GBK"/>
          <w:b w:val="0"/>
          <w:bCs w:val="0"/>
          <w:spacing w:val="-6"/>
          <w:sz w:val="32"/>
          <w:szCs w:val="40"/>
          <w:highlight w:val="none"/>
          <w:lang w:val="en-US" w:eastAsia="zh-CN"/>
        </w:rPr>
        <w:t>22.98</w:t>
      </w:r>
      <w:r>
        <w:rPr>
          <w:rFonts w:hint="eastAsia" w:ascii="Times New Roman" w:hAnsi="Times New Roman" w:eastAsia="仿宋_GB2312" w:cs="方正仿宋_GBK"/>
          <w:b w:val="0"/>
          <w:bCs w:val="0"/>
          <w:spacing w:val="-6"/>
          <w:sz w:val="32"/>
          <w:szCs w:val="40"/>
          <w:highlight w:val="none"/>
        </w:rPr>
        <w:t>平方公里，城市框架逐渐拉大</w:t>
      </w:r>
      <w:r>
        <w:rPr>
          <w:rFonts w:hint="eastAsia" w:ascii="Times New Roman" w:hAnsi="Times New Roman" w:eastAsia="仿宋_GB2312" w:cs="方正仿宋_GBK"/>
          <w:b w:val="0"/>
          <w:bCs w:val="0"/>
          <w:spacing w:val="-6"/>
          <w:sz w:val="32"/>
          <w:szCs w:val="40"/>
          <w:highlight w:val="none"/>
          <w:lang w:eastAsia="zh-CN"/>
        </w:rPr>
        <w:t>。中心城市常住人口突破百万，常住人口城镇化率提高到56.67％。</w:t>
      </w:r>
      <w:r>
        <w:rPr>
          <w:rFonts w:hint="eastAsia" w:ascii="Times New Roman" w:hAnsi="Times New Roman" w:eastAsia="仿宋_GB2312" w:cs="方正仿宋_GBK"/>
          <w:b w:val="0"/>
          <w:bCs w:val="0"/>
          <w:spacing w:val="-6"/>
          <w:sz w:val="32"/>
          <w:szCs w:val="40"/>
          <w:highlight w:val="none"/>
          <w:lang w:val="en-US" w:eastAsia="zh-CN"/>
        </w:rPr>
        <w:t>推进宜居城市建设，</w:t>
      </w:r>
      <w:r>
        <w:rPr>
          <w:rFonts w:hint="eastAsia" w:ascii="Times New Roman" w:hAnsi="Times New Roman" w:eastAsia="仿宋_GB2312" w:cs="方正仿宋_GBK"/>
          <w:b w:val="0"/>
          <w:bCs w:val="0"/>
          <w:spacing w:val="-6"/>
          <w:sz w:val="32"/>
          <w:szCs w:val="40"/>
          <w:highlight w:val="none"/>
        </w:rPr>
        <w:t>新增绿化覆盖面积206</w:t>
      </w:r>
      <w:r>
        <w:rPr>
          <w:rFonts w:hint="eastAsia" w:ascii="Times New Roman" w:hAnsi="Times New Roman" w:eastAsia="仿宋_GB2312" w:cs="方正仿宋_GBK"/>
          <w:b w:val="0"/>
          <w:bCs w:val="0"/>
          <w:spacing w:val="-6"/>
          <w:sz w:val="32"/>
          <w:szCs w:val="40"/>
          <w:highlight w:val="none"/>
          <w:lang w:val="en-US" w:eastAsia="zh-CN"/>
        </w:rPr>
        <w:t>.96</w:t>
      </w:r>
      <w:r>
        <w:rPr>
          <w:rFonts w:hint="eastAsia" w:ascii="Times New Roman" w:hAnsi="Times New Roman" w:eastAsia="仿宋_GB2312" w:cs="方正仿宋_GBK"/>
          <w:b w:val="0"/>
          <w:bCs w:val="0"/>
          <w:spacing w:val="-6"/>
          <w:sz w:val="32"/>
          <w:szCs w:val="40"/>
          <w:highlight w:val="none"/>
        </w:rPr>
        <w:t>公顷，新增公园1</w:t>
      </w:r>
      <w:r>
        <w:rPr>
          <w:rFonts w:hint="eastAsia" w:ascii="Times New Roman" w:hAnsi="Times New Roman" w:eastAsia="仿宋_GB2312" w:cs="方正仿宋_GBK"/>
          <w:b w:val="0"/>
          <w:bCs w:val="0"/>
          <w:spacing w:val="-6"/>
          <w:sz w:val="32"/>
          <w:szCs w:val="40"/>
          <w:highlight w:val="none"/>
          <w:lang w:val="en-US" w:eastAsia="zh-CN"/>
        </w:rPr>
        <w:t>10</w:t>
      </w:r>
      <w:r>
        <w:rPr>
          <w:rFonts w:hint="eastAsia" w:ascii="Times New Roman" w:hAnsi="Times New Roman" w:eastAsia="仿宋_GB2312" w:cs="方正仿宋_GBK"/>
          <w:b w:val="0"/>
          <w:bCs w:val="0"/>
          <w:spacing w:val="-6"/>
          <w:sz w:val="32"/>
          <w:szCs w:val="40"/>
          <w:highlight w:val="none"/>
        </w:rPr>
        <w:t>个</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rPr>
        <w:t>城镇建成区绿化覆盖率达到38.</w:t>
      </w:r>
      <w:r>
        <w:rPr>
          <w:rFonts w:hint="eastAsia" w:ascii="Times New Roman" w:hAnsi="Times New Roman" w:eastAsia="仿宋_GB2312" w:cs="方正仿宋_GBK"/>
          <w:b w:val="0"/>
          <w:bCs w:val="0"/>
          <w:spacing w:val="-6"/>
          <w:sz w:val="32"/>
          <w:szCs w:val="40"/>
          <w:highlight w:val="none"/>
          <w:lang w:val="en-US" w:eastAsia="zh-CN"/>
        </w:rPr>
        <w:t>93</w:t>
      </w:r>
      <w:r>
        <w:rPr>
          <w:rFonts w:hint="eastAsia" w:ascii="Times New Roman" w:hAnsi="Times New Roman" w:eastAsia="仿宋_GB2312" w:cs="方正仿宋_GBK"/>
          <w:b w:val="0"/>
          <w:bCs w:val="0"/>
          <w:spacing w:val="-6"/>
          <w:sz w:val="32"/>
          <w:szCs w:val="40"/>
          <w:highlight w:val="none"/>
        </w:rPr>
        <w:t>%，城镇人均公园绿地面积达到1</w:t>
      </w:r>
      <w:r>
        <w:rPr>
          <w:rFonts w:hint="eastAsia" w:ascii="Times New Roman" w:hAnsi="Times New Roman" w:eastAsia="仿宋_GB2312" w:cs="方正仿宋_GBK"/>
          <w:b w:val="0"/>
          <w:bCs w:val="0"/>
          <w:spacing w:val="-6"/>
          <w:sz w:val="32"/>
          <w:szCs w:val="40"/>
          <w:highlight w:val="none"/>
          <w:lang w:val="en-US" w:eastAsia="zh-CN"/>
        </w:rPr>
        <w:t>9.25平方米</w:t>
      </w:r>
      <w:r>
        <w:rPr>
          <w:rFonts w:hint="eastAsia" w:ascii="Times New Roman" w:hAnsi="Times New Roman" w:eastAsia="仿宋_GB2312" w:cs="方正仿宋_GBK"/>
          <w:b w:val="0"/>
          <w:bCs w:val="0"/>
          <w:spacing w:val="-6"/>
          <w:sz w:val="32"/>
          <w:szCs w:val="40"/>
          <w:highlight w:val="none"/>
        </w:rPr>
        <w:t>。推进供排水、供热、燃气、市政道路、城乡环卫等市政设施建设，中心城区供水普及率达到</w:t>
      </w:r>
      <w:r>
        <w:rPr>
          <w:rFonts w:hint="eastAsia" w:ascii="Times New Roman" w:hAnsi="Times New Roman" w:eastAsia="仿宋_GB2312" w:cs="方正仿宋_GBK"/>
          <w:b w:val="0"/>
          <w:bCs w:val="0"/>
          <w:spacing w:val="-6"/>
          <w:sz w:val="32"/>
          <w:szCs w:val="40"/>
          <w:highlight w:val="none"/>
          <w:lang w:val="en-US" w:eastAsia="zh-CN"/>
        </w:rPr>
        <w:t>97.68</w:t>
      </w:r>
      <w:r>
        <w:rPr>
          <w:rFonts w:hint="eastAsia" w:ascii="Times New Roman" w:hAnsi="Times New Roman" w:eastAsia="仿宋_GB2312" w:cs="方正仿宋_GBK"/>
          <w:b w:val="0"/>
          <w:bCs w:val="0"/>
          <w:spacing w:val="-6"/>
          <w:sz w:val="32"/>
          <w:szCs w:val="40"/>
          <w:highlight w:val="none"/>
        </w:rPr>
        <w:t>%、供热普及率达到92%以上、燃气普及率达到</w:t>
      </w:r>
      <w:r>
        <w:rPr>
          <w:rFonts w:hint="eastAsia" w:ascii="Times New Roman" w:hAnsi="Times New Roman" w:eastAsia="仿宋_GB2312" w:cs="方正仿宋_GBK"/>
          <w:b w:val="0"/>
          <w:bCs w:val="0"/>
          <w:spacing w:val="-6"/>
          <w:sz w:val="32"/>
          <w:szCs w:val="40"/>
          <w:highlight w:val="none"/>
          <w:lang w:val="en-US" w:eastAsia="zh-CN"/>
        </w:rPr>
        <w:t>98.06</w:t>
      </w:r>
      <w:r>
        <w:rPr>
          <w:rFonts w:hint="eastAsia" w:ascii="Times New Roman" w:hAnsi="Times New Roman" w:eastAsia="仿宋_GB2312" w:cs="方正仿宋_GBK"/>
          <w:b w:val="0"/>
          <w:bCs w:val="0"/>
          <w:spacing w:val="-6"/>
          <w:sz w:val="32"/>
          <w:szCs w:val="40"/>
          <w:highlight w:val="none"/>
        </w:rPr>
        <w:t>%，市本级和“三区一旗”公共机构已实现生活垃圾分类全覆盖，“三区一旗”居民小区生活垃圾分类覆盖率达90%以上，</w:t>
      </w:r>
      <w:r>
        <w:rPr>
          <w:rFonts w:hint="eastAsia" w:ascii="Times New Roman" w:hAnsi="Times New Roman" w:eastAsia="仿宋_GB2312" w:cs="方正仿宋_GBK"/>
          <w:b w:val="0"/>
          <w:bCs w:val="0"/>
          <w:spacing w:val="-6"/>
          <w:sz w:val="32"/>
          <w:szCs w:val="40"/>
          <w:highlight w:val="none"/>
          <w:lang w:eastAsia="zh-CN"/>
        </w:rPr>
        <w:t>行政村</w:t>
      </w:r>
      <w:r>
        <w:rPr>
          <w:rFonts w:hint="eastAsia" w:ascii="Times New Roman" w:hAnsi="Times New Roman" w:eastAsia="仿宋_GB2312" w:cs="方正仿宋_GBK"/>
          <w:b w:val="0"/>
          <w:bCs w:val="0"/>
          <w:spacing w:val="-6"/>
          <w:sz w:val="32"/>
          <w:szCs w:val="40"/>
          <w:highlight w:val="none"/>
        </w:rPr>
        <w:t>生活垃圾收运处置体系覆盖率达95.16%，具备污水处理设备设施的建制镇比率达到5</w:t>
      </w:r>
      <w:r>
        <w:rPr>
          <w:rFonts w:hint="eastAsia" w:ascii="Times New Roman" w:hAnsi="Times New Roman" w:eastAsia="仿宋_GB2312" w:cs="方正仿宋_GBK"/>
          <w:b w:val="0"/>
          <w:bCs w:val="0"/>
          <w:spacing w:val="-6"/>
          <w:sz w:val="32"/>
          <w:szCs w:val="40"/>
          <w:highlight w:val="none"/>
          <w:lang w:val="en-US" w:eastAsia="zh-CN"/>
        </w:rPr>
        <w:t>5</w:t>
      </w:r>
      <w:r>
        <w:rPr>
          <w:rFonts w:hint="eastAsia" w:ascii="Times New Roman" w:hAnsi="Times New Roman" w:eastAsia="仿宋_GB2312" w:cs="方正仿宋_GBK"/>
          <w:b w:val="0"/>
          <w:bCs w:val="0"/>
          <w:spacing w:val="-6"/>
          <w:sz w:val="32"/>
          <w:szCs w:val="40"/>
          <w:highlight w:val="none"/>
        </w:rPr>
        <w:t>.6</w:t>
      </w:r>
      <w:r>
        <w:rPr>
          <w:rFonts w:hint="eastAsia" w:ascii="Times New Roman" w:hAnsi="Times New Roman" w:eastAsia="仿宋_GB2312" w:cs="方正仿宋_GBK"/>
          <w:b w:val="0"/>
          <w:bCs w:val="0"/>
          <w:spacing w:val="-6"/>
          <w:sz w:val="32"/>
          <w:szCs w:val="40"/>
          <w:highlight w:val="none"/>
          <w:lang w:val="en-US" w:eastAsia="zh-CN"/>
        </w:rPr>
        <w:t>9</w:t>
      </w:r>
      <w:r>
        <w:rPr>
          <w:rFonts w:hint="eastAsia" w:ascii="Times New Roman" w:hAnsi="Times New Roman" w:eastAsia="仿宋_GB2312" w:cs="方正仿宋_GBK"/>
          <w:b w:val="0"/>
          <w:bCs w:val="0"/>
          <w:spacing w:val="-6"/>
          <w:sz w:val="32"/>
          <w:szCs w:val="40"/>
          <w:highlight w:val="none"/>
        </w:rPr>
        <w:t>%。累计完成近</w:t>
      </w:r>
      <w:r>
        <w:rPr>
          <w:rFonts w:hint="eastAsia" w:ascii="Times New Roman" w:hAnsi="Times New Roman" w:eastAsia="仿宋_GB2312" w:cs="方正仿宋_GBK"/>
          <w:b w:val="0"/>
          <w:bCs w:val="0"/>
          <w:spacing w:val="-6"/>
          <w:sz w:val="32"/>
          <w:szCs w:val="40"/>
          <w:highlight w:val="none"/>
          <w:lang w:val="en-US" w:eastAsia="zh-CN"/>
        </w:rPr>
        <w:t>1139.61</w:t>
      </w:r>
      <w:r>
        <w:rPr>
          <w:rFonts w:hint="eastAsia" w:ascii="Times New Roman" w:hAnsi="Times New Roman" w:eastAsia="仿宋_GB2312" w:cs="方正仿宋_GBK"/>
          <w:b w:val="0"/>
          <w:bCs w:val="0"/>
          <w:spacing w:val="-6"/>
          <w:sz w:val="32"/>
          <w:szCs w:val="40"/>
          <w:highlight w:val="none"/>
        </w:rPr>
        <w:t>万平方米城镇老旧小区改造和</w:t>
      </w:r>
      <w:r>
        <w:rPr>
          <w:rFonts w:hint="eastAsia" w:ascii="Times New Roman" w:hAnsi="Times New Roman" w:eastAsia="仿宋_GB2312" w:cs="方正仿宋_GBK"/>
          <w:b w:val="0"/>
          <w:bCs w:val="0"/>
          <w:spacing w:val="-6"/>
          <w:sz w:val="32"/>
          <w:szCs w:val="40"/>
          <w:highlight w:val="none"/>
          <w:lang w:val="en-US" w:eastAsia="zh-CN"/>
        </w:rPr>
        <w:t>2676</w:t>
      </w:r>
      <w:r>
        <w:rPr>
          <w:rFonts w:hint="eastAsia" w:ascii="Times New Roman" w:hAnsi="Times New Roman" w:eastAsia="仿宋_GB2312" w:cs="方正仿宋_GBK"/>
          <w:b w:val="0"/>
          <w:bCs w:val="0"/>
          <w:spacing w:val="-6"/>
          <w:sz w:val="32"/>
          <w:szCs w:val="40"/>
          <w:highlight w:val="none"/>
        </w:rPr>
        <w:t>户</w:t>
      </w:r>
      <w:r>
        <w:rPr>
          <w:rFonts w:hint="eastAsia" w:ascii="Times New Roman" w:hAnsi="Times New Roman" w:eastAsia="仿宋_GB2312" w:cs="方正仿宋_GBK"/>
          <w:b w:val="0"/>
          <w:bCs w:val="0"/>
          <w:spacing w:val="-6"/>
          <w:sz w:val="32"/>
          <w:szCs w:val="40"/>
          <w:highlight w:val="none"/>
          <w:lang w:val="en-US" w:eastAsia="zh-CN"/>
        </w:rPr>
        <w:t>六类重点对象危房改造</w:t>
      </w:r>
      <w:r>
        <w:rPr>
          <w:rFonts w:hint="eastAsia" w:ascii="Times New Roman" w:hAnsi="Times New Roman" w:eastAsia="仿宋_GB2312" w:cs="方正仿宋_GBK"/>
          <w:b w:val="0"/>
          <w:bCs w:val="0"/>
          <w:spacing w:val="-6"/>
          <w:sz w:val="32"/>
          <w:szCs w:val="40"/>
          <w:highlight w:val="none"/>
        </w:rPr>
        <w:t>。</w:t>
      </w:r>
      <w:r>
        <w:rPr>
          <w:rFonts w:hint="eastAsia" w:ascii="Times New Roman" w:hAnsi="Times New Roman" w:eastAsia="仿宋_GB2312" w:cs="方正仿宋_GBK"/>
          <w:b w:val="0"/>
          <w:bCs w:val="0"/>
          <w:spacing w:val="-6"/>
          <w:sz w:val="32"/>
          <w:szCs w:val="40"/>
          <w:highlight w:val="none"/>
          <w:lang w:val="en-US" w:eastAsia="zh-CN"/>
        </w:rPr>
        <w:t xml:space="preserve"> </w:t>
      </w:r>
    </w:p>
    <w:p w14:paraId="61908E54">
      <w:pPr>
        <w:keepNext w:val="0"/>
        <w:keepLines w:val="0"/>
        <w:pageBreakBefore w:val="0"/>
        <w:widowControl w:val="0"/>
        <w:shd w:val="clear" w:color="auto" w:fill="auto"/>
        <w:kinsoku/>
        <w:wordWrap/>
        <w:topLinePunct w:val="0"/>
        <w:autoSpaceDE/>
        <w:autoSpaceDN/>
        <w:bidi w:val="0"/>
        <w:adjustRightInd/>
        <w:snapToGrid/>
        <w:spacing w:line="560" w:lineRule="exact"/>
        <w:ind w:firstLine="616" w:firstLineChars="200"/>
        <w:textAlignment w:val="auto"/>
        <w:outlineLvl w:val="9"/>
        <w:rPr>
          <w:rFonts w:hint="eastAsia" w:ascii="Times New Roman" w:hAnsi="Times New Roman" w:eastAsia="仿宋_GB2312" w:cs="方正仿宋_GBK"/>
          <w:b w:val="0"/>
          <w:bCs w:val="0"/>
          <w:spacing w:val="-6"/>
          <w:sz w:val="32"/>
          <w:szCs w:val="40"/>
          <w:highlight w:val="none"/>
        </w:rPr>
      </w:pPr>
      <w:r>
        <w:rPr>
          <w:rFonts w:hint="eastAsia" w:ascii="Times New Roman" w:hAnsi="Times New Roman" w:eastAsia="仿宋_GB2312" w:cs="方正仿宋_GBK"/>
          <w:b w:val="0"/>
          <w:bCs w:val="0"/>
          <w:spacing w:val="-6"/>
          <w:sz w:val="32"/>
          <w:szCs w:val="40"/>
          <w:highlight w:val="none"/>
          <w:lang w:val="en-US" w:eastAsia="zh-CN"/>
        </w:rPr>
        <w:t>保障改善民生有力有效</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rPr>
        <w:t>“十四五”以来，赤峰市坚持以人民为中心的发展思想，持续提升民生保障水平，民生支出占财政支出的比重保持在70%以上，人民群众获得感幸福感安全感持续增强。“十四五”累计实现城镇新增就业</w:t>
      </w:r>
      <w:r>
        <w:rPr>
          <w:rFonts w:hint="eastAsia" w:ascii="Times New Roman" w:hAnsi="Times New Roman" w:eastAsia="仿宋_GB2312" w:cs="方正仿宋_GBK"/>
          <w:b w:val="0"/>
          <w:bCs w:val="0"/>
          <w:spacing w:val="-6"/>
          <w:sz w:val="32"/>
          <w:szCs w:val="40"/>
          <w:highlight w:val="none"/>
          <w:lang w:val="en-US" w:eastAsia="zh-CN"/>
        </w:rPr>
        <w:t>9.6</w:t>
      </w:r>
      <w:r>
        <w:rPr>
          <w:rFonts w:hint="eastAsia" w:ascii="Times New Roman" w:hAnsi="Times New Roman" w:eastAsia="仿宋_GB2312" w:cs="方正仿宋_GBK"/>
          <w:b w:val="0"/>
          <w:bCs w:val="0"/>
          <w:spacing w:val="-6"/>
          <w:sz w:val="32"/>
          <w:szCs w:val="40"/>
          <w:highlight w:val="none"/>
        </w:rPr>
        <w:t>万人，农牧民转移就业</w:t>
      </w:r>
      <w:r>
        <w:rPr>
          <w:rFonts w:hint="eastAsia" w:ascii="Times New Roman" w:hAnsi="Times New Roman" w:eastAsia="仿宋_GB2312" w:cs="方正仿宋_GBK"/>
          <w:b w:val="0"/>
          <w:bCs w:val="0"/>
          <w:spacing w:val="-6"/>
          <w:sz w:val="32"/>
          <w:szCs w:val="40"/>
          <w:highlight w:val="none"/>
          <w:lang w:val="en-US" w:eastAsia="zh-CN"/>
        </w:rPr>
        <w:t>345.12</w:t>
      </w:r>
      <w:r>
        <w:rPr>
          <w:rFonts w:hint="eastAsia" w:ascii="Times New Roman" w:hAnsi="Times New Roman" w:eastAsia="仿宋_GB2312" w:cs="方正仿宋_GBK"/>
          <w:b w:val="0"/>
          <w:bCs w:val="0"/>
          <w:spacing w:val="-6"/>
          <w:sz w:val="32"/>
          <w:szCs w:val="40"/>
          <w:highlight w:val="none"/>
        </w:rPr>
        <w:t>万人次。困难群体生活持续改善，城乡低保标准分别提高了</w:t>
      </w:r>
      <w:r>
        <w:rPr>
          <w:rFonts w:hint="eastAsia" w:ascii="Times New Roman" w:hAnsi="Times New Roman" w:eastAsia="仿宋_GB2312" w:cs="方正仿宋_GBK"/>
          <w:b w:val="0"/>
          <w:bCs w:val="0"/>
          <w:spacing w:val="-6"/>
          <w:sz w:val="32"/>
          <w:szCs w:val="40"/>
          <w:highlight w:val="none"/>
          <w:lang w:val="en-US" w:eastAsia="zh-CN"/>
        </w:rPr>
        <w:t>60</w:t>
      </w:r>
      <w:r>
        <w:rPr>
          <w:rFonts w:hint="eastAsia" w:ascii="Times New Roman" w:hAnsi="Times New Roman" w:eastAsia="仿宋_GB2312" w:cs="方正仿宋_GBK"/>
          <w:b w:val="0"/>
          <w:bCs w:val="0"/>
          <w:spacing w:val="-6"/>
          <w:sz w:val="32"/>
          <w:szCs w:val="40"/>
          <w:highlight w:val="none"/>
        </w:rPr>
        <w:t>元和</w:t>
      </w:r>
      <w:r>
        <w:rPr>
          <w:rFonts w:hint="eastAsia" w:ascii="Times New Roman" w:hAnsi="Times New Roman" w:eastAsia="仿宋_GB2312" w:cs="方正仿宋_GBK"/>
          <w:b w:val="0"/>
          <w:bCs w:val="0"/>
          <w:spacing w:val="-6"/>
          <w:sz w:val="32"/>
          <w:szCs w:val="40"/>
          <w:highlight w:val="none"/>
          <w:lang w:val="en-US" w:eastAsia="zh-CN"/>
        </w:rPr>
        <w:t>161</w:t>
      </w:r>
      <w:r>
        <w:rPr>
          <w:rFonts w:hint="eastAsia" w:ascii="Times New Roman" w:hAnsi="Times New Roman" w:eastAsia="仿宋_GB2312" w:cs="方正仿宋_GBK"/>
          <w:b w:val="0"/>
          <w:bCs w:val="0"/>
          <w:spacing w:val="-6"/>
          <w:sz w:val="32"/>
          <w:szCs w:val="40"/>
          <w:highlight w:val="none"/>
        </w:rPr>
        <w:t>元，保障了</w:t>
      </w:r>
      <w:r>
        <w:rPr>
          <w:rFonts w:hint="eastAsia" w:ascii="Times New Roman" w:hAnsi="Times New Roman" w:eastAsia="仿宋_GB2312" w:cs="方正仿宋_GBK"/>
          <w:b w:val="0"/>
          <w:bCs w:val="0"/>
          <w:spacing w:val="-6"/>
          <w:sz w:val="32"/>
          <w:szCs w:val="40"/>
          <w:highlight w:val="none"/>
          <w:lang w:val="en-US" w:eastAsia="zh-CN"/>
        </w:rPr>
        <w:t>36.6</w:t>
      </w:r>
      <w:r>
        <w:rPr>
          <w:rFonts w:hint="eastAsia" w:ascii="Times New Roman" w:hAnsi="Times New Roman" w:eastAsia="仿宋_GB2312" w:cs="方正仿宋_GBK"/>
          <w:b w:val="0"/>
          <w:bCs w:val="0"/>
          <w:spacing w:val="-6"/>
          <w:sz w:val="32"/>
          <w:szCs w:val="40"/>
          <w:highlight w:val="none"/>
        </w:rPr>
        <w:t>万困难群众基本生活。</w:t>
      </w:r>
      <w:r>
        <w:rPr>
          <w:rFonts w:hint="eastAsia" w:ascii="Times New Roman" w:hAnsi="Times New Roman" w:eastAsia="仿宋_GB2312" w:cs="方正仿宋_GBK"/>
          <w:b w:val="0"/>
          <w:bCs w:val="0"/>
          <w:spacing w:val="-6"/>
          <w:sz w:val="32"/>
          <w:szCs w:val="40"/>
          <w:highlight w:val="none"/>
          <w:lang w:eastAsia="zh-CN"/>
        </w:rPr>
        <w:t>脱贫群众生活水平持续改善，累计识别监测对象22668户47594人，消除风险监测对象13780户28801人，风险消除率达60.5%；脱贫人口就业规模稳定保持在5.24万人以上；累计安排衔接资金132亿元，在精深加工、冷链物流、数字科技等关键环节延链补链强链，有力促进乡村产业融合发展，持续提升产业帮扶实效；累计发放脱贫人口小额信贷15.12亿元，</w:t>
      </w:r>
      <w:r>
        <w:rPr>
          <w:rFonts w:hint="eastAsia" w:ascii="Times New Roman" w:hAnsi="Times New Roman" w:eastAsia="仿宋_GB2312" w:cs="方正仿宋_GBK"/>
          <w:b w:val="0"/>
          <w:bCs w:val="0"/>
          <w:spacing w:val="-6"/>
          <w:sz w:val="32"/>
          <w:szCs w:val="40"/>
          <w:highlight w:val="none"/>
          <w:lang w:val="en-US" w:eastAsia="zh-CN"/>
        </w:rPr>
        <w:t>支撑</w:t>
      </w:r>
      <w:r>
        <w:rPr>
          <w:rFonts w:hint="eastAsia" w:ascii="Times New Roman" w:hAnsi="Times New Roman" w:eastAsia="仿宋_GB2312" w:cs="方正仿宋_GBK"/>
          <w:b w:val="0"/>
          <w:bCs w:val="0"/>
          <w:spacing w:val="-6"/>
          <w:sz w:val="32"/>
          <w:szCs w:val="40"/>
          <w:highlight w:val="none"/>
          <w:lang w:eastAsia="zh-CN"/>
        </w:rPr>
        <w:t>各旗县区均培育形成2～3个超5亿元级主导产业链。</w:t>
      </w:r>
      <w:r>
        <w:rPr>
          <w:rFonts w:hint="eastAsia" w:ascii="Times New Roman" w:hAnsi="Times New Roman" w:eastAsia="仿宋_GB2312" w:cs="方正仿宋_GBK"/>
          <w:b w:val="0"/>
          <w:bCs w:val="0"/>
          <w:spacing w:val="-6"/>
          <w:sz w:val="32"/>
          <w:szCs w:val="40"/>
          <w:highlight w:val="none"/>
        </w:rPr>
        <w:t>城乡居民养老保险、基本医疗保险实现</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rPr>
        <w:t>应保尽保</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rPr>
        <w:t>，常住人口基本医保参保率连续五年保持在96%以上，基本养老保险参保人数达到29</w:t>
      </w:r>
      <w:r>
        <w:rPr>
          <w:rFonts w:hint="eastAsia" w:ascii="Times New Roman" w:hAnsi="Times New Roman" w:eastAsia="仿宋_GB2312" w:cs="方正仿宋_GBK"/>
          <w:b w:val="0"/>
          <w:bCs w:val="0"/>
          <w:spacing w:val="-6"/>
          <w:sz w:val="32"/>
          <w:szCs w:val="40"/>
          <w:highlight w:val="none"/>
          <w:lang w:val="en-US" w:eastAsia="zh-CN"/>
        </w:rPr>
        <w:t>6.38</w:t>
      </w:r>
      <w:r>
        <w:rPr>
          <w:rFonts w:hint="eastAsia" w:ascii="Times New Roman" w:hAnsi="Times New Roman" w:eastAsia="仿宋_GB2312" w:cs="方正仿宋_GBK"/>
          <w:b w:val="0"/>
          <w:bCs w:val="0"/>
          <w:spacing w:val="-6"/>
          <w:sz w:val="32"/>
          <w:szCs w:val="40"/>
          <w:highlight w:val="none"/>
        </w:rPr>
        <w:t>万人，较2020年增加</w:t>
      </w:r>
      <w:r>
        <w:rPr>
          <w:rFonts w:hint="eastAsia" w:ascii="Times New Roman" w:hAnsi="Times New Roman" w:eastAsia="仿宋_GB2312" w:cs="方正仿宋_GBK"/>
          <w:b w:val="0"/>
          <w:bCs w:val="0"/>
          <w:spacing w:val="-6"/>
          <w:sz w:val="32"/>
          <w:szCs w:val="40"/>
          <w:highlight w:val="none"/>
          <w:lang w:val="en-US" w:eastAsia="zh-CN"/>
        </w:rPr>
        <w:t>26.33</w:t>
      </w:r>
      <w:r>
        <w:rPr>
          <w:rFonts w:hint="eastAsia" w:ascii="Times New Roman" w:hAnsi="Times New Roman" w:eastAsia="仿宋_GB2312" w:cs="方正仿宋_GBK"/>
          <w:b w:val="0"/>
          <w:bCs w:val="0"/>
          <w:spacing w:val="-6"/>
          <w:sz w:val="32"/>
          <w:szCs w:val="40"/>
          <w:highlight w:val="none"/>
        </w:rPr>
        <w:t>万人，参保率提高到95.</w:t>
      </w:r>
      <w:r>
        <w:rPr>
          <w:rFonts w:hint="eastAsia" w:ascii="Times New Roman" w:hAnsi="Times New Roman" w:eastAsia="仿宋_GB2312" w:cs="方正仿宋_GBK"/>
          <w:b w:val="0"/>
          <w:bCs w:val="0"/>
          <w:spacing w:val="-6"/>
          <w:sz w:val="32"/>
          <w:szCs w:val="40"/>
          <w:highlight w:val="none"/>
          <w:lang w:val="en-US" w:eastAsia="zh-CN"/>
        </w:rPr>
        <w:t>05</w:t>
      </w:r>
      <w:r>
        <w:rPr>
          <w:rFonts w:hint="eastAsia" w:ascii="Times New Roman" w:hAnsi="Times New Roman" w:eastAsia="仿宋_GB2312" w:cs="方正仿宋_GBK"/>
          <w:b w:val="0"/>
          <w:bCs w:val="0"/>
          <w:spacing w:val="-6"/>
          <w:sz w:val="32"/>
          <w:szCs w:val="40"/>
          <w:highlight w:val="none"/>
        </w:rPr>
        <w:t>%。教育质量稳步提升，县域义务教育全面实现基本均衡，</w:t>
      </w:r>
      <w:r>
        <w:rPr>
          <w:rFonts w:hint="eastAsia" w:ascii="Times New Roman" w:hAnsi="Times New Roman" w:eastAsia="仿宋_GB2312" w:cs="方正仿宋_GBK"/>
          <w:b w:val="0"/>
          <w:bCs w:val="0"/>
          <w:spacing w:val="-6"/>
          <w:sz w:val="32"/>
          <w:szCs w:val="40"/>
          <w:highlight w:val="none"/>
          <w:lang w:val="en-US" w:eastAsia="zh-CN"/>
        </w:rPr>
        <w:t>公办幼儿园在园幼儿占比达到66.29%</w:t>
      </w:r>
      <w:r>
        <w:rPr>
          <w:rFonts w:hint="eastAsia" w:ascii="Times New Roman" w:hAnsi="Times New Roman" w:eastAsia="仿宋_GB2312" w:cs="方正仿宋_GBK"/>
          <w:b w:val="0"/>
          <w:bCs w:val="0"/>
          <w:spacing w:val="-6"/>
          <w:sz w:val="32"/>
          <w:szCs w:val="40"/>
          <w:highlight w:val="none"/>
        </w:rPr>
        <w:t>，普惠性幼儿园覆盖率达到</w:t>
      </w:r>
      <w:r>
        <w:rPr>
          <w:rFonts w:hint="eastAsia" w:ascii="Times New Roman" w:hAnsi="Times New Roman" w:eastAsia="仿宋_GB2312" w:cs="方正仿宋_GBK"/>
          <w:b w:val="0"/>
          <w:bCs w:val="0"/>
          <w:spacing w:val="-6"/>
          <w:sz w:val="32"/>
          <w:szCs w:val="40"/>
          <w:highlight w:val="none"/>
          <w:lang w:val="en-US" w:eastAsia="zh-CN"/>
        </w:rPr>
        <w:t>90.73</w:t>
      </w:r>
      <w:r>
        <w:rPr>
          <w:rFonts w:hint="eastAsia" w:ascii="Times New Roman" w:hAnsi="Times New Roman" w:eastAsia="仿宋_GB2312" w:cs="方正仿宋_GBK"/>
          <w:b w:val="0"/>
          <w:bCs w:val="0"/>
          <w:spacing w:val="-6"/>
          <w:sz w:val="32"/>
          <w:szCs w:val="40"/>
          <w:highlight w:val="none"/>
        </w:rPr>
        <w:t>%，义务教育巩固率达到10</w:t>
      </w:r>
      <w:r>
        <w:rPr>
          <w:rFonts w:hint="eastAsia" w:ascii="Times New Roman" w:hAnsi="Times New Roman" w:eastAsia="仿宋_GB2312" w:cs="方正仿宋_GBK"/>
          <w:b w:val="0"/>
          <w:bCs w:val="0"/>
          <w:spacing w:val="-6"/>
          <w:sz w:val="32"/>
          <w:szCs w:val="40"/>
          <w:highlight w:val="none"/>
          <w:lang w:val="en-US" w:eastAsia="zh-CN"/>
        </w:rPr>
        <w:t>1</w:t>
      </w:r>
      <w:r>
        <w:rPr>
          <w:rFonts w:hint="eastAsia" w:ascii="Times New Roman" w:hAnsi="Times New Roman" w:eastAsia="仿宋_GB2312" w:cs="方正仿宋_GBK"/>
          <w:b w:val="0"/>
          <w:bCs w:val="0"/>
          <w:spacing w:val="-6"/>
          <w:sz w:val="32"/>
          <w:szCs w:val="40"/>
          <w:highlight w:val="none"/>
        </w:rPr>
        <w:t>%，</w:t>
      </w:r>
      <w:r>
        <w:rPr>
          <w:rFonts w:hint="eastAsia" w:ascii="Times New Roman" w:hAnsi="Times New Roman" w:eastAsia="仿宋_GB2312" w:cs="方正仿宋_GBK"/>
          <w:b w:val="0"/>
          <w:bCs w:val="0"/>
          <w:spacing w:val="-6"/>
          <w:sz w:val="32"/>
          <w:szCs w:val="40"/>
          <w:highlight w:val="none"/>
          <w:lang w:val="en-US" w:eastAsia="zh-CN"/>
        </w:rPr>
        <w:t>优质多样的普通高中发展格局逐步形成，“县中振兴”典型经验得到教育部高度认可；公办中等职业学校办学条件100%达标，13所院校、27个专业（群）通过自治区级“双高双优”计划验收；建成自治区级市域产教联合体1个、行业产教融合共同体2个</w:t>
      </w:r>
      <w:r>
        <w:rPr>
          <w:rFonts w:hint="eastAsia" w:ascii="Times New Roman" w:hAnsi="Times New Roman" w:eastAsia="仿宋_GB2312" w:cs="方正仿宋_GBK"/>
          <w:b w:val="0"/>
          <w:bCs w:val="0"/>
          <w:spacing w:val="-6"/>
          <w:sz w:val="32"/>
          <w:szCs w:val="40"/>
          <w:highlight w:val="none"/>
        </w:rPr>
        <w:t>。健康赤峰成效斐然，</w:t>
      </w:r>
      <w:r>
        <w:rPr>
          <w:rFonts w:hint="eastAsia" w:ascii="Times New Roman" w:hAnsi="Times New Roman" w:eastAsia="仿宋_GB2312" w:cs="方正仿宋_GBK"/>
          <w:b w:val="0"/>
          <w:bCs w:val="0"/>
          <w:spacing w:val="-6"/>
          <w:sz w:val="32"/>
          <w:szCs w:val="40"/>
          <w:highlight w:val="none"/>
          <w:lang w:val="en-US" w:eastAsia="zh-CN"/>
        </w:rPr>
        <w:t>累计</w:t>
      </w:r>
      <w:r>
        <w:rPr>
          <w:rFonts w:hint="eastAsia" w:ascii="Times New Roman" w:hAnsi="Times New Roman" w:eastAsia="仿宋_GB2312" w:cs="方正仿宋_GBK"/>
          <w:b w:val="0"/>
          <w:bCs w:val="0"/>
          <w:spacing w:val="-6"/>
          <w:sz w:val="32"/>
          <w:szCs w:val="40"/>
          <w:highlight w:val="none"/>
        </w:rPr>
        <w:t>新增医疗机构建筑面积28.42万平方米、床位1886张，极大缓解了看病难问题</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lang w:val="en-US" w:eastAsia="zh-CN"/>
        </w:rPr>
        <w:t>全市</w:t>
      </w:r>
      <w:r>
        <w:rPr>
          <w:rFonts w:hint="eastAsia" w:ascii="Times New Roman" w:hAnsi="Times New Roman" w:eastAsia="仿宋_GB2312" w:cs="方正仿宋_GBK"/>
          <w:b w:val="0"/>
          <w:bCs w:val="0"/>
          <w:spacing w:val="-6"/>
          <w:sz w:val="32"/>
          <w:szCs w:val="40"/>
          <w:highlight w:val="none"/>
          <w:lang w:val="en-US"/>
        </w:rPr>
        <w:t>每千人口拥有执业（助理）医师数</w:t>
      </w:r>
      <w:r>
        <w:rPr>
          <w:rFonts w:hint="eastAsia" w:ascii="Times New Roman" w:hAnsi="Times New Roman" w:eastAsia="仿宋_GB2312" w:cs="方正仿宋_GBK"/>
          <w:b w:val="0"/>
          <w:bCs w:val="0"/>
          <w:spacing w:val="-6"/>
          <w:sz w:val="32"/>
          <w:szCs w:val="40"/>
          <w:highlight w:val="none"/>
          <w:lang w:val="en-US" w:eastAsia="zh-CN"/>
        </w:rPr>
        <w:t>4.29人</w:t>
      </w:r>
      <w:r>
        <w:rPr>
          <w:rFonts w:hint="eastAsia" w:ascii="Times New Roman" w:hAnsi="Times New Roman" w:eastAsia="仿宋_GB2312" w:cs="方正仿宋_GBK"/>
          <w:b w:val="0"/>
          <w:bCs w:val="0"/>
          <w:spacing w:val="-6"/>
          <w:sz w:val="32"/>
          <w:szCs w:val="40"/>
          <w:highlight w:val="none"/>
          <w:lang w:val="en-US"/>
        </w:rPr>
        <w:t>、每千人口拥有3岁以下婴幼儿托位数</w:t>
      </w:r>
      <w:r>
        <w:rPr>
          <w:rFonts w:hint="eastAsia" w:ascii="Times New Roman" w:hAnsi="Times New Roman" w:eastAsia="仿宋_GB2312" w:cs="方正仿宋_GBK"/>
          <w:b w:val="0"/>
          <w:bCs w:val="0"/>
          <w:spacing w:val="-6"/>
          <w:sz w:val="32"/>
          <w:szCs w:val="40"/>
          <w:highlight w:val="none"/>
          <w:lang w:val="en-US" w:eastAsia="zh-CN"/>
        </w:rPr>
        <w:t>4.53个</w:t>
      </w:r>
      <w:r>
        <w:rPr>
          <w:rFonts w:hint="eastAsia" w:ascii="Times New Roman" w:hAnsi="Times New Roman" w:eastAsia="仿宋_GB2312" w:cs="方正仿宋_GBK"/>
          <w:b w:val="0"/>
          <w:bCs w:val="0"/>
          <w:spacing w:val="-6"/>
          <w:sz w:val="32"/>
          <w:szCs w:val="40"/>
          <w:highlight w:val="none"/>
          <w:lang w:val="en-US"/>
        </w:rPr>
        <w:t>、人均预期寿命</w:t>
      </w:r>
      <w:r>
        <w:rPr>
          <w:rFonts w:hint="eastAsia" w:ascii="Times New Roman" w:hAnsi="Times New Roman" w:eastAsia="仿宋_GB2312" w:cs="方正仿宋_GBK"/>
          <w:b w:val="0"/>
          <w:bCs w:val="0"/>
          <w:spacing w:val="-6"/>
          <w:sz w:val="32"/>
          <w:szCs w:val="40"/>
          <w:highlight w:val="none"/>
          <w:lang w:val="en-US" w:eastAsia="zh-CN"/>
        </w:rPr>
        <w:t>77.8岁，均达到“十四五”规划预期目标</w:t>
      </w:r>
      <w:r>
        <w:rPr>
          <w:rFonts w:hint="eastAsia" w:ascii="Times New Roman" w:hAnsi="Times New Roman" w:eastAsia="仿宋_GB2312" w:cs="方正仿宋_GBK"/>
          <w:b w:val="0"/>
          <w:bCs w:val="0"/>
          <w:spacing w:val="-6"/>
          <w:sz w:val="32"/>
          <w:szCs w:val="40"/>
          <w:highlight w:val="none"/>
        </w:rPr>
        <w:t>；建</w:t>
      </w:r>
      <w:r>
        <w:rPr>
          <w:rFonts w:hint="eastAsia" w:ascii="Times New Roman" w:hAnsi="Times New Roman" w:eastAsia="仿宋_GB2312" w:cs="方正仿宋_GBK"/>
          <w:b w:val="0"/>
          <w:bCs w:val="0"/>
          <w:spacing w:val="-6"/>
          <w:sz w:val="32"/>
          <w:szCs w:val="40"/>
          <w:highlight w:val="none"/>
          <w:lang w:eastAsia="zh-CN"/>
        </w:rPr>
        <w:t>成</w:t>
      </w:r>
      <w:r>
        <w:rPr>
          <w:rFonts w:hint="eastAsia" w:ascii="Times New Roman" w:hAnsi="Times New Roman" w:eastAsia="仿宋_GB2312" w:cs="方正仿宋_GBK"/>
          <w:b w:val="0"/>
          <w:bCs w:val="0"/>
          <w:spacing w:val="-6"/>
          <w:sz w:val="32"/>
          <w:szCs w:val="40"/>
          <w:highlight w:val="none"/>
        </w:rPr>
        <w:t>国家级重点建设专科</w:t>
      </w:r>
      <w:r>
        <w:rPr>
          <w:rFonts w:hint="eastAsia" w:ascii="Times New Roman" w:hAnsi="Times New Roman" w:eastAsia="仿宋_GB2312" w:cs="方正仿宋_GBK"/>
          <w:b w:val="0"/>
          <w:bCs w:val="0"/>
          <w:spacing w:val="-6"/>
          <w:sz w:val="32"/>
          <w:szCs w:val="40"/>
          <w:highlight w:val="none"/>
          <w:lang w:val="en-US" w:eastAsia="zh-CN"/>
        </w:rPr>
        <w:t>9</w:t>
      </w:r>
      <w:r>
        <w:rPr>
          <w:rFonts w:hint="eastAsia" w:ascii="Times New Roman" w:hAnsi="Times New Roman" w:eastAsia="仿宋_GB2312" w:cs="方正仿宋_GBK"/>
          <w:b w:val="0"/>
          <w:bCs w:val="0"/>
          <w:spacing w:val="-6"/>
          <w:sz w:val="32"/>
          <w:szCs w:val="40"/>
          <w:highlight w:val="none"/>
        </w:rPr>
        <w:t>个，自治区领先学科</w:t>
      </w:r>
      <w:r>
        <w:rPr>
          <w:rFonts w:hint="eastAsia" w:ascii="Times New Roman" w:hAnsi="Times New Roman" w:eastAsia="仿宋_GB2312" w:cs="方正仿宋_GBK"/>
          <w:b w:val="0"/>
          <w:bCs w:val="0"/>
          <w:spacing w:val="-6"/>
          <w:sz w:val="32"/>
          <w:szCs w:val="40"/>
          <w:highlight w:val="none"/>
          <w:lang w:val="en-US" w:eastAsia="zh-CN"/>
        </w:rPr>
        <w:t>7</w:t>
      </w:r>
      <w:r>
        <w:rPr>
          <w:rFonts w:hint="eastAsia" w:ascii="Times New Roman" w:hAnsi="Times New Roman" w:eastAsia="仿宋_GB2312" w:cs="方正仿宋_GBK"/>
          <w:b w:val="0"/>
          <w:bCs w:val="0"/>
          <w:spacing w:val="-6"/>
          <w:sz w:val="32"/>
          <w:szCs w:val="40"/>
          <w:highlight w:val="none"/>
        </w:rPr>
        <w:t>个、重点专（学）科55个</w:t>
      </w:r>
      <w:r>
        <w:rPr>
          <w:rFonts w:hint="eastAsia" w:ascii="Times New Roman" w:hAnsi="Times New Roman" w:eastAsia="仿宋_GB2312" w:cs="方正仿宋_GBK"/>
          <w:b w:val="0"/>
          <w:bCs w:val="0"/>
          <w:spacing w:val="-6"/>
          <w:sz w:val="32"/>
          <w:szCs w:val="40"/>
          <w:highlight w:val="none"/>
          <w:lang w:val="en-US" w:eastAsia="zh-CN"/>
        </w:rPr>
        <w:t>、中医（蒙医）优势专科14个</w:t>
      </w:r>
      <w:r>
        <w:rPr>
          <w:rFonts w:hint="eastAsia" w:ascii="Times New Roman" w:hAnsi="Times New Roman" w:eastAsia="仿宋_GB2312" w:cs="方正仿宋_GBK"/>
          <w:b w:val="0"/>
          <w:bCs w:val="0"/>
          <w:spacing w:val="-6"/>
          <w:sz w:val="32"/>
          <w:szCs w:val="40"/>
          <w:highlight w:val="none"/>
        </w:rPr>
        <w:t>，首都医科大学宣武医院内蒙古医院</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rPr>
        <w:t>国家</w:t>
      </w:r>
      <w:r>
        <w:rPr>
          <w:rFonts w:hint="eastAsia" w:ascii="Times New Roman" w:hAnsi="Times New Roman" w:eastAsia="仿宋_GB2312" w:cs="方正仿宋_GBK"/>
          <w:b w:val="0"/>
          <w:bCs w:val="0"/>
          <w:spacing w:val="-6"/>
          <w:sz w:val="32"/>
          <w:szCs w:val="40"/>
          <w:highlight w:val="none"/>
          <w:lang w:val="en-US" w:eastAsia="zh-CN"/>
        </w:rPr>
        <w:t>级</w:t>
      </w:r>
      <w:r>
        <w:rPr>
          <w:rFonts w:hint="eastAsia" w:ascii="Times New Roman" w:hAnsi="Times New Roman" w:eastAsia="仿宋_GB2312" w:cs="方正仿宋_GBK"/>
          <w:b w:val="0"/>
          <w:bCs w:val="0"/>
          <w:spacing w:val="-6"/>
          <w:sz w:val="32"/>
          <w:szCs w:val="40"/>
          <w:highlight w:val="none"/>
        </w:rPr>
        <w:t>区域医疗中心</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lang w:val="en-US" w:eastAsia="zh-CN"/>
        </w:rPr>
        <w:t>挂牌运营</w:t>
      </w:r>
      <w:r>
        <w:rPr>
          <w:rFonts w:hint="eastAsia" w:ascii="Times New Roman" w:hAnsi="Times New Roman" w:eastAsia="仿宋_GB2312" w:cs="方正仿宋_GBK"/>
          <w:b w:val="0"/>
          <w:bCs w:val="0"/>
          <w:spacing w:val="-6"/>
          <w:sz w:val="32"/>
          <w:szCs w:val="40"/>
          <w:highlight w:val="none"/>
        </w:rPr>
        <w:t>，</w:t>
      </w:r>
      <w:r>
        <w:rPr>
          <w:rFonts w:hint="eastAsia" w:ascii="Times New Roman" w:hAnsi="Times New Roman" w:eastAsia="仿宋_GB2312" w:cs="方正仿宋_GBK"/>
          <w:b w:val="0"/>
          <w:bCs w:val="0"/>
          <w:spacing w:val="-6"/>
          <w:sz w:val="32"/>
          <w:szCs w:val="40"/>
          <w:highlight w:val="none"/>
          <w:lang w:val="en-US"/>
        </w:rPr>
        <w:t>中心城区2</w:t>
      </w:r>
      <w:r>
        <w:rPr>
          <w:rFonts w:hint="eastAsia" w:ascii="Times New Roman" w:hAnsi="Times New Roman" w:eastAsia="仿宋_GB2312" w:cs="方正仿宋_GBK"/>
          <w:b w:val="0"/>
          <w:bCs w:val="0"/>
          <w:spacing w:val="-6"/>
          <w:sz w:val="32"/>
          <w:szCs w:val="40"/>
          <w:highlight w:val="none"/>
          <w:lang w:val="en-US" w:eastAsia="zh-CN"/>
        </w:rPr>
        <w:t>个</w:t>
      </w:r>
      <w:r>
        <w:rPr>
          <w:rFonts w:hint="eastAsia" w:ascii="Times New Roman" w:hAnsi="Times New Roman" w:eastAsia="仿宋_GB2312" w:cs="方正仿宋_GBK"/>
          <w:b w:val="0"/>
          <w:bCs w:val="0"/>
          <w:spacing w:val="-6"/>
          <w:sz w:val="32"/>
          <w:szCs w:val="40"/>
          <w:highlight w:val="none"/>
          <w:lang w:val="en-US"/>
        </w:rPr>
        <w:t>紧密型城市医疗集团</w:t>
      </w:r>
      <w:r>
        <w:rPr>
          <w:rFonts w:hint="eastAsia" w:ascii="Times New Roman" w:hAnsi="Times New Roman" w:eastAsia="仿宋_GB2312" w:cs="方正仿宋_GBK"/>
          <w:b w:val="0"/>
          <w:bCs w:val="0"/>
          <w:spacing w:val="-6"/>
          <w:sz w:val="32"/>
          <w:szCs w:val="40"/>
          <w:highlight w:val="none"/>
        </w:rPr>
        <w:t>稳步推进，旗县区</w:t>
      </w:r>
      <w:r>
        <w:rPr>
          <w:rFonts w:hint="eastAsia" w:ascii="Times New Roman" w:hAnsi="Times New Roman" w:eastAsia="仿宋_GB2312" w:cs="方正仿宋_GBK"/>
          <w:b w:val="0"/>
          <w:bCs w:val="0"/>
          <w:spacing w:val="-6"/>
          <w:sz w:val="32"/>
          <w:szCs w:val="40"/>
          <w:highlight w:val="none"/>
          <w:lang w:val="en-US" w:eastAsia="zh-CN"/>
        </w:rPr>
        <w:t>10</w:t>
      </w:r>
      <w:r>
        <w:rPr>
          <w:rFonts w:hint="eastAsia" w:ascii="Times New Roman" w:hAnsi="Times New Roman" w:eastAsia="仿宋_GB2312" w:cs="方正仿宋_GBK"/>
          <w:b w:val="0"/>
          <w:bCs w:val="0"/>
          <w:spacing w:val="-6"/>
          <w:sz w:val="32"/>
          <w:szCs w:val="40"/>
          <w:highlight w:val="none"/>
        </w:rPr>
        <w:t>个</w:t>
      </w:r>
      <w:r>
        <w:rPr>
          <w:rFonts w:hint="eastAsia" w:ascii="Times New Roman" w:hAnsi="Times New Roman" w:eastAsia="仿宋_GB2312" w:cs="方正仿宋_GBK"/>
          <w:b w:val="0"/>
          <w:bCs w:val="0"/>
          <w:spacing w:val="-6"/>
          <w:sz w:val="32"/>
          <w:szCs w:val="40"/>
          <w:highlight w:val="none"/>
          <w:lang w:eastAsia="zh-CN"/>
        </w:rPr>
        <w:t>紧密型县域医共体建设</w:t>
      </w:r>
      <w:r>
        <w:rPr>
          <w:rFonts w:hint="eastAsia" w:ascii="Times New Roman" w:hAnsi="Times New Roman" w:eastAsia="仿宋_GB2312" w:cs="方正仿宋_GBK"/>
          <w:b w:val="0"/>
          <w:bCs w:val="0"/>
          <w:spacing w:val="-6"/>
          <w:sz w:val="32"/>
          <w:szCs w:val="40"/>
          <w:highlight w:val="none"/>
        </w:rPr>
        <w:t>完成。</w:t>
      </w:r>
    </w:p>
    <w:p w14:paraId="632023FF">
      <w:pPr>
        <w:keepNext w:val="0"/>
        <w:keepLines w:val="0"/>
        <w:pageBreakBefore w:val="0"/>
        <w:widowControl w:val="0"/>
        <w:shd w:val="clear" w:color="auto" w:fill="auto"/>
        <w:kinsoku/>
        <w:wordWrap/>
        <w:topLinePunct w:val="0"/>
        <w:autoSpaceDE/>
        <w:autoSpaceDN/>
        <w:bidi w:val="0"/>
        <w:adjustRightInd/>
        <w:snapToGrid/>
        <w:spacing w:line="560" w:lineRule="exact"/>
        <w:ind w:firstLine="616" w:firstLineChars="200"/>
        <w:textAlignment w:val="auto"/>
        <w:outlineLvl w:val="9"/>
        <w:rPr>
          <w:rFonts w:hint="eastAsia" w:ascii="Times New Roman" w:hAnsi="Times New Roman" w:eastAsia="仿宋_GB2312" w:cs="方正仿宋_GBK"/>
          <w:b w:val="0"/>
          <w:bCs w:val="0"/>
          <w:spacing w:val="-6"/>
          <w:sz w:val="32"/>
          <w:szCs w:val="40"/>
          <w:highlight w:val="none"/>
        </w:rPr>
      </w:pPr>
      <w:r>
        <w:rPr>
          <w:rFonts w:hint="eastAsia" w:ascii="Times New Roman" w:hAnsi="Times New Roman" w:eastAsia="仿宋_GB2312" w:cs="方正仿宋_GBK"/>
          <w:b w:val="0"/>
          <w:bCs w:val="0"/>
          <w:color w:val="auto"/>
          <w:spacing w:val="-6"/>
          <w:sz w:val="32"/>
          <w:szCs w:val="40"/>
          <w:highlight w:val="none"/>
          <w:lang w:val="en-US" w:eastAsia="zh-CN"/>
        </w:rPr>
        <w:t>基础设施支撑不断增强</w:t>
      </w:r>
      <w:r>
        <w:rPr>
          <w:rFonts w:hint="eastAsia" w:ascii="Times New Roman" w:hAnsi="Times New Roman" w:eastAsia="仿宋_GB2312" w:cs="方正仿宋_GBK"/>
          <w:b w:val="0"/>
          <w:bCs w:val="0"/>
          <w:spacing w:val="-6"/>
          <w:sz w:val="32"/>
          <w:szCs w:val="40"/>
          <w:highlight w:val="none"/>
          <w:lang w:val="en-US" w:eastAsia="zh-CN"/>
        </w:rPr>
        <w:t>。“十四五”以来，赤峰市持续完善交通、能源、水利、新型基础设施体系，对经济社会发展的支撑作用不断增强。综合交通体系日益完善，G5511大板至查白音他拉和公主埂至经棚、G1611</w:t>
      </w:r>
      <w:r>
        <w:rPr>
          <w:rFonts w:hint="eastAsia" w:ascii="Times New Roman" w:hAnsi="Times New Roman" w:eastAsia="仿宋_GB2312" w:cs="方正仿宋_GBK"/>
          <w:b w:val="0"/>
          <w:bCs w:val="0"/>
          <w:spacing w:val="-6"/>
          <w:sz w:val="32"/>
          <w:szCs w:val="40"/>
          <w:highlight w:val="none"/>
        </w:rPr>
        <w:t>经棚至乌兰布统高速公路</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lang w:val="en-US" w:eastAsia="zh-CN"/>
        </w:rPr>
        <w:t>G</w:t>
      </w:r>
      <w:r>
        <w:rPr>
          <w:rFonts w:hint="eastAsia" w:ascii="Times New Roman" w:hAnsi="Times New Roman" w:eastAsia="仿宋_GB2312" w:cs="方正仿宋_GBK"/>
          <w:b w:val="0"/>
          <w:bCs w:val="0"/>
          <w:spacing w:val="-6"/>
          <w:sz w:val="32"/>
          <w:szCs w:val="40"/>
          <w:highlight w:val="none"/>
        </w:rPr>
        <w:t>508小城子至平泉</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rPr>
        <w:t>蒙冀界</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lang w:val="en-US" w:eastAsia="zh-CN"/>
        </w:rPr>
        <w:t>S304大兴至海拉苏、S</w:t>
      </w:r>
      <w:r>
        <w:rPr>
          <w:rFonts w:hint="eastAsia" w:ascii="Times New Roman" w:hAnsi="Times New Roman" w:eastAsia="仿宋_GB2312" w:cs="方正仿宋_GBK"/>
          <w:b w:val="0"/>
          <w:bCs w:val="0"/>
          <w:spacing w:val="-6"/>
          <w:sz w:val="32"/>
          <w:szCs w:val="40"/>
          <w:highlight w:val="none"/>
        </w:rPr>
        <w:t>505十家至大坝沟、</w:t>
      </w:r>
      <w:r>
        <w:rPr>
          <w:rFonts w:hint="eastAsia" w:ascii="Times New Roman" w:hAnsi="Times New Roman" w:eastAsia="仿宋_GB2312" w:cs="方正仿宋_GBK"/>
          <w:b w:val="0"/>
          <w:bCs w:val="0"/>
          <w:spacing w:val="-6"/>
          <w:sz w:val="32"/>
          <w:szCs w:val="40"/>
          <w:highlight w:val="none"/>
          <w:lang w:val="en-US" w:eastAsia="zh-CN"/>
        </w:rPr>
        <w:t>S210巴拉奇如德至高日罕、</w:t>
      </w:r>
      <w:r>
        <w:rPr>
          <w:rFonts w:hint="eastAsia" w:ascii="Times New Roman" w:hAnsi="Times New Roman" w:eastAsia="仿宋_GB2312" w:cs="方正仿宋_GBK"/>
          <w:b w:val="0"/>
          <w:bCs w:val="0"/>
          <w:spacing w:val="-6"/>
          <w:sz w:val="32"/>
          <w:szCs w:val="40"/>
          <w:highlight w:val="none"/>
        </w:rPr>
        <w:t>丹锡高速公路梧桐花互通等干线工程建成通车，</w:t>
      </w:r>
      <w:r>
        <w:rPr>
          <w:rFonts w:hint="eastAsia" w:ascii="Times New Roman" w:hAnsi="Times New Roman" w:eastAsia="仿宋_GB2312" w:cs="方正仿宋_GBK"/>
          <w:b w:val="0"/>
          <w:bCs w:val="0"/>
          <w:spacing w:val="-6"/>
          <w:sz w:val="32"/>
          <w:szCs w:val="40"/>
          <w:highlight w:val="none"/>
          <w:lang w:val="en-US" w:eastAsia="zh-CN"/>
        </w:rPr>
        <w:t>S28乌丹至天山高速公路、G111小卡拉至赤峰、G233经棚至桦木沟、S220罕达罕至乌兰布统、S</w:t>
      </w:r>
      <w:r>
        <w:rPr>
          <w:rFonts w:hint="eastAsia" w:ascii="Times New Roman" w:hAnsi="Times New Roman" w:eastAsia="仿宋_GB2312" w:cs="方正仿宋_GBK"/>
          <w:b w:val="0"/>
          <w:bCs w:val="0"/>
          <w:spacing w:val="-6"/>
          <w:sz w:val="32"/>
          <w:szCs w:val="40"/>
          <w:highlight w:val="none"/>
        </w:rPr>
        <w:t>504五十家子至林西等项目加快实施；</w:t>
      </w:r>
      <w:r>
        <w:rPr>
          <w:rFonts w:hint="eastAsia" w:ascii="Times New Roman" w:hAnsi="Times New Roman" w:eastAsia="仿宋_GB2312" w:cs="方正仿宋_GBK"/>
          <w:b w:val="0"/>
          <w:bCs w:val="0"/>
          <w:spacing w:val="-6"/>
          <w:sz w:val="32"/>
          <w:szCs w:val="40"/>
          <w:highlight w:val="none"/>
          <w:lang w:val="en-US" w:eastAsia="zh-CN"/>
        </w:rPr>
        <w:t>赤峰至北京朝阳高铁增加至10对/日，两地间高铁实现“公交化”运行。赤大铁路首开旅客列车，南北铁路客运大通道全面贯通。</w:t>
      </w:r>
      <w:r>
        <w:rPr>
          <w:rFonts w:hint="eastAsia" w:ascii="Times New Roman" w:hAnsi="Times New Roman" w:eastAsia="仿宋_GB2312" w:cs="方正仿宋_GBK"/>
          <w:b w:val="0"/>
          <w:bCs w:val="0"/>
          <w:spacing w:val="-6"/>
          <w:sz w:val="32"/>
          <w:szCs w:val="40"/>
          <w:highlight w:val="none"/>
        </w:rPr>
        <w:t>集通铁路电气化改造工程竣工通车，林白铁路复工建设；玉龙机场</w:t>
      </w:r>
      <w:r>
        <w:rPr>
          <w:rFonts w:hint="eastAsia" w:ascii="Times New Roman" w:hAnsi="Times New Roman" w:eastAsia="仿宋_GB2312" w:cs="方正仿宋_GBK"/>
          <w:b w:val="0"/>
          <w:bCs w:val="0"/>
          <w:spacing w:val="-6"/>
          <w:sz w:val="32"/>
          <w:szCs w:val="40"/>
          <w:highlight w:val="none"/>
          <w:lang w:eastAsia="zh-CN"/>
        </w:rPr>
        <w:t>新航站楼</w:t>
      </w:r>
      <w:r>
        <w:rPr>
          <w:rFonts w:hint="eastAsia" w:ascii="Times New Roman" w:hAnsi="Times New Roman" w:eastAsia="仿宋_GB2312" w:cs="方正仿宋_GBK"/>
          <w:b w:val="0"/>
          <w:bCs w:val="0"/>
          <w:spacing w:val="-6"/>
          <w:sz w:val="32"/>
          <w:szCs w:val="40"/>
          <w:highlight w:val="none"/>
        </w:rPr>
        <w:t>投入使用</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lang w:val="en-US" w:eastAsia="zh-CN"/>
        </w:rPr>
        <w:t>左旗通用机场开通短途航线、右旗通用机场取得使用许可证，克旗阿斯哈图和乌兰布统机场通过竣工验收</w:t>
      </w:r>
      <w:r>
        <w:rPr>
          <w:rFonts w:hint="eastAsia" w:ascii="Times New Roman" w:hAnsi="Times New Roman" w:eastAsia="仿宋_GB2312" w:cs="方正仿宋_GBK"/>
          <w:b w:val="0"/>
          <w:bCs w:val="0"/>
          <w:spacing w:val="-6"/>
          <w:sz w:val="32"/>
          <w:szCs w:val="40"/>
          <w:highlight w:val="none"/>
        </w:rPr>
        <w:t>。</w:t>
      </w:r>
      <w:r>
        <w:rPr>
          <w:rFonts w:hint="eastAsia" w:ascii="Times New Roman" w:hAnsi="Times New Roman" w:eastAsia="仿宋_GB2312" w:cs="方正仿宋_GBK"/>
          <w:b w:val="0"/>
          <w:bCs w:val="0"/>
          <w:spacing w:val="-6"/>
          <w:sz w:val="32"/>
          <w:szCs w:val="40"/>
          <w:highlight w:val="none"/>
          <w:lang w:val="en-US" w:eastAsia="zh-CN"/>
        </w:rPr>
        <w:t>水安全</w:t>
      </w:r>
      <w:r>
        <w:rPr>
          <w:rFonts w:hint="eastAsia" w:ascii="Times New Roman" w:hAnsi="Times New Roman" w:eastAsia="仿宋_GB2312" w:cs="方正仿宋_GBK"/>
          <w:b w:val="0"/>
          <w:bCs w:val="0"/>
          <w:spacing w:val="-6"/>
          <w:sz w:val="32"/>
          <w:szCs w:val="40"/>
          <w:highlight w:val="none"/>
        </w:rPr>
        <w:t>保障能力显著增强</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rPr>
        <w:t>跨区域调水支线工程、东台子水库工程有序推进。</w:t>
      </w:r>
      <w:r>
        <w:rPr>
          <w:rFonts w:hint="eastAsia" w:ascii="Times New Roman" w:hAnsi="Times New Roman" w:eastAsia="仿宋_GB2312" w:cs="方正仿宋_GBK"/>
          <w:b w:val="0"/>
          <w:bCs w:val="0"/>
          <w:spacing w:val="-6"/>
          <w:sz w:val="32"/>
          <w:szCs w:val="40"/>
          <w:highlight w:val="none"/>
          <w:lang w:val="en-US" w:eastAsia="zh-CN"/>
        </w:rPr>
        <w:t>能源重大基础设施建设实现重点突破，巴奈阜500千伏、阿旗北500千伏、东山500千伏、克旗500千伏输变电工程相继建成投运，赤峰至锦州港、赤峰至京津冀绿色氢氨醇长输管道工程启动前期工作，“气化赤峰”中燃朝阳至赤峰天然气管道建成投运，</w:t>
      </w:r>
      <w:r>
        <w:rPr>
          <w:rFonts w:hint="eastAsia" w:ascii="Times New Roman" w:hAnsi="Times New Roman" w:eastAsia="仿宋_GB2312" w:cs="方正仿宋_GBK"/>
          <w:b w:val="0"/>
          <w:bCs w:val="0"/>
          <w:spacing w:val="-6"/>
          <w:sz w:val="32"/>
          <w:szCs w:val="40"/>
          <w:highlight w:val="none"/>
        </w:rPr>
        <w:t>长春至石家庄天然气长输管道赤峰段干线工程开工建设</w:t>
      </w:r>
      <w:r>
        <w:rPr>
          <w:rFonts w:hint="eastAsia" w:ascii="Times New Roman" w:hAnsi="Times New Roman" w:eastAsia="仿宋_GB2312" w:cs="方正仿宋_GBK"/>
          <w:b w:val="0"/>
          <w:bCs w:val="0"/>
          <w:spacing w:val="-6"/>
          <w:sz w:val="32"/>
          <w:szCs w:val="40"/>
          <w:highlight w:val="none"/>
          <w:lang w:eastAsia="zh-CN"/>
        </w:rPr>
        <w:t>，长春至石家庄天然气长输管道盘锦至赤峰联络线工程、赤北开口门站天然气直供赤峰大工业用户管道工程、通辽至赤峰天然气长输管道联网工程前期</w:t>
      </w:r>
      <w:r>
        <w:rPr>
          <w:rFonts w:hint="eastAsia" w:ascii="Times New Roman" w:hAnsi="Times New Roman" w:eastAsia="仿宋_GB2312" w:cs="方正仿宋_GBK"/>
          <w:b w:val="0"/>
          <w:bCs w:val="0"/>
          <w:spacing w:val="-6"/>
          <w:sz w:val="32"/>
          <w:szCs w:val="40"/>
          <w:highlight w:val="none"/>
          <w:lang w:val="en-US" w:eastAsia="zh-CN"/>
        </w:rPr>
        <w:t>工作加快推进</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rPr>
        <w:t>新型基础设施加快建设，</w:t>
      </w:r>
      <w:r>
        <w:rPr>
          <w:rFonts w:hint="eastAsia" w:ascii="Times New Roman" w:hAnsi="Times New Roman" w:eastAsia="仿宋_GB2312" w:cs="方正仿宋_GBK"/>
          <w:b w:val="0"/>
          <w:bCs w:val="0"/>
          <w:spacing w:val="-6"/>
          <w:sz w:val="32"/>
          <w:szCs w:val="40"/>
          <w:highlight w:val="none"/>
          <w:lang w:val="en-US" w:eastAsia="zh-CN"/>
        </w:rPr>
        <w:t>新建5G基站3082座，中心城区实现连续覆盖，行政村4G网络有效覆盖率达到98%以上。</w:t>
      </w:r>
    </w:p>
    <w:p w14:paraId="2F7F65DA">
      <w:pPr>
        <w:keepNext w:val="0"/>
        <w:keepLines w:val="0"/>
        <w:pageBreakBefore w:val="0"/>
        <w:widowControl w:val="0"/>
        <w:shd w:val="clear" w:color="auto" w:fill="auto"/>
        <w:kinsoku/>
        <w:wordWrap/>
        <w:topLinePunct w:val="0"/>
        <w:autoSpaceDE/>
        <w:autoSpaceDN/>
        <w:bidi w:val="0"/>
        <w:adjustRightInd/>
        <w:snapToGrid/>
        <w:spacing w:line="560" w:lineRule="exact"/>
        <w:ind w:firstLine="616" w:firstLineChars="200"/>
        <w:textAlignment w:val="auto"/>
        <w:outlineLvl w:val="9"/>
        <w:rPr>
          <w:rFonts w:hint="eastAsia" w:ascii="Times New Roman" w:hAnsi="Times New Roman" w:eastAsia="仿宋_GB2312" w:cs="方正仿宋_GBK"/>
          <w:b w:val="0"/>
          <w:bCs w:val="0"/>
          <w:spacing w:val="-6"/>
          <w:sz w:val="32"/>
          <w:szCs w:val="40"/>
          <w:highlight w:val="none"/>
          <w:lang w:eastAsia="zh-CN"/>
        </w:rPr>
      </w:pPr>
      <w:r>
        <w:rPr>
          <w:rFonts w:hint="eastAsia" w:ascii="Times New Roman" w:hAnsi="Times New Roman" w:eastAsia="仿宋_GB2312" w:cs="方正仿宋_GBK"/>
          <w:b w:val="0"/>
          <w:bCs w:val="0"/>
          <w:spacing w:val="-6"/>
          <w:sz w:val="32"/>
          <w:szCs w:val="40"/>
          <w:highlight w:val="none"/>
          <w:lang w:val="en-US" w:eastAsia="zh-CN"/>
        </w:rPr>
        <w:t>社会治理成效显著</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lang w:val="en-US" w:eastAsia="zh-CN"/>
        </w:rPr>
        <w:t>十四五</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lang w:val="en-US" w:eastAsia="zh-CN"/>
        </w:rPr>
        <w:t>以来，赤峰市着力推进国家治理体系和治理能力现代化，</w:t>
      </w:r>
      <w:r>
        <w:rPr>
          <w:rFonts w:hint="eastAsia" w:ascii="Times New Roman" w:hAnsi="Times New Roman" w:eastAsia="仿宋_GB2312" w:cs="方正仿宋_GBK"/>
          <w:b w:val="0"/>
          <w:bCs w:val="0"/>
          <w:spacing w:val="-6"/>
          <w:sz w:val="32"/>
          <w:szCs w:val="40"/>
          <w:highlight w:val="none"/>
        </w:rPr>
        <w:t>成立全区第一个盟市级见义勇为基金会并开展慰问救助活动</w:t>
      </w:r>
      <w:r>
        <w:rPr>
          <w:rFonts w:hint="eastAsia" w:ascii="Times New Roman" w:hAnsi="Times New Roman" w:eastAsia="仿宋_GB2312" w:cs="方正仿宋_GBK"/>
          <w:b w:val="0"/>
          <w:bCs w:val="0"/>
          <w:spacing w:val="-6"/>
          <w:sz w:val="32"/>
          <w:szCs w:val="40"/>
          <w:highlight w:val="none"/>
          <w:lang w:eastAsia="zh-CN"/>
        </w:rPr>
        <w:t>，建成了覆盖市、县、乡、村四级的退役军人服务保障体系</w:t>
      </w:r>
      <w:r>
        <w:rPr>
          <w:rFonts w:hint="eastAsia" w:ascii="Times New Roman" w:hAnsi="Times New Roman" w:eastAsia="仿宋_GB2312" w:cs="方正仿宋_GBK"/>
          <w:b w:val="0"/>
          <w:bCs w:val="0"/>
          <w:spacing w:val="-6"/>
          <w:sz w:val="32"/>
          <w:szCs w:val="40"/>
          <w:highlight w:val="none"/>
        </w:rPr>
        <w:t>。防灾减灾救灾工作有序推进，深入开展工矿</w:t>
      </w:r>
      <w:r>
        <w:rPr>
          <w:rFonts w:hint="eastAsia" w:ascii="Times New Roman" w:hAnsi="Times New Roman" w:eastAsia="仿宋_GB2312" w:cs="方正仿宋_GBK"/>
          <w:b w:val="0"/>
          <w:bCs w:val="0"/>
          <w:spacing w:val="-6"/>
          <w:sz w:val="32"/>
          <w:szCs w:val="40"/>
          <w:highlight w:val="none"/>
          <w:lang w:val="en-US" w:eastAsia="zh-CN"/>
        </w:rPr>
        <w:t>商贸</w:t>
      </w:r>
      <w:r>
        <w:rPr>
          <w:rFonts w:hint="eastAsia" w:ascii="Times New Roman" w:hAnsi="Times New Roman" w:eastAsia="仿宋_GB2312" w:cs="方正仿宋_GBK"/>
          <w:b w:val="0"/>
          <w:bCs w:val="0"/>
          <w:spacing w:val="-6"/>
          <w:sz w:val="32"/>
          <w:szCs w:val="40"/>
          <w:highlight w:val="none"/>
        </w:rPr>
        <w:t>企业、交通运输、城镇燃气、经营性自建房等行业领域和场所部位风险隐患</w:t>
      </w:r>
      <w:r>
        <w:rPr>
          <w:rFonts w:hint="eastAsia" w:ascii="Times New Roman" w:hAnsi="Times New Roman" w:eastAsia="仿宋_GB2312" w:cs="方正仿宋_GBK"/>
          <w:b w:val="0"/>
          <w:bCs w:val="0"/>
          <w:spacing w:val="-6"/>
          <w:sz w:val="32"/>
          <w:szCs w:val="40"/>
          <w:highlight w:val="none"/>
          <w:lang w:val="en-US" w:eastAsia="zh-CN"/>
        </w:rPr>
        <w:t>排查</w:t>
      </w:r>
      <w:r>
        <w:rPr>
          <w:rFonts w:hint="eastAsia" w:ascii="Times New Roman" w:hAnsi="Times New Roman" w:eastAsia="仿宋_GB2312" w:cs="方正仿宋_GBK"/>
          <w:b w:val="0"/>
          <w:bCs w:val="0"/>
          <w:spacing w:val="-6"/>
          <w:sz w:val="32"/>
          <w:szCs w:val="40"/>
          <w:highlight w:val="none"/>
        </w:rPr>
        <w:t>整治，排查发现问题全面清零。持续加强食药安全监管，落实食品安全</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rPr>
        <w:t>两个责任</w:t>
      </w:r>
      <w:r>
        <w:rPr>
          <w:rFonts w:hint="eastAsia" w:ascii="Times New Roman" w:hAnsi="Times New Roman" w:eastAsia="仿宋_GB2312" w:cs="方正仿宋_GBK"/>
          <w:b w:val="0"/>
          <w:bCs w:val="0"/>
          <w:spacing w:val="-6"/>
          <w:sz w:val="32"/>
          <w:szCs w:val="40"/>
          <w:highlight w:val="none"/>
          <w:lang w:eastAsia="zh-CN"/>
        </w:rPr>
        <w:t>”</w:t>
      </w:r>
      <w:r>
        <w:rPr>
          <w:rFonts w:hint="eastAsia" w:ascii="Times New Roman" w:hAnsi="Times New Roman" w:eastAsia="仿宋_GB2312" w:cs="方正仿宋_GBK"/>
          <w:b w:val="0"/>
          <w:bCs w:val="0"/>
          <w:spacing w:val="-6"/>
          <w:sz w:val="32"/>
          <w:szCs w:val="40"/>
          <w:highlight w:val="none"/>
        </w:rPr>
        <w:t>，强化食品安全全链条监管。严密细致做好各领域风险防范化解工作，严厉打击各类违法犯罪活动，八类主要刑事案件和命案发案数实现“双下降”，社会治安持续向好。</w:t>
      </w:r>
    </w:p>
    <w:p w14:paraId="47E7D8C1">
      <w:pPr>
        <w:keepNext w:val="0"/>
        <w:keepLines w:val="0"/>
        <w:pageBreakBefore w:val="0"/>
        <w:widowControl w:val="0"/>
        <w:shd w:val="clear" w:color="auto" w:fill="auto"/>
        <w:kinsoku/>
        <w:wordWrap/>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方正仿宋_GBK"/>
          <w:b w:val="0"/>
          <w:bCs w:val="0"/>
          <w:spacing w:val="-6"/>
          <w:sz w:val="32"/>
          <w:szCs w:val="40"/>
          <w:highlight w:val="none"/>
        </w:rPr>
      </w:pPr>
      <w:r>
        <w:rPr>
          <w:rFonts w:hint="eastAsia" w:ascii="仿宋_GB2312" w:hAnsi="黑体" w:eastAsia="仿宋_GB2312" w:cs="Times New Roman"/>
          <w:b w:val="0"/>
          <w:bCs w:val="0"/>
          <w:color w:val="auto"/>
          <w:sz w:val="32"/>
          <w:szCs w:val="32"/>
          <w:highlight w:val="none"/>
          <w:u w:val="none" w:color="auto"/>
          <w:lang w:val="en-US" w:eastAsia="zh-CN"/>
        </w:rPr>
        <w:t>铸牢中华民族共同体意识走深走实。</w:t>
      </w:r>
      <w:r>
        <w:rPr>
          <w:rFonts w:hint="eastAsia" w:ascii="Times New Roman" w:hAnsi="Times New Roman" w:eastAsia="仿宋_GB2312" w:cs="方正仿宋_GBK"/>
          <w:b w:val="0"/>
          <w:bCs w:val="0"/>
          <w:spacing w:val="-6"/>
          <w:sz w:val="32"/>
          <w:szCs w:val="40"/>
          <w:highlight w:val="none"/>
        </w:rPr>
        <w:t>“十四五”以来，赤峰市</w:t>
      </w:r>
      <w:r>
        <w:rPr>
          <w:rFonts w:hint="eastAsia" w:ascii="Times New Roman" w:hAnsi="Times New Roman" w:eastAsia="仿宋_GB2312" w:cs="方正仿宋_GBK"/>
          <w:b w:val="0"/>
          <w:bCs w:val="0"/>
          <w:spacing w:val="-6"/>
          <w:sz w:val="32"/>
          <w:szCs w:val="40"/>
          <w:highlight w:val="none"/>
          <w:lang w:val="en-US" w:eastAsia="zh-CN"/>
        </w:rPr>
        <w:t>紧紧围绕铸牢中华民族共同体意识工作主线，</w:t>
      </w:r>
      <w:r>
        <w:rPr>
          <w:rFonts w:hint="eastAsia" w:ascii="仿宋_GB2312" w:hAnsi="黑体" w:eastAsia="仿宋_GB2312" w:cs="Times New Roman"/>
          <w:b w:val="0"/>
          <w:bCs w:val="0"/>
          <w:color w:val="auto"/>
          <w:sz w:val="32"/>
          <w:szCs w:val="32"/>
          <w:highlight w:val="none"/>
          <w:u w:val="none" w:color="auto"/>
          <w:lang w:val="en-US" w:eastAsia="zh-CN"/>
        </w:rPr>
        <w:t>“四个与共”、“五个认同”深入人心，“六句话的事实和道理”广泛认同</w:t>
      </w:r>
      <w:r>
        <w:rPr>
          <w:rFonts w:hint="eastAsia" w:ascii="Times New Roman" w:hAnsi="Times New Roman" w:eastAsia="仿宋_GB2312" w:cs="方正仿宋_GBK"/>
          <w:b w:val="0"/>
          <w:bCs w:val="0"/>
          <w:spacing w:val="-6"/>
          <w:sz w:val="32"/>
          <w:szCs w:val="40"/>
          <w:highlight w:val="none"/>
        </w:rPr>
        <w:t>。以民族团结进步示范市创建工作为抓手，全面开展民族团结进步宣传教育活动，大力宣传党的民族理论政策，推动民族理论政策入脑入心，成功获评第十一批全国民族团结进步示范</w:t>
      </w:r>
      <w:r>
        <w:rPr>
          <w:rFonts w:hint="eastAsia" w:ascii="Times New Roman" w:hAnsi="Times New Roman" w:eastAsia="仿宋_GB2312" w:cs="方正仿宋_GBK"/>
          <w:b w:val="0"/>
          <w:bCs w:val="0"/>
          <w:spacing w:val="-6"/>
          <w:sz w:val="32"/>
          <w:szCs w:val="40"/>
          <w:highlight w:val="none"/>
          <w:lang w:val="en-US" w:eastAsia="zh-CN"/>
        </w:rPr>
        <w:t>市</w:t>
      </w:r>
      <w:r>
        <w:rPr>
          <w:rFonts w:hint="eastAsia" w:ascii="Times New Roman" w:hAnsi="Times New Roman" w:eastAsia="仿宋_GB2312" w:cs="方正仿宋_GBK"/>
          <w:b w:val="0"/>
          <w:bCs w:val="0"/>
          <w:spacing w:val="-6"/>
          <w:sz w:val="32"/>
          <w:szCs w:val="40"/>
          <w:highlight w:val="none"/>
        </w:rPr>
        <w:t>称号。着力打造巴林右旗民族团结进步“一家亲”党建联合体模式，大力推广松山区临潢家园社区“城市民族综合服务体”工作模式，打造“城市乌兰牧骑”工作品牌和28个“城市民族工作示范社区”；积极构建</w:t>
      </w:r>
      <w:r>
        <w:rPr>
          <w:rFonts w:hint="eastAsia" w:ascii="Times New Roman" w:hAnsi="Times New Roman" w:eastAsia="仿宋_GB2312" w:cs="方正仿宋_GBK"/>
          <w:b w:val="0"/>
          <w:bCs w:val="0"/>
          <w:spacing w:val="-6"/>
          <w:sz w:val="32"/>
          <w:szCs w:val="40"/>
          <w:highlight w:val="none"/>
          <w:lang w:val="en-US" w:eastAsia="zh-CN"/>
        </w:rPr>
        <w:t>互嵌式</w:t>
      </w:r>
      <w:r>
        <w:rPr>
          <w:rFonts w:hint="eastAsia" w:ascii="Times New Roman" w:hAnsi="Times New Roman" w:eastAsia="仿宋_GB2312" w:cs="方正仿宋_GBK"/>
          <w:b w:val="0"/>
          <w:bCs w:val="0"/>
          <w:spacing w:val="-6"/>
          <w:sz w:val="32"/>
          <w:szCs w:val="40"/>
          <w:highlight w:val="none"/>
        </w:rPr>
        <w:t>社会结构与社区环境，促进全市各族群众和睦相处、和衷共济、和谐发展；着力提高创建工作覆盖率，坚持农区与牧区并重、南部与北部地区并重、农村与城市并重、机关事业单位与社会各行各业并重原则，全市创建工作覆盖率达98%以上，农村牧区创建工作覆盖率达100%。</w:t>
      </w:r>
    </w:p>
    <w:p w14:paraId="56230A90">
      <w:pPr>
        <w:keepNext w:val="0"/>
        <w:keepLines w:val="0"/>
        <w:pageBreakBefore w:val="0"/>
        <w:widowControl w:val="0"/>
        <w:shd w:val="clear" w:color="auto" w:fill="auto"/>
        <w:kinsoku/>
        <w:wordWrap/>
        <w:topLinePunct w:val="0"/>
        <w:autoSpaceDE/>
        <w:autoSpaceDN/>
        <w:bidi w:val="0"/>
        <w:adjustRightInd/>
        <w:snapToGrid/>
        <w:spacing w:line="560" w:lineRule="exact"/>
        <w:ind w:firstLine="640" w:firstLineChars="200"/>
        <w:textAlignment w:val="auto"/>
        <w:outlineLvl w:val="9"/>
        <w:rPr>
          <w:rFonts w:hint="eastAsia" w:ascii="仿宋_GB2312" w:hAnsi="黑体" w:eastAsia="仿宋_GB2312" w:cs="Times New Roman"/>
          <w:b w:val="0"/>
          <w:bCs w:val="0"/>
          <w:color w:val="auto"/>
          <w:sz w:val="32"/>
          <w:szCs w:val="32"/>
          <w:highlight w:val="none"/>
          <w:u w:val="none" w:color="auto"/>
          <w:lang w:val="en-US" w:eastAsia="zh-CN"/>
        </w:rPr>
      </w:pPr>
      <w:r>
        <w:rPr>
          <w:rFonts w:hint="eastAsia" w:ascii="仿宋_GB2312" w:hAnsi="黑体" w:eastAsia="仿宋_GB2312"/>
          <w:b w:val="0"/>
          <w:bCs w:val="0"/>
          <w:color w:val="auto"/>
          <w:sz w:val="32"/>
          <w:szCs w:val="32"/>
          <w:highlight w:val="none"/>
          <w:u w:val="none" w:color="auto"/>
          <w:lang w:val="en-US" w:eastAsia="zh-CN"/>
        </w:rPr>
        <w:t>党的建设全面加强</w:t>
      </w:r>
      <w:r>
        <w:rPr>
          <w:rFonts w:hint="eastAsia" w:ascii="仿宋_GB2312" w:hAnsi="黑体" w:eastAsia="仿宋_GB2312"/>
          <w:b w:val="0"/>
          <w:bCs w:val="0"/>
          <w:color w:val="auto"/>
          <w:sz w:val="32"/>
          <w:szCs w:val="32"/>
          <w:highlight w:val="none"/>
          <w:u w:val="none" w:color="auto"/>
          <w:lang w:eastAsia="zh-CN"/>
        </w:rPr>
        <w:t>。</w:t>
      </w:r>
      <w:r>
        <w:rPr>
          <w:rFonts w:hint="eastAsia" w:ascii="仿宋_GB2312" w:hAnsi="黑体" w:eastAsia="仿宋_GB2312"/>
          <w:b w:val="0"/>
          <w:bCs w:val="0"/>
          <w:color w:val="auto"/>
          <w:sz w:val="32"/>
          <w:szCs w:val="32"/>
          <w:highlight w:val="none"/>
          <w:u w:val="none" w:color="auto"/>
          <w:lang w:val="en-US" w:eastAsia="zh-CN"/>
        </w:rPr>
        <w:t>全面从严治党常抓不懈，</w:t>
      </w:r>
      <w:r>
        <w:rPr>
          <w:rFonts w:hint="eastAsia" w:ascii="仿宋_GB2312" w:hAnsi="黑体" w:eastAsia="仿宋_GB2312" w:cs="Times New Roman"/>
          <w:b w:val="0"/>
          <w:bCs w:val="0"/>
          <w:color w:val="auto"/>
          <w:sz w:val="32"/>
          <w:szCs w:val="32"/>
          <w:highlight w:val="none"/>
          <w:u w:val="none" w:color="auto"/>
          <w:lang w:val="en-US" w:eastAsia="zh-CN"/>
        </w:rPr>
        <w:t>党中央部署的学习教育、主题教育扎实开展，作风建设和反腐败斗争纵深推进，“思想大解放、工作大提速、经济大发展”活动成效显著，广大党员干部干事创业的精气神明显提振，全市上下抓发展、谋发展、促发展的氛围愈发浓厚。</w:t>
      </w:r>
    </w:p>
    <w:p w14:paraId="15DCED1B">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line="560" w:lineRule="exact"/>
        <w:jc w:val="center"/>
        <w:textAlignment w:val="auto"/>
        <w:outlineLvl w:val="1"/>
        <w:rPr>
          <w:rFonts w:hint="eastAsia" w:ascii="黑体" w:hAnsi="黑体" w:eastAsia="黑体" w:cs="黑体"/>
          <w:b w:val="0"/>
          <w:bCs w:val="0"/>
          <w:sz w:val="32"/>
          <w:szCs w:val="32"/>
          <w:highlight w:val="none"/>
          <w:lang w:val="en-US" w:eastAsia="zh-CN"/>
        </w:rPr>
      </w:pPr>
      <w:bookmarkStart w:id="30" w:name="_Toc26689"/>
      <w:r>
        <w:rPr>
          <w:rFonts w:hint="eastAsia" w:ascii="黑体" w:hAnsi="黑体" w:eastAsia="黑体" w:cs="黑体"/>
          <w:b w:val="0"/>
          <w:bCs w:val="0"/>
          <w:sz w:val="32"/>
          <w:szCs w:val="32"/>
          <w:highlight w:val="none"/>
          <w:lang w:val="en-US" w:eastAsia="zh-CN"/>
        </w:rPr>
        <w:t>面临形势</w:t>
      </w:r>
      <w:bookmarkEnd w:id="30"/>
    </w:p>
    <w:p w14:paraId="40C4824F">
      <w:pPr>
        <w:pStyle w:val="43"/>
        <w:keepNext w:val="0"/>
        <w:keepLines w:val="0"/>
        <w:pageBreakBefore w:val="0"/>
        <w:widowControl w:val="0"/>
        <w:shd w:val="clear" w:color="auto" w:fill="auto"/>
        <w:kinsoku/>
        <w:wordWrap/>
        <w:topLinePunct w:val="0"/>
        <w:autoSpaceDE/>
        <w:autoSpaceDN/>
        <w:bidi w:val="0"/>
        <w:adjustRightInd/>
        <w:snapToGrid/>
        <w:spacing w:line="560" w:lineRule="exact"/>
        <w:textAlignment w:val="auto"/>
        <w:rPr>
          <w:rFonts w:hint="eastAsia" w:ascii="Times New Roman" w:hAnsi="Times New Roman" w:eastAsia="仿宋_GB2312" w:cs="方正仿宋_GBK"/>
          <w:b w:val="0"/>
          <w:bCs w:val="0"/>
          <w:highlight w:val="none"/>
        </w:rPr>
      </w:pPr>
      <w:r>
        <w:rPr>
          <w:rFonts w:hint="eastAsia" w:ascii="Times New Roman" w:hAnsi="Times New Roman" w:eastAsia="仿宋_GB2312" w:cs="方正仿宋_GBK"/>
          <w:b w:val="0"/>
          <w:bCs w:val="0"/>
          <w:highlight w:val="none"/>
          <w:lang w:val="en-US" w:eastAsia="zh-CN"/>
        </w:rPr>
        <w:t>“十五五”时期是我国基本实现社会主义现代化夯实基础、全面发力的关键时期，在基本实现社会主义现代化进程中具有承前启后的重要地位</w:t>
      </w:r>
      <w:r>
        <w:rPr>
          <w:rFonts w:hint="eastAsia" w:ascii="Times New Roman" w:hAnsi="Times New Roman" w:eastAsia="仿宋_GB2312" w:cs="方正仿宋_GBK"/>
          <w:b w:val="0"/>
          <w:bCs w:val="0"/>
          <w:highlight w:val="none"/>
        </w:rPr>
        <w:t>，赤峰市</w:t>
      </w:r>
      <w:r>
        <w:rPr>
          <w:rFonts w:hint="eastAsia" w:ascii="Times New Roman" w:hAnsi="Times New Roman" w:eastAsia="仿宋_GB2312" w:cs="方正仿宋_GBK"/>
          <w:b w:val="0"/>
          <w:bCs w:val="0"/>
          <w:highlight w:val="none"/>
          <w:lang w:val="en-US" w:eastAsia="zh-CN"/>
        </w:rPr>
        <w:t>面临的</w:t>
      </w:r>
      <w:r>
        <w:rPr>
          <w:rFonts w:hint="eastAsia" w:ascii="Times New Roman" w:hAnsi="Times New Roman" w:eastAsia="仿宋_GB2312" w:cs="方正仿宋_GBK"/>
          <w:b w:val="0"/>
          <w:bCs w:val="0"/>
          <w:highlight w:val="none"/>
        </w:rPr>
        <w:t>发展环境</w:t>
      </w:r>
      <w:r>
        <w:rPr>
          <w:rFonts w:hint="eastAsia" w:ascii="Times New Roman" w:hAnsi="Times New Roman" w:eastAsia="仿宋_GB2312" w:cs="方正仿宋_GBK"/>
          <w:b w:val="0"/>
          <w:bCs w:val="0"/>
          <w:highlight w:val="none"/>
          <w:lang w:val="en-US" w:eastAsia="zh-CN"/>
        </w:rPr>
        <w:t>发生了</w:t>
      </w:r>
      <w:r>
        <w:rPr>
          <w:rFonts w:hint="eastAsia" w:ascii="Times New Roman" w:hAnsi="Times New Roman" w:eastAsia="仿宋_GB2312" w:cs="方正仿宋_GBK"/>
          <w:b w:val="0"/>
          <w:bCs w:val="0"/>
          <w:highlight w:val="none"/>
        </w:rPr>
        <w:t>深刻复杂</w:t>
      </w:r>
      <w:r>
        <w:rPr>
          <w:rFonts w:hint="eastAsia" w:ascii="Times New Roman" w:hAnsi="Times New Roman" w:eastAsia="仿宋_GB2312" w:cs="方正仿宋_GBK"/>
          <w:b w:val="0"/>
          <w:bCs w:val="0"/>
          <w:highlight w:val="none"/>
          <w:lang w:val="en-US" w:eastAsia="zh-CN"/>
        </w:rPr>
        <w:t>的</w:t>
      </w:r>
      <w:r>
        <w:rPr>
          <w:rFonts w:hint="eastAsia" w:ascii="Times New Roman" w:hAnsi="Times New Roman" w:eastAsia="仿宋_GB2312" w:cs="方正仿宋_GBK"/>
          <w:b w:val="0"/>
          <w:bCs w:val="0"/>
          <w:highlight w:val="none"/>
        </w:rPr>
        <w:t>变化，必须准确把握新发展阶段，深入贯彻新发展理念，加快构建新发展格局，努力在推进中国式现代化建设中展现赤峰担当、作出赤峰贡献。</w:t>
      </w:r>
    </w:p>
    <w:p w14:paraId="21BE71B4">
      <w:pPr>
        <w:pStyle w:val="43"/>
        <w:keepNext w:val="0"/>
        <w:keepLines w:val="0"/>
        <w:pageBreakBefore w:val="0"/>
        <w:widowControl w:val="0"/>
        <w:shd w:val="clear" w:color="auto" w:fill="auto"/>
        <w:kinsoku/>
        <w:wordWrap/>
        <w:topLinePunct w:val="0"/>
        <w:autoSpaceDE/>
        <w:autoSpaceDN/>
        <w:bidi w:val="0"/>
        <w:adjustRightInd/>
        <w:snapToGrid/>
        <w:spacing w:line="560" w:lineRule="exact"/>
        <w:textAlignment w:val="auto"/>
        <w:rPr>
          <w:rFonts w:hint="eastAsia" w:ascii="Times New Roman" w:hAnsi="Times New Roman" w:eastAsia="仿宋_GB2312" w:cs="方正仿宋_GBK"/>
          <w:b w:val="0"/>
          <w:bCs w:val="0"/>
          <w:highlight w:val="none"/>
        </w:rPr>
      </w:pPr>
      <w:r>
        <w:rPr>
          <w:rFonts w:hint="eastAsia" w:ascii="Times New Roman" w:hAnsi="Times New Roman" w:eastAsia="仿宋_GB2312" w:cs="方正仿宋_GBK"/>
          <w:b w:val="0"/>
          <w:bCs w:val="0"/>
          <w:highlight w:val="none"/>
        </w:rPr>
        <w:t>从国家</w:t>
      </w:r>
      <w:r>
        <w:rPr>
          <w:rFonts w:hint="eastAsia" w:ascii="Times New Roman" w:hAnsi="Times New Roman" w:eastAsia="仿宋_GB2312" w:cs="方正仿宋_GBK"/>
          <w:b w:val="0"/>
          <w:bCs w:val="0"/>
          <w:highlight w:val="none"/>
          <w:lang w:val="en-US" w:eastAsia="zh-CN"/>
        </w:rPr>
        <w:t>层面</w:t>
      </w:r>
      <w:r>
        <w:rPr>
          <w:rFonts w:hint="eastAsia" w:ascii="Times New Roman" w:hAnsi="Times New Roman" w:eastAsia="仿宋_GB2312" w:cs="方正仿宋_GBK"/>
          <w:b w:val="0"/>
          <w:bCs w:val="0"/>
          <w:highlight w:val="none"/>
        </w:rPr>
        <w:t>看</w:t>
      </w:r>
      <w:r>
        <w:rPr>
          <w:rFonts w:hint="eastAsia" w:ascii="Times New Roman" w:hAnsi="Times New Roman" w:eastAsia="仿宋_GB2312" w:cs="方正仿宋_GBK"/>
          <w:b w:val="0"/>
          <w:bCs w:val="0"/>
          <w:highlight w:val="none"/>
          <w:lang w:eastAsia="zh-CN"/>
        </w:rPr>
        <w:t>：</w:t>
      </w:r>
      <w:r>
        <w:rPr>
          <w:rFonts w:hint="eastAsia" w:ascii="仿宋_GB2312" w:hAnsi="仿宋_GB2312" w:eastAsia="仿宋_GB2312" w:cs="仿宋_GB2312"/>
          <w:b w:val="0"/>
          <w:bCs w:val="0"/>
          <w:kern w:val="0"/>
          <w:sz w:val="32"/>
          <w:szCs w:val="32"/>
          <w:highlight w:val="none"/>
          <w:lang w:val="en-US" w:eastAsia="zh-CN" w:bidi="ar"/>
        </w:rPr>
        <w:t>我国经济基础稳、优势多、韧性强、潜能大，长期向好的支撑条件和基本趋势没有变，中国特色社会主义制度优势、超大规模市场优势、完整产业体系优势、丰富人才资源优势更加彰显。</w:t>
      </w:r>
      <w:r>
        <w:rPr>
          <w:rFonts w:hint="eastAsia" w:ascii="Times New Roman" w:hAnsi="Times New Roman" w:eastAsia="仿宋_GB2312" w:cs="方正仿宋_GBK"/>
          <w:b w:val="0"/>
          <w:bCs w:val="0"/>
          <w:highlight w:val="none"/>
          <w:lang w:val="en-US" w:eastAsia="zh-CN"/>
        </w:rPr>
        <w:t>党</w:t>
      </w:r>
      <w:r>
        <w:rPr>
          <w:rFonts w:hint="eastAsia" w:ascii="Times New Roman" w:hAnsi="Times New Roman" w:eastAsia="仿宋_GB2312" w:cs="方正仿宋_GBK"/>
          <w:b w:val="0"/>
          <w:bCs w:val="0"/>
          <w:highlight w:val="none"/>
        </w:rPr>
        <w:t>的二十大系统阐释了中国式现代化的中国特色，明确提出了推进中国式现代化建设必须牢牢把握的重大原则，是引领我国现代化发展方向的行动指南和根本遵循。2023年6月，习近平总书记再次亲临内蒙古考察，这是全区各族人民政治生活中的一件大事，是自治区改革发展进程中的又一重要里程碑。要紧紧抓住习近平总书记考察内蒙古带来的宝贵发展机遇，深刻领会习近平总书记和党中央对内蒙古的战略定位，牢记嘱托、感恩奋进，深刻领会习近平总书记关于铸牢中华民族共同体意识、继续建设好“模范自治区”的重要指示，在新时代继续保持“模范自治区”的崇高荣誉。国家重大战略和政策机遇叠加为赤峰加速赶超提供了有力支撑，加快推进新时代东北全面振兴</w:t>
      </w:r>
      <w:r>
        <w:rPr>
          <w:rFonts w:hint="eastAsia" w:ascii="Times New Roman" w:hAnsi="Times New Roman" w:eastAsia="仿宋_GB2312" w:cs="方正仿宋_GBK"/>
          <w:b w:val="0"/>
          <w:bCs w:val="0"/>
          <w:highlight w:val="none"/>
          <w:lang w:eastAsia="zh-CN"/>
        </w:rPr>
        <w:t>、</w:t>
      </w:r>
      <w:r>
        <w:rPr>
          <w:rFonts w:hint="eastAsia" w:eastAsia="仿宋_GB2312" w:cs="方正仿宋_GBK"/>
          <w:b w:val="0"/>
          <w:bCs w:val="0"/>
          <w:highlight w:val="none"/>
          <w:lang w:val="en-US" w:eastAsia="zh-CN"/>
        </w:rPr>
        <w:t>深入推进</w:t>
      </w:r>
      <w:r>
        <w:rPr>
          <w:rFonts w:hint="eastAsia" w:ascii="Times New Roman" w:hAnsi="Times New Roman" w:eastAsia="仿宋_GB2312" w:cs="方正仿宋_GBK"/>
          <w:b w:val="0"/>
          <w:bCs w:val="0"/>
          <w:highlight w:val="none"/>
        </w:rPr>
        <w:t>京津冀协同发展、</w:t>
      </w:r>
      <w:r>
        <w:rPr>
          <w:rFonts w:hint="eastAsia" w:eastAsia="仿宋_GB2312" w:cs="方正仿宋_GBK"/>
          <w:b w:val="0"/>
          <w:bCs w:val="0"/>
          <w:highlight w:val="none"/>
          <w:lang w:val="en-US" w:eastAsia="zh-CN"/>
        </w:rPr>
        <w:t>推动</w:t>
      </w:r>
      <w:r>
        <w:rPr>
          <w:rFonts w:hint="eastAsia" w:ascii="Times New Roman" w:hAnsi="Times New Roman" w:eastAsia="仿宋_GB2312" w:cs="方正仿宋_GBK"/>
          <w:b w:val="0"/>
          <w:bCs w:val="0"/>
          <w:highlight w:val="none"/>
        </w:rPr>
        <w:t>西部大开发形成新格局等重大战略为赤峰市加快承接产业转移、推动区域互联互通、吸引优质资源等提供了广阔市场和平台。此外，国家大力实施“两重”</w:t>
      </w:r>
      <w:r>
        <w:rPr>
          <w:rFonts w:hint="eastAsia" w:eastAsia="仿宋_GB2312" w:cs="方正仿宋_GBK"/>
          <w:b w:val="0"/>
          <w:bCs w:val="0"/>
          <w:highlight w:val="none"/>
          <w:lang w:eastAsia="zh-CN"/>
        </w:rPr>
        <w:t>、</w:t>
      </w:r>
      <w:r>
        <w:rPr>
          <w:rFonts w:hint="eastAsia" w:ascii="Times New Roman" w:hAnsi="Times New Roman" w:eastAsia="仿宋_GB2312" w:cs="方正仿宋_GBK"/>
          <w:b w:val="0"/>
          <w:bCs w:val="0"/>
          <w:highlight w:val="none"/>
        </w:rPr>
        <w:t>“两新”</w:t>
      </w:r>
      <w:r>
        <w:rPr>
          <w:rFonts w:hint="eastAsia" w:eastAsia="仿宋_GB2312" w:cs="方正仿宋_GBK"/>
          <w:b w:val="0"/>
          <w:bCs w:val="0"/>
          <w:highlight w:val="none"/>
          <w:lang w:eastAsia="zh-CN"/>
        </w:rPr>
        <w:t>、</w:t>
      </w:r>
      <w:r>
        <w:rPr>
          <w:rFonts w:hint="eastAsia" w:ascii="Times New Roman" w:hAnsi="Times New Roman" w:eastAsia="仿宋_GB2312" w:cs="方正仿宋_GBK"/>
          <w:b w:val="0"/>
          <w:bCs w:val="0"/>
          <w:highlight w:val="none"/>
        </w:rPr>
        <w:t>“双碳”等重大战略决策，为赤峰市加快重大基础设施建设、提升产业链供应链安全水平、激发消费活力和投资潜力等带来极大助力。</w:t>
      </w:r>
      <w:r>
        <w:rPr>
          <w:rFonts w:hint="eastAsia" w:ascii="Times New Roman" w:hAnsi="Times New Roman" w:eastAsia="仿宋_GB2312" w:cs="方正仿宋_GBK"/>
          <w:b w:val="0"/>
          <w:bCs w:val="0"/>
          <w:highlight w:val="none"/>
          <w:lang w:val="en-US" w:eastAsia="zh-CN"/>
        </w:rPr>
        <w:t>国务院《关于推动内蒙古高质量发展奋力书写中国式现代化新篇章的意见》牢牢把握习近平总书记赋予内蒙古的战略定位，紧扣支持内蒙古建设“两个屏障”</w:t>
      </w:r>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highlight w:val="none"/>
          <w:lang w:val="en-US" w:eastAsia="zh-CN"/>
        </w:rPr>
        <w:t>“两个基地”</w:t>
      </w:r>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highlight w:val="none"/>
          <w:lang w:val="en-US" w:eastAsia="zh-CN"/>
        </w:rPr>
        <w:t>“一个桥头堡”的</w:t>
      </w:r>
      <w:r>
        <w:rPr>
          <w:rFonts w:hint="eastAsia" w:eastAsia="仿宋_GB2312" w:cs="方正仿宋_GBK"/>
          <w:b w:val="0"/>
          <w:bCs w:val="0"/>
          <w:highlight w:val="none"/>
          <w:lang w:val="en-US" w:eastAsia="zh-CN"/>
        </w:rPr>
        <w:t>五大战略定位</w:t>
      </w:r>
      <w:r>
        <w:rPr>
          <w:rFonts w:hint="eastAsia" w:ascii="Times New Roman" w:hAnsi="Times New Roman" w:eastAsia="仿宋_GB2312" w:cs="方正仿宋_GBK"/>
          <w:b w:val="0"/>
          <w:bCs w:val="0"/>
          <w:highlight w:val="none"/>
          <w:lang w:val="en-US" w:eastAsia="zh-CN"/>
        </w:rPr>
        <w:t>和使命任务</w:t>
      </w:r>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highlight w:val="none"/>
          <w:lang w:val="en-US" w:eastAsia="zh-CN"/>
        </w:rPr>
        <w:t>提出了推动高质量发展的总体要求、主要任务和保障措施，明确了闯新路、进中游的时间表和路线图，其中，明确给予赤峰支持的事项有4项、细分事项66项，是指导赤峰市“十五五”乃至更长时期经济社会发展的纲领性文件。</w:t>
      </w:r>
    </w:p>
    <w:p w14:paraId="2014DF7C">
      <w:pPr>
        <w:pStyle w:val="43"/>
        <w:keepNext w:val="0"/>
        <w:keepLines w:val="0"/>
        <w:pageBreakBefore w:val="0"/>
        <w:widowControl w:val="0"/>
        <w:shd w:val="clear" w:color="auto" w:fill="auto"/>
        <w:kinsoku/>
        <w:wordWrap/>
        <w:topLinePunct w:val="0"/>
        <w:autoSpaceDE/>
        <w:autoSpaceDN/>
        <w:bidi w:val="0"/>
        <w:adjustRightInd/>
        <w:snapToGrid/>
        <w:spacing w:line="560" w:lineRule="exact"/>
        <w:textAlignment w:val="auto"/>
        <w:rPr>
          <w:rFonts w:hint="eastAsia" w:ascii="Times New Roman" w:hAnsi="Times New Roman" w:eastAsia="仿宋_GB2312" w:cs="方正仿宋_GBK"/>
          <w:b w:val="0"/>
          <w:bCs w:val="0"/>
          <w:highlight w:val="none"/>
          <w:lang w:val="en-US" w:eastAsia="zh-CN"/>
        </w:rPr>
      </w:pPr>
      <w:r>
        <w:rPr>
          <w:rFonts w:hint="eastAsia" w:ascii="Times New Roman" w:hAnsi="Times New Roman" w:eastAsia="仿宋_GB2312" w:cs="方正仿宋_GBK"/>
          <w:b w:val="0"/>
          <w:bCs w:val="0"/>
          <w:highlight w:val="none"/>
          <w:lang w:val="en-US" w:eastAsia="zh-CN"/>
        </w:rPr>
        <w:t>从自治区层面看：自治区高度重视蒙东地区发展，提出了加快蒙东五盟市振兴发展步伐的目标要求，并出台了振兴蒙东的措施，从生态价值转化、农牧业</w:t>
      </w:r>
      <w:r>
        <w:rPr>
          <w:rFonts w:hint="eastAsia" w:eastAsia="仿宋_GB2312" w:cs="方正仿宋_GBK"/>
          <w:b w:val="0"/>
          <w:bCs w:val="0"/>
          <w:highlight w:val="none"/>
          <w:lang w:val="en-US" w:eastAsia="zh-CN"/>
        </w:rPr>
        <w:t>发展</w:t>
      </w:r>
      <w:r>
        <w:rPr>
          <w:rFonts w:hint="eastAsia" w:ascii="Times New Roman" w:hAnsi="Times New Roman" w:eastAsia="仿宋_GB2312" w:cs="方正仿宋_GBK"/>
          <w:b w:val="0"/>
          <w:bCs w:val="0"/>
          <w:highlight w:val="none"/>
          <w:lang w:val="en-US" w:eastAsia="zh-CN"/>
        </w:rPr>
        <w:t>、现代能源经济</w:t>
      </w:r>
      <w:r>
        <w:rPr>
          <w:rFonts w:hint="eastAsia" w:eastAsia="仿宋_GB2312" w:cs="方正仿宋_GBK"/>
          <w:b w:val="0"/>
          <w:bCs w:val="0"/>
          <w:highlight w:val="none"/>
          <w:lang w:val="en-US" w:eastAsia="zh-CN"/>
        </w:rPr>
        <w:t>发展</w:t>
      </w:r>
      <w:r>
        <w:rPr>
          <w:rFonts w:hint="eastAsia" w:ascii="Times New Roman" w:hAnsi="Times New Roman" w:eastAsia="仿宋_GB2312" w:cs="方正仿宋_GBK"/>
          <w:b w:val="0"/>
          <w:bCs w:val="0"/>
          <w:highlight w:val="none"/>
          <w:lang w:val="en-US" w:eastAsia="zh-CN"/>
        </w:rPr>
        <w:t>、特色工业</w:t>
      </w:r>
      <w:r>
        <w:rPr>
          <w:rFonts w:hint="eastAsia" w:eastAsia="仿宋_GB2312" w:cs="方正仿宋_GBK"/>
          <w:b w:val="0"/>
          <w:bCs w:val="0"/>
          <w:highlight w:val="none"/>
          <w:lang w:val="en-US" w:eastAsia="zh-CN"/>
        </w:rPr>
        <w:t>培育</w:t>
      </w:r>
      <w:r>
        <w:rPr>
          <w:rFonts w:hint="eastAsia" w:ascii="Times New Roman" w:hAnsi="Times New Roman" w:eastAsia="仿宋_GB2312" w:cs="方正仿宋_GBK"/>
          <w:b w:val="0"/>
          <w:bCs w:val="0"/>
          <w:highlight w:val="none"/>
          <w:lang w:val="en-US" w:eastAsia="zh-CN"/>
        </w:rPr>
        <w:t>、对外开放、民生改善和社会事业、干部队伍</w:t>
      </w:r>
      <w:r>
        <w:rPr>
          <w:rFonts w:hint="eastAsia" w:eastAsia="仿宋_GB2312" w:cs="方正仿宋_GBK"/>
          <w:b w:val="0"/>
          <w:bCs w:val="0"/>
          <w:highlight w:val="none"/>
          <w:lang w:val="en-US" w:eastAsia="zh-CN"/>
        </w:rPr>
        <w:t>建设</w:t>
      </w:r>
      <w:r>
        <w:rPr>
          <w:rFonts w:hint="eastAsia" w:ascii="Times New Roman" w:hAnsi="Times New Roman" w:eastAsia="仿宋_GB2312" w:cs="方正仿宋_GBK"/>
          <w:b w:val="0"/>
          <w:bCs w:val="0"/>
          <w:highlight w:val="none"/>
          <w:lang w:val="en-US" w:eastAsia="zh-CN"/>
        </w:rPr>
        <w:t>等七个方面提出了具体要求和支持举措，为蒙东地区振兴发展提出了明确的方向和有力的支持。自治区高度重视赤峰在蒙东地区的重要战略地位，多次提出支持赤峰市建设区域性中心城市，并强调赤峰市要“提振精神、鼓足心劲，在苦干实干中重振雄风”</w:t>
      </w:r>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highlight w:val="none"/>
          <w:lang w:val="en-US" w:eastAsia="zh-CN"/>
        </w:rPr>
        <w:t>“赤峰要当好领头羊，率先跑出振兴发展的加速度”，为赤峰市争取政策支持、推动高质量发展提供了机遇。此外，赤峰市被国家、自治区分别列为“内蒙古松辽清洁能源基地”和“蒙东氢能综合生产应用基地重要节点城市”，为赤峰市发展清洁能源和氢能产业提供了机遇。“十五五”时期，赤峰市将继续发挥区位、政策、资源、产业等综合优势，推动经济社会高质量发展迈上更高台阶。</w:t>
      </w:r>
    </w:p>
    <w:p w14:paraId="0D3A3D48">
      <w:pPr>
        <w:pStyle w:val="43"/>
        <w:keepNext w:val="0"/>
        <w:keepLines w:val="0"/>
        <w:pageBreakBefore w:val="0"/>
        <w:widowControl w:val="0"/>
        <w:shd w:val="clear" w:color="auto" w:fill="auto"/>
        <w:kinsoku/>
        <w:wordWrap/>
        <w:topLinePunct w:val="0"/>
        <w:autoSpaceDE/>
        <w:autoSpaceDN/>
        <w:bidi w:val="0"/>
        <w:adjustRightInd/>
        <w:snapToGrid/>
        <w:spacing w:line="560" w:lineRule="exact"/>
        <w:textAlignment w:val="auto"/>
        <w:rPr>
          <w:rFonts w:hint="eastAsia" w:ascii="Times New Roman" w:hAnsi="Times New Roman" w:eastAsia="仿宋_GB2312" w:cs="方正仿宋_GBK"/>
          <w:b w:val="0"/>
          <w:bCs w:val="0"/>
          <w:highlight w:val="none"/>
        </w:rPr>
      </w:pPr>
      <w:r>
        <w:rPr>
          <w:rFonts w:hint="eastAsia" w:eastAsia="仿宋_GB2312" w:cs="方正仿宋_GBK"/>
          <w:b w:val="0"/>
          <w:bCs w:val="0"/>
          <w:highlight w:val="none"/>
          <w:lang w:val="en-US" w:eastAsia="zh-CN"/>
        </w:rPr>
        <w:t>从赤峰市层面看：</w:t>
      </w:r>
      <w:r>
        <w:rPr>
          <w:rFonts w:hint="eastAsia" w:ascii="Times New Roman" w:hAnsi="Times New Roman" w:eastAsia="仿宋_GB2312" w:cs="方正仿宋_GBK"/>
          <w:b w:val="0"/>
          <w:bCs w:val="0"/>
          <w:highlight w:val="none"/>
        </w:rPr>
        <w:t>“十五五”时期，</w:t>
      </w:r>
      <w:r>
        <w:rPr>
          <w:rFonts w:hint="eastAsia" w:ascii="Times New Roman" w:hAnsi="Times New Roman" w:eastAsia="仿宋_GB2312" w:cs="方正仿宋_GBK"/>
          <w:b w:val="0"/>
          <w:bCs w:val="0"/>
          <w:highlight w:val="none"/>
          <w:lang w:val="en-US" w:eastAsia="zh-CN"/>
        </w:rPr>
        <w:t>赤峰市</w:t>
      </w:r>
      <w:r>
        <w:rPr>
          <w:rFonts w:hint="eastAsia" w:eastAsia="仿宋_GB2312" w:cs="方正仿宋_GBK"/>
          <w:b w:val="0"/>
          <w:bCs w:val="0"/>
          <w:highlight w:val="none"/>
          <w:lang w:val="en-US" w:eastAsia="zh-CN"/>
        </w:rPr>
        <w:t>处于</w:t>
      </w:r>
      <w:r>
        <w:rPr>
          <w:rFonts w:hint="eastAsia" w:ascii="Times New Roman" w:hAnsi="Times New Roman" w:eastAsia="仿宋_GB2312" w:cs="方正仿宋_GBK"/>
          <w:b w:val="0"/>
          <w:bCs w:val="0"/>
          <w:highlight w:val="none"/>
          <w:lang w:val="en-US" w:eastAsia="zh-CN"/>
        </w:rPr>
        <w:t>高质量发展爬坡过坎的战略攻坚期、综合实力积厚成势的关键跃升期、补齐发展不平衡不充分特别是发展不充分短板的历史窗口期，也是大有可为、大有作为的重要战略机遇期。推动现代化赤峰建设，有“天时”的外部环境：习近平总书记高度重视内蒙古工作，为推动赤峰高质量发展注入了不竭动力；</w:t>
      </w:r>
      <w:r>
        <w:rPr>
          <w:rFonts w:hint="eastAsia" w:eastAsia="仿宋_GB2312" w:cs="方正仿宋_GBK"/>
          <w:b w:val="0"/>
          <w:bCs w:val="0"/>
          <w:highlight w:val="none"/>
          <w:lang w:val="en-US" w:eastAsia="zh-CN"/>
        </w:rPr>
        <w:t>高质量共建</w:t>
      </w:r>
      <w:r>
        <w:rPr>
          <w:rFonts w:hint="eastAsia" w:ascii="Times New Roman" w:hAnsi="Times New Roman" w:eastAsia="仿宋_GB2312" w:cs="方正仿宋_GBK"/>
          <w:b w:val="0"/>
          <w:bCs w:val="0"/>
          <w:highlight w:val="none"/>
          <w:lang w:val="en-US" w:eastAsia="zh-CN"/>
        </w:rPr>
        <w:t>“一带一路”</w:t>
      </w:r>
      <w:r>
        <w:rPr>
          <w:rFonts w:hint="eastAsia" w:eastAsia="仿宋_GB2312" w:cs="方正仿宋_GBK"/>
          <w:b w:val="0"/>
          <w:bCs w:val="0"/>
          <w:highlight w:val="none"/>
          <w:lang w:val="en-US" w:eastAsia="zh-CN"/>
        </w:rPr>
        <w:t>、西部大开发、东北全面振兴</w:t>
      </w:r>
      <w:r>
        <w:rPr>
          <w:rFonts w:hint="eastAsia" w:ascii="Times New Roman" w:hAnsi="Times New Roman" w:eastAsia="仿宋_GB2312" w:cs="方正仿宋_GBK"/>
          <w:b w:val="0"/>
          <w:bCs w:val="0"/>
          <w:highlight w:val="none"/>
          <w:lang w:val="en-US" w:eastAsia="zh-CN"/>
        </w:rPr>
        <w:t>、京津冀协同发展、国务院支持内蒙古高质量发展、自治区加快蒙东振兴发展等重大战略政策为赤峰市高质量发展提供了重要机遇。也有“地利”的现实基础：赤峰市是首都经济圈和环渤海经济圈的重要节点城市，拥有赤喀高铁等深度融入京津冀的便捷通道，玉龙机场是我们扩大对外开放的重要门户，有色金属、风电、光伏、文化、旅游、农牧等资源优势显著，实现大发展、快发展</w:t>
      </w:r>
      <w:r>
        <w:rPr>
          <w:rFonts w:hint="eastAsia" w:eastAsia="仿宋_GB2312" w:cs="方正仿宋_GBK"/>
          <w:b w:val="0"/>
          <w:bCs w:val="0"/>
          <w:highlight w:val="none"/>
          <w:lang w:val="en-US" w:eastAsia="zh-CN"/>
        </w:rPr>
        <w:t>具有坚实</w:t>
      </w:r>
      <w:r>
        <w:rPr>
          <w:rFonts w:hint="eastAsia" w:ascii="Times New Roman" w:hAnsi="Times New Roman" w:eastAsia="仿宋_GB2312" w:cs="方正仿宋_GBK"/>
          <w:b w:val="0"/>
          <w:bCs w:val="0"/>
          <w:highlight w:val="none"/>
          <w:lang w:val="en-US" w:eastAsia="zh-CN"/>
        </w:rPr>
        <w:t>的基础。更有“人和”的浓厚氛围：赤峰</w:t>
      </w:r>
      <w:r>
        <w:rPr>
          <w:rFonts w:hint="eastAsia" w:eastAsia="仿宋_GB2312" w:cs="方正仿宋_GBK"/>
          <w:b w:val="0"/>
          <w:bCs w:val="0"/>
          <w:highlight w:val="none"/>
          <w:lang w:val="en-US" w:eastAsia="zh-CN"/>
        </w:rPr>
        <w:t>市</w:t>
      </w:r>
      <w:r>
        <w:rPr>
          <w:rFonts w:hint="eastAsia" w:ascii="Times New Roman" w:hAnsi="Times New Roman" w:eastAsia="仿宋_GB2312" w:cs="方正仿宋_GBK"/>
          <w:b w:val="0"/>
          <w:bCs w:val="0"/>
          <w:highlight w:val="none"/>
          <w:lang w:val="en-US" w:eastAsia="zh-CN"/>
        </w:rPr>
        <w:t>是自治区人口第一大市，为我们提供了庞大的消费市场和充足的人力资源；崇文重教的历史使得全市基础教育一直走在全区前列，培育了一大批优秀学子，区内外各行业、海内外各领域都活跃着关心家乡、情系桑梓的优秀赤子，是我们增进合作、推动发展的宝贵资源。</w:t>
      </w:r>
    </w:p>
    <w:p w14:paraId="3A31ECC6">
      <w:pPr>
        <w:pStyle w:val="2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黑体" w:eastAsia="仿宋_GB2312" w:cs="Times New Roman"/>
          <w:b w:val="0"/>
          <w:bCs w:val="0"/>
          <w:color w:val="auto"/>
          <w:spacing w:val="-6"/>
          <w:kern w:val="2"/>
          <w:sz w:val="32"/>
          <w:szCs w:val="32"/>
          <w:highlight w:val="none"/>
          <w:u w:val="none" w:color="auto"/>
          <w:lang w:val="en-US" w:eastAsia="zh-CN" w:bidi="ar-SA"/>
        </w:rPr>
      </w:pPr>
      <w:r>
        <w:rPr>
          <w:rFonts w:hint="eastAsia" w:ascii="仿宋_GB2312" w:hAnsi="黑体" w:eastAsia="仿宋_GB2312" w:cs="Times New Roman"/>
          <w:b w:val="0"/>
          <w:bCs w:val="0"/>
          <w:color w:val="auto"/>
          <w:kern w:val="2"/>
          <w:sz w:val="32"/>
          <w:szCs w:val="32"/>
          <w:highlight w:val="none"/>
          <w:u w:val="none" w:color="auto"/>
          <w:lang w:val="en-US" w:eastAsia="zh-CN" w:bidi="ar-SA"/>
        </w:rPr>
        <w:t>同时，要清醒看到，赤峰市欠发达的基本市情没有变，经济总量不大、人均水平相对较低，产业结构不优、工业经济支撑不强，</w:t>
      </w:r>
      <w:r>
        <w:rPr>
          <w:rFonts w:hint="default" w:ascii="仿宋_GB2312" w:hAnsi="黑体" w:eastAsia="仿宋_GB2312" w:cs="Times New Roman"/>
          <w:b w:val="0"/>
          <w:bCs w:val="0"/>
          <w:color w:val="auto"/>
          <w:kern w:val="2"/>
          <w:sz w:val="32"/>
          <w:szCs w:val="32"/>
          <w:highlight w:val="none"/>
          <w:u w:val="none" w:color="auto"/>
          <w:lang w:val="en-US" w:eastAsia="zh-CN" w:bidi="ar-SA"/>
        </w:rPr>
        <w:t>科技</w:t>
      </w:r>
      <w:r>
        <w:rPr>
          <w:rFonts w:hint="eastAsia" w:ascii="仿宋_GB2312" w:hAnsi="黑体" w:eastAsia="仿宋_GB2312" w:cs="Times New Roman"/>
          <w:b w:val="0"/>
          <w:bCs w:val="0"/>
          <w:color w:val="auto"/>
          <w:kern w:val="2"/>
          <w:sz w:val="32"/>
          <w:szCs w:val="32"/>
          <w:highlight w:val="none"/>
          <w:u w:val="none" w:color="auto"/>
          <w:lang w:val="en-US" w:eastAsia="zh-CN" w:bidi="ar-SA"/>
        </w:rPr>
        <w:t>创新</w:t>
      </w:r>
      <w:r>
        <w:rPr>
          <w:rFonts w:hint="default" w:ascii="仿宋_GB2312" w:hAnsi="黑体" w:eastAsia="仿宋_GB2312" w:cs="Times New Roman"/>
          <w:b w:val="0"/>
          <w:bCs w:val="0"/>
          <w:color w:val="auto"/>
          <w:kern w:val="2"/>
          <w:sz w:val="32"/>
          <w:szCs w:val="32"/>
          <w:highlight w:val="none"/>
          <w:u w:val="none" w:color="auto"/>
          <w:lang w:val="en-US" w:eastAsia="zh-CN" w:bidi="ar-SA"/>
        </w:rPr>
        <w:t>能力弱</w:t>
      </w:r>
      <w:r>
        <w:rPr>
          <w:rFonts w:hint="eastAsia" w:ascii="仿宋_GB2312" w:hAnsi="黑体" w:eastAsia="仿宋_GB2312" w:cs="Times New Roman"/>
          <w:b w:val="0"/>
          <w:bCs w:val="0"/>
          <w:color w:val="auto"/>
          <w:kern w:val="2"/>
          <w:sz w:val="32"/>
          <w:szCs w:val="32"/>
          <w:highlight w:val="none"/>
          <w:u w:val="none" w:color="auto"/>
          <w:lang w:val="en-US" w:eastAsia="zh-CN" w:bidi="ar-SA"/>
        </w:rPr>
        <w:t>、科技应用不足</w:t>
      </w:r>
      <w:r>
        <w:rPr>
          <w:rFonts w:hint="default" w:ascii="仿宋_GB2312" w:hAnsi="黑体" w:eastAsia="仿宋_GB2312" w:cs="Times New Roman"/>
          <w:b w:val="0"/>
          <w:bCs w:val="0"/>
          <w:color w:val="auto"/>
          <w:kern w:val="2"/>
          <w:sz w:val="32"/>
          <w:szCs w:val="32"/>
          <w:highlight w:val="none"/>
          <w:u w:val="none" w:color="auto"/>
          <w:lang w:val="en-US" w:eastAsia="zh-CN" w:bidi="ar-SA"/>
        </w:rPr>
        <w:t>，城乡区域发展差距较大</w:t>
      </w:r>
      <w:r>
        <w:rPr>
          <w:rFonts w:hint="eastAsia" w:ascii="仿宋_GB2312" w:hAnsi="黑体" w:eastAsia="仿宋_GB2312" w:cs="Times New Roman"/>
          <w:b w:val="0"/>
          <w:bCs w:val="0"/>
          <w:color w:val="auto"/>
          <w:kern w:val="2"/>
          <w:sz w:val="32"/>
          <w:szCs w:val="32"/>
          <w:highlight w:val="none"/>
          <w:u w:val="none" w:color="auto"/>
          <w:lang w:val="en-US" w:eastAsia="zh-CN" w:bidi="ar-SA"/>
        </w:rPr>
        <w:t>、居民收入水平不高</w:t>
      </w:r>
      <w:r>
        <w:rPr>
          <w:rFonts w:hint="default" w:ascii="仿宋_GB2312" w:hAnsi="黑体" w:eastAsia="仿宋_GB2312" w:cs="Times New Roman"/>
          <w:b w:val="0"/>
          <w:bCs w:val="0"/>
          <w:color w:val="auto"/>
          <w:kern w:val="2"/>
          <w:sz w:val="32"/>
          <w:szCs w:val="32"/>
          <w:highlight w:val="none"/>
          <w:u w:val="none" w:color="auto"/>
          <w:lang w:val="en-US" w:eastAsia="zh-CN" w:bidi="ar-SA"/>
        </w:rPr>
        <w:t>，</w:t>
      </w:r>
      <w:r>
        <w:rPr>
          <w:rFonts w:hint="eastAsia" w:ascii="仿宋_GB2312" w:hAnsi="黑体" w:eastAsia="仿宋_GB2312" w:cs="Times New Roman"/>
          <w:b w:val="0"/>
          <w:bCs w:val="0"/>
          <w:color w:val="auto"/>
          <w:kern w:val="2"/>
          <w:sz w:val="32"/>
          <w:szCs w:val="32"/>
          <w:highlight w:val="none"/>
          <w:u w:val="none" w:color="auto"/>
          <w:lang w:val="en-US" w:eastAsia="zh-CN" w:bidi="ar-SA"/>
        </w:rPr>
        <w:t>人口持续流失，</w:t>
      </w:r>
      <w:r>
        <w:rPr>
          <w:rFonts w:hint="default" w:ascii="仿宋_GB2312" w:hAnsi="黑体" w:eastAsia="仿宋_GB2312" w:cs="Times New Roman"/>
          <w:b w:val="0"/>
          <w:bCs w:val="0"/>
          <w:color w:val="auto"/>
          <w:kern w:val="2"/>
          <w:sz w:val="32"/>
          <w:szCs w:val="32"/>
          <w:highlight w:val="none"/>
          <w:u w:val="none" w:color="auto"/>
          <w:lang w:val="en-US" w:eastAsia="zh-CN" w:bidi="ar-SA"/>
        </w:rPr>
        <w:t>基础设施</w:t>
      </w:r>
      <w:r>
        <w:rPr>
          <w:rFonts w:hint="eastAsia" w:ascii="仿宋_GB2312" w:hAnsi="黑体" w:eastAsia="仿宋_GB2312" w:cs="Times New Roman"/>
          <w:b w:val="0"/>
          <w:bCs w:val="0"/>
          <w:color w:val="auto"/>
          <w:kern w:val="2"/>
          <w:sz w:val="32"/>
          <w:szCs w:val="32"/>
          <w:highlight w:val="none"/>
          <w:u w:val="none" w:color="auto"/>
          <w:lang w:val="en-US" w:eastAsia="zh-CN" w:bidi="ar-SA"/>
        </w:rPr>
        <w:t>建设存在短板</w:t>
      </w:r>
      <w:r>
        <w:rPr>
          <w:rFonts w:hint="default" w:ascii="仿宋_GB2312" w:hAnsi="黑体" w:eastAsia="仿宋_GB2312" w:cs="Times New Roman"/>
          <w:b w:val="0"/>
          <w:bCs w:val="0"/>
          <w:color w:val="auto"/>
          <w:kern w:val="2"/>
          <w:sz w:val="32"/>
          <w:szCs w:val="32"/>
          <w:highlight w:val="none"/>
          <w:u w:val="none" w:color="auto"/>
          <w:lang w:val="en-US" w:eastAsia="zh-CN" w:bidi="ar-SA"/>
        </w:rPr>
        <w:t>，生态</w:t>
      </w:r>
      <w:r>
        <w:rPr>
          <w:rFonts w:hint="eastAsia" w:ascii="仿宋_GB2312" w:hAnsi="黑体" w:eastAsia="仿宋_GB2312" w:cs="Times New Roman"/>
          <w:b w:val="0"/>
          <w:bCs w:val="0"/>
          <w:color w:val="auto"/>
          <w:kern w:val="2"/>
          <w:sz w:val="32"/>
          <w:szCs w:val="32"/>
          <w:highlight w:val="none"/>
          <w:u w:val="none" w:color="auto"/>
          <w:lang w:val="en-US" w:eastAsia="zh-CN" w:bidi="ar-SA"/>
        </w:rPr>
        <w:t>修复</w:t>
      </w:r>
      <w:r>
        <w:rPr>
          <w:rFonts w:hint="default" w:ascii="仿宋_GB2312" w:hAnsi="黑体" w:eastAsia="仿宋_GB2312" w:cs="Times New Roman"/>
          <w:b w:val="0"/>
          <w:bCs w:val="0"/>
          <w:color w:val="auto"/>
          <w:kern w:val="2"/>
          <w:sz w:val="32"/>
          <w:szCs w:val="32"/>
          <w:highlight w:val="none"/>
          <w:u w:val="none" w:color="auto"/>
          <w:lang w:val="en-US" w:eastAsia="zh-CN" w:bidi="ar-SA"/>
        </w:rPr>
        <w:t>任务艰巨，社会治理有待加强</w:t>
      </w:r>
      <w:r>
        <w:rPr>
          <w:rFonts w:hint="eastAsia" w:ascii="仿宋_GB2312" w:hAnsi="黑体" w:eastAsia="仿宋_GB2312" w:cs="Times New Roman"/>
          <w:b w:val="0"/>
          <w:bCs w:val="0"/>
          <w:color w:val="auto"/>
          <w:kern w:val="2"/>
          <w:sz w:val="32"/>
          <w:szCs w:val="32"/>
          <w:highlight w:val="none"/>
          <w:u w:val="none" w:color="auto"/>
          <w:lang w:val="en-US" w:eastAsia="zh-CN" w:bidi="ar-SA"/>
        </w:rPr>
        <w:t>。要深刻认识到，赤峰市发展不平衡不充分问题仍然突出，特别是发展不充分问题。全市上下务必</w:t>
      </w:r>
      <w:r>
        <w:rPr>
          <w:rFonts w:hint="eastAsia" w:ascii="仿宋_GB2312" w:hAnsi="黑体" w:eastAsia="仿宋_GB2312" w:cs="Times New Roman"/>
          <w:b w:val="0"/>
          <w:bCs w:val="0"/>
          <w:color w:val="auto"/>
          <w:kern w:val="2"/>
          <w:sz w:val="32"/>
          <w:szCs w:val="32"/>
          <w:highlight w:val="none"/>
          <w:u w:val="none"/>
          <w:lang w:val="en-US" w:eastAsia="zh-CN" w:bidi="ar-SA"/>
        </w:rPr>
        <w:t>强化抓发展的意识、拼经济的状态，坚持把推动高质量发展这一主题贯穿“十五五”时期工作始终，把做大经济总量、提升发展质量效益、提高人均水平作为着力重点，抢抓机遇、乘势</w:t>
      </w:r>
      <w:r>
        <w:rPr>
          <w:rFonts w:hint="eastAsia" w:ascii="仿宋_GB2312" w:hAnsi="黑体" w:eastAsia="仿宋_GB2312" w:cs="Times New Roman"/>
          <w:b w:val="0"/>
          <w:bCs w:val="0"/>
          <w:color w:val="auto"/>
          <w:spacing w:val="-6"/>
          <w:kern w:val="2"/>
          <w:sz w:val="32"/>
          <w:szCs w:val="32"/>
          <w:highlight w:val="none"/>
          <w:u w:val="none"/>
          <w:lang w:val="en-US" w:eastAsia="zh-CN" w:bidi="ar-SA"/>
        </w:rPr>
        <w:t>而上，</w:t>
      </w:r>
      <w:r>
        <w:rPr>
          <w:rFonts w:hint="eastAsia" w:ascii="仿宋_GB2312" w:hAnsi="黑体" w:eastAsia="仿宋_GB2312" w:cs="Times New Roman"/>
          <w:b w:val="0"/>
          <w:bCs w:val="0"/>
          <w:color w:val="auto"/>
          <w:spacing w:val="-6"/>
          <w:kern w:val="2"/>
          <w:sz w:val="32"/>
          <w:szCs w:val="32"/>
          <w:highlight w:val="none"/>
          <w:u w:val="none" w:color="auto"/>
          <w:lang w:val="en-US" w:eastAsia="zh-CN" w:bidi="ar-SA"/>
        </w:rPr>
        <w:t>在基本实现社会主义现代化的新征程上加倍努力、接续奋斗。</w:t>
      </w:r>
    </w:p>
    <w:p w14:paraId="7EDD1E8C">
      <w:pPr>
        <w:keepNext w:val="0"/>
        <w:keepLines w:val="0"/>
        <w:pageBreakBefore w:val="0"/>
        <w:widowControl w:val="0"/>
        <w:numPr>
          <w:ilvl w:val="0"/>
          <w:numId w:val="1"/>
        </w:numPr>
        <w:suppressLineNumbers w:val="0"/>
        <w:pBdr>
          <w:top w:val="none" w:color="auto" w:sz="0" w:space="0"/>
          <w:left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560" w:lineRule="exact"/>
        <w:ind w:right="0" w:rightChars="0" w:firstLineChars="200"/>
        <w:jc w:val="center"/>
        <w:textAlignment w:val="auto"/>
        <w:outlineLvl w:val="0"/>
        <w:rPr>
          <w:rFonts w:hint="eastAsia" w:ascii="方正小标宋简体" w:hAnsi="方正小标宋简体" w:eastAsia="方正小标宋简体" w:cs="方正小标宋简体"/>
          <w:b w:val="0"/>
          <w:bCs w:val="0"/>
          <w:color w:val="auto"/>
          <w:kern w:val="2"/>
          <w:sz w:val="32"/>
          <w:szCs w:val="32"/>
          <w:highlight w:val="none"/>
          <w:u w:val="none" w:color="auto"/>
          <w:lang w:val="en-US" w:eastAsia="zh-CN" w:bidi="ar-SA"/>
        </w:rPr>
      </w:pPr>
      <w:bookmarkStart w:id="31" w:name="_Toc14331"/>
      <w:r>
        <w:rPr>
          <w:rFonts w:hint="eastAsia" w:ascii="方正小标宋简体" w:hAnsi="方正小标宋简体" w:eastAsia="方正小标宋简体" w:cs="方正小标宋简体"/>
          <w:b w:val="0"/>
          <w:bCs w:val="0"/>
          <w:color w:val="auto"/>
          <w:kern w:val="2"/>
          <w:sz w:val="32"/>
          <w:szCs w:val="32"/>
          <w:highlight w:val="none"/>
          <w:u w:val="none" w:color="auto"/>
          <w:lang w:val="en-US" w:eastAsia="zh-CN" w:bidi="ar-SA"/>
        </w:rPr>
        <w:t>凝聚共识，擘画中国式现代化赤峰实践新图景</w:t>
      </w:r>
      <w:bookmarkEnd w:id="31"/>
    </w:p>
    <w:p w14:paraId="7BF0D611">
      <w:pPr>
        <w:pStyle w:val="43"/>
        <w:keepNext w:val="0"/>
        <w:keepLines w:val="0"/>
        <w:pageBreakBefore w:val="0"/>
        <w:widowControl w:val="0"/>
        <w:shd w:val="clear" w:color="auto" w:fill="auto"/>
        <w:kinsoku/>
        <w:wordWrap/>
        <w:topLinePunct w:val="0"/>
        <w:autoSpaceDE/>
        <w:autoSpaceDN/>
        <w:bidi w:val="0"/>
        <w:adjustRightInd/>
        <w:snapToGrid/>
        <w:spacing w:line="560" w:lineRule="exact"/>
        <w:ind w:firstLine="643"/>
        <w:textAlignment w:val="auto"/>
        <w:rPr>
          <w:rFonts w:hint="default"/>
          <w:b w:val="0"/>
          <w:bCs w:val="0"/>
          <w:highlight w:val="none"/>
          <w:lang w:val="en-US" w:eastAsia="zh-CN"/>
        </w:rPr>
      </w:pPr>
      <w:r>
        <w:rPr>
          <w:rFonts w:hint="eastAsia" w:eastAsia="仿宋_GB2312" w:cs="方正仿宋_GBK"/>
          <w:b w:val="0"/>
          <w:bCs w:val="0"/>
          <w:spacing w:val="0"/>
          <w:highlight w:val="none"/>
        </w:rPr>
        <w:t>“十五五”时期经济社会发展，必须牢牢把握以</w:t>
      </w:r>
      <w:r>
        <w:rPr>
          <w:rFonts w:hint="eastAsia" w:eastAsia="仿宋_GB2312" w:cs="方正仿宋_GBK"/>
          <w:b w:val="0"/>
          <w:bCs w:val="0"/>
          <w:spacing w:val="0"/>
          <w:highlight w:val="none"/>
          <w:lang w:eastAsia="zh-CN"/>
        </w:rPr>
        <w:t>下指</w:t>
      </w:r>
      <w:r>
        <w:rPr>
          <w:rFonts w:hint="eastAsia" w:eastAsia="仿宋_GB2312" w:cs="方正仿宋_GBK"/>
          <w:b w:val="0"/>
          <w:bCs w:val="0"/>
          <w:spacing w:val="0"/>
          <w:highlight w:val="none"/>
        </w:rPr>
        <w:t>导思想和基本原则</w:t>
      </w:r>
      <w:r>
        <w:rPr>
          <w:rFonts w:hint="eastAsia" w:eastAsia="仿宋_GB2312" w:cs="方正仿宋_GBK"/>
          <w:b w:val="0"/>
          <w:bCs w:val="0"/>
          <w:spacing w:val="0"/>
          <w:highlight w:val="none"/>
          <w:lang w:eastAsia="zh-CN"/>
        </w:rPr>
        <w:t>，</w:t>
      </w:r>
      <w:r>
        <w:rPr>
          <w:rFonts w:hint="eastAsia" w:eastAsia="仿宋_GB2312" w:cs="方正仿宋_GBK"/>
          <w:b w:val="0"/>
          <w:bCs w:val="0"/>
          <w:spacing w:val="0"/>
          <w:highlight w:val="none"/>
          <w:lang w:val="en-US" w:eastAsia="zh-CN"/>
        </w:rPr>
        <w:t>明确发展目标和发展战略。</w:t>
      </w:r>
    </w:p>
    <w:p w14:paraId="6D1E165B">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line="560" w:lineRule="exact"/>
        <w:jc w:val="center"/>
        <w:textAlignment w:val="auto"/>
        <w:outlineLvl w:val="1"/>
        <w:rPr>
          <w:rFonts w:hint="eastAsia" w:ascii="黑体" w:hAnsi="黑体" w:eastAsia="黑体" w:cs="黑体"/>
          <w:b w:val="0"/>
          <w:bCs w:val="0"/>
          <w:sz w:val="32"/>
          <w:szCs w:val="32"/>
          <w:highlight w:val="none"/>
          <w:lang w:val="en-US" w:eastAsia="zh-CN"/>
        </w:rPr>
      </w:pPr>
      <w:bookmarkStart w:id="32" w:name="_Toc6868"/>
      <w:r>
        <w:rPr>
          <w:rFonts w:hint="eastAsia" w:ascii="黑体" w:hAnsi="黑体" w:eastAsia="黑体" w:cs="黑体"/>
          <w:b w:val="0"/>
          <w:bCs w:val="0"/>
          <w:sz w:val="32"/>
          <w:szCs w:val="32"/>
          <w:highlight w:val="none"/>
          <w:lang w:val="en-US" w:eastAsia="zh-CN"/>
        </w:rPr>
        <w:t>指导思想</w:t>
      </w:r>
      <w:bookmarkEnd w:id="32"/>
    </w:p>
    <w:p w14:paraId="67BE4526">
      <w:pPr>
        <w:pStyle w:val="43"/>
        <w:keepNext w:val="0"/>
        <w:keepLines w:val="0"/>
        <w:pageBreakBefore w:val="0"/>
        <w:widowControl w:val="0"/>
        <w:shd w:val="clear" w:color="auto" w:fill="auto"/>
        <w:kinsoku/>
        <w:wordWrap/>
        <w:topLinePunct w:val="0"/>
        <w:autoSpaceDE/>
        <w:autoSpaceDN/>
        <w:bidi w:val="0"/>
        <w:adjustRightInd/>
        <w:snapToGrid/>
        <w:spacing w:line="560" w:lineRule="exact"/>
        <w:ind w:firstLine="643"/>
        <w:textAlignment w:val="auto"/>
        <w:rPr>
          <w:rFonts w:hint="eastAsia" w:ascii="Times New Roman" w:hAnsi="Times New Roman" w:eastAsia="仿宋_GB2312" w:cs="方正仿宋_GBK"/>
          <w:b w:val="0"/>
          <w:bCs w:val="0"/>
          <w:spacing w:val="-6"/>
          <w:highlight w:val="none"/>
        </w:rPr>
      </w:pPr>
      <w:r>
        <w:rPr>
          <w:rFonts w:hint="eastAsia" w:ascii="Times New Roman" w:hAnsi="Times New Roman" w:eastAsia="仿宋_GB2312" w:cs="方正仿宋_GBK"/>
          <w:b w:val="0"/>
          <w:bCs w:val="0"/>
          <w:highlight w:val="none"/>
          <w:lang w:val="en-US" w:eastAsia="zh-CN"/>
        </w:rPr>
        <w:t>坚持马克思列宁主义、毛泽东思想、邓小平理论、“三个代表”重要思想、科学发展观，全面贯彻</w:t>
      </w:r>
      <w:r>
        <w:rPr>
          <w:rFonts w:hint="eastAsia" w:ascii="Times New Roman" w:hAnsi="Times New Roman" w:eastAsia="仿宋_GB2312" w:cs="方正仿宋_GBK"/>
          <w:b w:val="0"/>
          <w:bCs w:val="0"/>
          <w:highlight w:val="none"/>
        </w:rPr>
        <w:t>习近平新时代中国特色社会主义思想，深入贯彻党的二十大和二十届</w:t>
      </w:r>
      <w:r>
        <w:rPr>
          <w:rFonts w:hint="eastAsia" w:ascii="Times New Roman" w:hAnsi="Times New Roman" w:eastAsia="仿宋_GB2312" w:cs="方正仿宋_GBK"/>
          <w:b w:val="0"/>
          <w:bCs w:val="0"/>
          <w:highlight w:val="none"/>
          <w:lang w:val="en-US" w:eastAsia="zh-CN"/>
        </w:rPr>
        <w:t>历次</w:t>
      </w:r>
      <w:r>
        <w:rPr>
          <w:rFonts w:hint="eastAsia" w:ascii="Times New Roman" w:hAnsi="Times New Roman" w:eastAsia="仿宋_GB2312" w:cs="方正仿宋_GBK"/>
          <w:b w:val="0"/>
          <w:bCs w:val="0"/>
          <w:highlight w:val="none"/>
        </w:rPr>
        <w:t>全会精神，</w:t>
      </w:r>
      <w:r>
        <w:rPr>
          <w:rFonts w:hint="eastAsia" w:ascii="Times New Roman" w:hAnsi="Times New Roman" w:eastAsia="仿宋_GB2312" w:cs="方正仿宋_GBK"/>
          <w:b w:val="0"/>
          <w:bCs w:val="0"/>
          <w:highlight w:val="none"/>
          <w:lang w:val="en-US" w:eastAsia="zh-CN"/>
        </w:rPr>
        <w:t>贯彻落实习近平总书记对内蒙古系列重要讲话重要指示精神，全面落实自治区</w:t>
      </w:r>
      <w:r>
        <w:rPr>
          <w:rFonts w:hint="eastAsia" w:eastAsia="仿宋_GB2312" w:cs="方正仿宋_GBK"/>
          <w:b w:val="0"/>
          <w:bCs w:val="0"/>
          <w:highlight w:val="none"/>
          <w:lang w:val="en-US" w:eastAsia="zh-CN"/>
        </w:rPr>
        <w:t>党委</w:t>
      </w:r>
      <w:r>
        <w:rPr>
          <w:rFonts w:hint="eastAsia" w:ascii="Times New Roman" w:hAnsi="Times New Roman" w:eastAsia="仿宋_GB2312" w:cs="方正仿宋_GBK"/>
          <w:b w:val="0"/>
          <w:bCs w:val="0"/>
          <w:highlight w:val="none"/>
          <w:lang w:val="en-US" w:eastAsia="zh-CN"/>
        </w:rPr>
        <w:t>“1571”工作部署，坚持</w:t>
      </w:r>
      <w:r>
        <w:rPr>
          <w:rFonts w:hint="eastAsia" w:eastAsia="仿宋_GB2312" w:cs="方正仿宋_GBK"/>
          <w:b w:val="0"/>
          <w:bCs w:val="0"/>
          <w:highlight w:val="none"/>
          <w:lang w:val="en-US" w:eastAsia="zh-CN"/>
        </w:rPr>
        <w:t>市委</w:t>
      </w:r>
      <w:r>
        <w:rPr>
          <w:rFonts w:hint="eastAsia" w:ascii="Times New Roman" w:hAnsi="Times New Roman" w:eastAsia="仿宋_GB2312" w:cs="方正仿宋_GBK"/>
          <w:b w:val="0"/>
          <w:bCs w:val="0"/>
          <w:highlight w:val="none"/>
          <w:lang w:val="en-US" w:eastAsia="zh-CN"/>
        </w:rPr>
        <w:t>“贯彻一条主线、走好一条新路、突出三项重点、实现一个目标”的发展思路，统筹推进“五位一体”总体布局，协调推进“四个全面”战略布局，</w:t>
      </w:r>
      <w:r>
        <w:rPr>
          <w:rFonts w:hint="eastAsia" w:ascii="Times New Roman" w:hAnsi="Times New Roman" w:eastAsia="仿宋_GB2312" w:cs="方正仿宋_GBK"/>
          <w:b w:val="0"/>
          <w:bCs w:val="0"/>
          <w:highlight w:val="none"/>
        </w:rPr>
        <w:t>完</w:t>
      </w:r>
      <w:r>
        <w:rPr>
          <w:rFonts w:hint="eastAsia" w:ascii="Times New Roman" w:hAnsi="Times New Roman" w:eastAsia="仿宋_GB2312" w:cs="方正仿宋_GBK"/>
          <w:b w:val="0"/>
          <w:bCs w:val="0"/>
          <w:spacing w:val="-6"/>
          <w:highlight w:val="none"/>
        </w:rPr>
        <w:t>整准确全面贯彻新发展理念，</w:t>
      </w:r>
      <w:r>
        <w:rPr>
          <w:rFonts w:hint="eastAsia" w:eastAsia="仿宋_GB2312" w:cs="方正仿宋_GBK"/>
          <w:b w:val="0"/>
          <w:bCs w:val="0"/>
          <w:spacing w:val="-6"/>
          <w:highlight w:val="none"/>
          <w:lang w:val="en-US" w:eastAsia="zh-CN"/>
        </w:rPr>
        <w:t>积极</w:t>
      </w:r>
      <w:r>
        <w:rPr>
          <w:rFonts w:hint="eastAsia" w:ascii="Times New Roman" w:hAnsi="Times New Roman" w:eastAsia="仿宋_GB2312" w:cs="方正仿宋_GBK"/>
          <w:b w:val="0"/>
          <w:bCs w:val="0"/>
          <w:spacing w:val="-6"/>
          <w:highlight w:val="none"/>
          <w:lang w:val="en-US" w:eastAsia="zh-CN"/>
        </w:rPr>
        <w:t>融入和服务</w:t>
      </w:r>
      <w:r>
        <w:rPr>
          <w:rFonts w:hint="eastAsia" w:eastAsia="仿宋_GB2312" w:cs="方正仿宋_GBK"/>
          <w:b w:val="0"/>
          <w:bCs w:val="0"/>
          <w:spacing w:val="-6"/>
          <w:highlight w:val="none"/>
          <w:lang w:val="en-US" w:eastAsia="zh-CN"/>
        </w:rPr>
        <w:t>构建</w:t>
      </w:r>
      <w:r>
        <w:rPr>
          <w:rFonts w:hint="eastAsia" w:ascii="Times New Roman" w:hAnsi="Times New Roman" w:eastAsia="仿宋_GB2312" w:cs="方正仿宋_GBK"/>
          <w:b w:val="0"/>
          <w:bCs w:val="0"/>
          <w:spacing w:val="-6"/>
          <w:highlight w:val="none"/>
        </w:rPr>
        <w:t>新发展格局，</w:t>
      </w:r>
      <w:r>
        <w:rPr>
          <w:rFonts w:hint="eastAsia" w:ascii="Times New Roman" w:hAnsi="Times New Roman" w:eastAsia="仿宋_GB2312" w:cs="方正仿宋_GBK"/>
          <w:b w:val="0"/>
          <w:bCs w:val="0"/>
          <w:spacing w:val="-6"/>
          <w:highlight w:val="none"/>
          <w:lang w:val="en-US" w:eastAsia="zh-CN"/>
        </w:rPr>
        <w:t>坚持稳中求进工作总基调，坚持以经济建设为中心，以推动高质量发展为主题，以改革创新为根本动力，以满足人民日益增长的美好生活需要为根本目的，以全面从严治党为根本保障，</w:t>
      </w:r>
      <w:r>
        <w:rPr>
          <w:rFonts w:hint="eastAsia" w:eastAsia="仿宋_GB2312" w:cs="方正仿宋_GBK"/>
          <w:b w:val="0"/>
          <w:bCs w:val="0"/>
          <w:spacing w:val="-6"/>
          <w:highlight w:val="none"/>
          <w:lang w:val="en-US" w:eastAsia="zh-CN"/>
        </w:rPr>
        <w:t>紧紧围绕</w:t>
      </w:r>
      <w:r>
        <w:rPr>
          <w:rFonts w:hint="eastAsia" w:ascii="Times New Roman" w:hAnsi="Times New Roman" w:eastAsia="仿宋_GB2312" w:cs="方正仿宋_GBK"/>
          <w:b w:val="0"/>
          <w:bCs w:val="0"/>
          <w:highlight w:val="none"/>
          <w:lang w:val="en-US" w:eastAsia="zh-CN"/>
        </w:rPr>
        <w:t>铸牢中华民族共同体意识工作主线，坚持走好以生态优先、绿</w:t>
      </w:r>
      <w:r>
        <w:rPr>
          <w:rFonts w:hint="eastAsia" w:ascii="Times New Roman" w:hAnsi="Times New Roman" w:eastAsia="仿宋_GB2312" w:cs="方正仿宋_GBK"/>
          <w:b w:val="0"/>
          <w:bCs w:val="0"/>
          <w:spacing w:val="-6"/>
          <w:highlight w:val="none"/>
          <w:lang w:val="en-US" w:eastAsia="zh-CN"/>
        </w:rPr>
        <w:t>色发展为导向的高质量发展新路子，推动人的全面发展、各族人民共同富裕迈出坚实步伐，努力在自治区建设“两个屏障</w:t>
      </w:r>
      <w:r>
        <w:rPr>
          <w:rFonts w:hint="eastAsia" w:eastAsia="仿宋_GB2312" w:cs="方正仿宋_GBK"/>
          <w:b w:val="0"/>
          <w:bCs w:val="0"/>
          <w:spacing w:val="-6"/>
          <w:highlight w:val="none"/>
          <w:lang w:val="en-US" w:eastAsia="zh-CN"/>
        </w:rPr>
        <w:t>”、“</w:t>
      </w:r>
      <w:r>
        <w:rPr>
          <w:rFonts w:hint="eastAsia" w:ascii="Times New Roman" w:hAnsi="Times New Roman" w:eastAsia="仿宋_GB2312" w:cs="方正仿宋_GBK"/>
          <w:b w:val="0"/>
          <w:bCs w:val="0"/>
          <w:spacing w:val="-6"/>
          <w:highlight w:val="none"/>
          <w:lang w:val="en-US" w:eastAsia="zh-CN"/>
        </w:rPr>
        <w:t>两个基地</w:t>
      </w:r>
      <w:r>
        <w:rPr>
          <w:rFonts w:hint="eastAsia" w:eastAsia="仿宋_GB2312" w:cs="方正仿宋_GBK"/>
          <w:b w:val="0"/>
          <w:bCs w:val="0"/>
          <w:spacing w:val="-6"/>
          <w:highlight w:val="none"/>
          <w:lang w:val="en-US" w:eastAsia="zh-CN"/>
        </w:rPr>
        <w:t>”、“</w:t>
      </w:r>
      <w:r>
        <w:rPr>
          <w:rFonts w:hint="eastAsia" w:ascii="Times New Roman" w:hAnsi="Times New Roman" w:eastAsia="仿宋_GB2312" w:cs="方正仿宋_GBK"/>
          <w:b w:val="0"/>
          <w:bCs w:val="0"/>
          <w:spacing w:val="-6"/>
          <w:highlight w:val="none"/>
          <w:lang w:val="en-US" w:eastAsia="zh-CN"/>
        </w:rPr>
        <w:t>一个桥头堡”上发挥更大作用，为自治区实现“两个稳居”</w:t>
      </w:r>
      <w:r>
        <w:rPr>
          <w:rFonts w:hint="eastAsia" w:eastAsia="仿宋_GB2312" w:cs="方正仿宋_GBK"/>
          <w:b w:val="0"/>
          <w:bCs w:val="0"/>
          <w:spacing w:val="-6"/>
          <w:highlight w:val="none"/>
          <w:lang w:val="en-US" w:eastAsia="zh-CN"/>
        </w:rPr>
        <w:t>、</w:t>
      </w:r>
      <w:r>
        <w:rPr>
          <w:rFonts w:hint="eastAsia" w:ascii="Times New Roman" w:hAnsi="Times New Roman" w:eastAsia="仿宋_GB2312" w:cs="方正仿宋_GBK"/>
          <w:b w:val="0"/>
          <w:bCs w:val="0"/>
          <w:spacing w:val="-6"/>
          <w:highlight w:val="none"/>
          <w:lang w:val="en-US" w:eastAsia="zh-CN"/>
        </w:rPr>
        <w:t>“两个继续走在前列”目标贡献更多力量</w:t>
      </w:r>
      <w:r>
        <w:rPr>
          <w:rFonts w:hint="eastAsia" w:eastAsia="仿宋_GB2312" w:cs="方正仿宋_GBK"/>
          <w:b w:val="0"/>
          <w:bCs w:val="0"/>
          <w:spacing w:val="-6"/>
          <w:highlight w:val="none"/>
          <w:lang w:val="en-US" w:eastAsia="zh-CN"/>
        </w:rPr>
        <w:t>，</w:t>
      </w:r>
      <w:r>
        <w:rPr>
          <w:rFonts w:hint="eastAsia" w:ascii="Times New Roman" w:hAnsi="Times New Roman" w:eastAsia="仿宋_GB2312" w:cs="方正仿宋_GBK"/>
          <w:b w:val="0"/>
          <w:bCs w:val="0"/>
          <w:spacing w:val="-6"/>
          <w:highlight w:val="none"/>
          <w:lang w:val="en-US" w:eastAsia="zh-CN"/>
        </w:rPr>
        <w:t>呵护好“模范自治区”崇高荣誉，全力推动赤峰重振雄风、再塑辉煌，确保与全国全区一道在基本实现社会主义现代化上取得决定性进展。</w:t>
      </w:r>
    </w:p>
    <w:p w14:paraId="2EE2F77F">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line="560" w:lineRule="exact"/>
        <w:jc w:val="center"/>
        <w:textAlignment w:val="auto"/>
        <w:outlineLvl w:val="1"/>
        <w:rPr>
          <w:rFonts w:hint="eastAsia" w:ascii="黑体" w:hAnsi="黑体" w:eastAsia="黑体" w:cs="黑体"/>
          <w:b w:val="0"/>
          <w:bCs w:val="0"/>
          <w:sz w:val="32"/>
          <w:szCs w:val="32"/>
          <w:highlight w:val="none"/>
          <w:lang w:val="en-US" w:eastAsia="zh-CN"/>
        </w:rPr>
      </w:pPr>
      <w:bookmarkStart w:id="33" w:name="_Toc7684"/>
      <w:r>
        <w:rPr>
          <w:rFonts w:hint="eastAsia" w:ascii="黑体" w:hAnsi="黑体" w:eastAsia="黑体" w:cs="黑体"/>
          <w:b w:val="0"/>
          <w:bCs w:val="0"/>
          <w:sz w:val="32"/>
          <w:szCs w:val="32"/>
          <w:highlight w:val="none"/>
          <w:lang w:val="en-US" w:eastAsia="zh-CN"/>
        </w:rPr>
        <w:t>基本原则</w:t>
      </w:r>
      <w:bookmarkEnd w:id="33"/>
    </w:p>
    <w:p w14:paraId="4CF317B8">
      <w:pPr>
        <w:pStyle w:val="43"/>
        <w:keepNext w:val="0"/>
        <w:keepLines w:val="0"/>
        <w:pageBreakBefore w:val="0"/>
        <w:widowControl w:val="0"/>
        <w:shd w:val="clear" w:color="auto" w:fill="auto"/>
        <w:kinsoku/>
        <w:wordWrap/>
        <w:topLinePunct w:val="0"/>
        <w:autoSpaceDE/>
        <w:autoSpaceDN/>
        <w:bidi w:val="0"/>
        <w:adjustRightInd/>
        <w:snapToGrid/>
        <w:spacing w:line="560" w:lineRule="exact"/>
        <w:ind w:firstLine="643"/>
        <w:textAlignment w:val="auto"/>
        <w:rPr>
          <w:rFonts w:hint="eastAsia" w:ascii="Times New Roman" w:hAnsi="Times New Roman" w:eastAsia="仿宋_GB2312" w:cs="方正仿宋_GBK"/>
          <w:b w:val="0"/>
          <w:bCs w:val="0"/>
          <w:highlight w:val="none"/>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Times New Roman" w:hAnsi="Times New Roman" w:eastAsia="仿宋_GB2312" w:cs="方正仿宋_GBK"/>
          <w:b w:val="0"/>
          <w:bCs w:val="0"/>
          <w:highlight w:val="none"/>
        </w:rPr>
        <w:t>坚持党的全面</w:t>
      </w:r>
      <w:r>
        <w:rPr>
          <w:rFonts w:hint="eastAsia" w:ascii="Times New Roman" w:hAnsi="Times New Roman" w:eastAsia="仿宋_GB2312" w:cs="方正仿宋_GBK"/>
          <w:b w:val="0"/>
          <w:bCs w:val="0"/>
          <w:highlight w:val="none"/>
          <w:lang w:val="en-US" w:eastAsia="zh-CN"/>
        </w:rPr>
        <w:t>领导</w:t>
      </w:r>
      <w:r>
        <w:rPr>
          <w:rFonts w:hint="eastAsia" w:ascii="Times New Roman" w:hAnsi="Times New Roman" w:eastAsia="仿宋_GB2312" w:cs="方正仿宋_GBK"/>
          <w:b w:val="0"/>
          <w:bCs w:val="0"/>
          <w:highlight w:val="none"/>
          <w:lang w:eastAsia="zh-CN"/>
        </w:rPr>
        <w:t>。坚决维护党中央权威和集中统一领导，</w:t>
      </w:r>
      <w:r>
        <w:rPr>
          <w:rFonts w:hint="eastAsia" w:ascii="Times New Roman" w:hAnsi="Times New Roman" w:eastAsia="仿宋_GB2312" w:cs="方正仿宋_GBK"/>
          <w:b w:val="0"/>
          <w:bCs w:val="0"/>
          <w:highlight w:val="none"/>
        </w:rPr>
        <w:t>充分发挥党总揽全局、协调各方的领导核心作用，把党的领导落实到现代化建设各领域各方面各环节</w:t>
      </w:r>
      <w:r>
        <w:rPr>
          <w:rFonts w:hint="eastAsia" w:ascii="Times New Roman" w:hAnsi="Times New Roman" w:eastAsia="仿宋_GB2312" w:cs="方正仿宋_GBK"/>
          <w:b w:val="0"/>
          <w:bCs w:val="0"/>
          <w:highlight w:val="none"/>
          <w:lang w:eastAsia="zh-CN"/>
        </w:rPr>
        <w:t>，</w:t>
      </w:r>
      <w:r>
        <w:rPr>
          <w:rFonts w:hint="eastAsia" w:ascii="Times New Roman" w:hAnsi="Times New Roman" w:eastAsia="仿宋_GB2312" w:cs="方正仿宋_GBK"/>
          <w:b w:val="0"/>
          <w:bCs w:val="0"/>
          <w:highlight w:val="none"/>
        </w:rPr>
        <w:t>为社会主义现代化建设提供根本保证。</w:t>
      </w:r>
    </w:p>
    <w:p w14:paraId="65016285">
      <w:pPr>
        <w:pStyle w:val="43"/>
        <w:keepNext w:val="0"/>
        <w:keepLines w:val="0"/>
        <w:pageBreakBefore w:val="0"/>
        <w:widowControl w:val="0"/>
        <w:shd w:val="clear" w:color="auto" w:fill="auto"/>
        <w:kinsoku/>
        <w:wordWrap/>
        <w:topLinePunct w:val="0"/>
        <w:autoSpaceDE/>
        <w:autoSpaceDN/>
        <w:bidi w:val="0"/>
        <w:adjustRightInd/>
        <w:snapToGrid/>
        <w:spacing w:line="560" w:lineRule="exact"/>
        <w:ind w:firstLine="643"/>
        <w:textAlignment w:val="auto"/>
        <w:rPr>
          <w:rFonts w:hint="eastAsia" w:ascii="Times New Roman" w:hAnsi="Times New Roman" w:eastAsia="仿宋_GB2312" w:cs="方正仿宋_GBK"/>
          <w:b w:val="0"/>
          <w:bCs w:val="0"/>
          <w:highlight w:val="none"/>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Times New Roman" w:hAnsi="Times New Roman" w:eastAsia="仿宋_GB2312" w:cs="方正仿宋_GBK"/>
          <w:b w:val="0"/>
          <w:bCs w:val="0"/>
          <w:highlight w:val="none"/>
        </w:rPr>
        <w:t>坚持人民至上</w:t>
      </w:r>
      <w:r>
        <w:rPr>
          <w:rFonts w:hint="eastAsia" w:ascii="Times New Roman" w:hAnsi="Times New Roman" w:eastAsia="仿宋_GB2312" w:cs="方正仿宋_GBK"/>
          <w:b w:val="0"/>
          <w:bCs w:val="0"/>
          <w:highlight w:val="none"/>
          <w:lang w:eastAsia="zh-CN"/>
        </w:rPr>
        <w:t>。</w:t>
      </w:r>
      <w:r>
        <w:rPr>
          <w:rFonts w:hint="eastAsia" w:ascii="Times New Roman" w:hAnsi="Times New Roman" w:eastAsia="仿宋_GB2312" w:cs="方正仿宋_GBK"/>
          <w:b w:val="0"/>
          <w:bCs w:val="0"/>
          <w:highlight w:val="none"/>
        </w:rPr>
        <w:t>始终把人民利益放在最高位置，坚持发展为了人民、发展依靠人民、发展成果由人民共享，注重在发展中保障和改善民生，在满足民生需求中拓展发展空间，推动经济和社会协调发展、物质文明和精神文明相得益彰，让现代化建设成果更多更公平惠及全体人民。</w:t>
      </w:r>
    </w:p>
    <w:p w14:paraId="122A1BDC">
      <w:pPr>
        <w:pStyle w:val="43"/>
        <w:keepNext w:val="0"/>
        <w:keepLines w:val="0"/>
        <w:pageBreakBefore w:val="0"/>
        <w:widowControl w:val="0"/>
        <w:shd w:val="clear" w:color="auto" w:fill="auto"/>
        <w:kinsoku/>
        <w:wordWrap/>
        <w:topLinePunct w:val="0"/>
        <w:autoSpaceDE/>
        <w:autoSpaceDN/>
        <w:bidi w:val="0"/>
        <w:adjustRightInd/>
        <w:snapToGrid/>
        <w:spacing w:line="560" w:lineRule="exact"/>
        <w:ind w:firstLine="643"/>
        <w:textAlignment w:val="auto"/>
        <w:rPr>
          <w:rFonts w:hint="eastAsia" w:ascii="Times New Roman" w:hAnsi="Times New Roman" w:eastAsia="仿宋_GB2312" w:cs="方正仿宋_GBK"/>
          <w:b w:val="0"/>
          <w:bCs w:val="0"/>
          <w:highlight w:val="none"/>
          <w:lang w:val="en-US" w:eastAsia="zh-CN"/>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Times New Roman" w:hAnsi="Times New Roman" w:eastAsia="仿宋_GB2312" w:cs="方正仿宋_GBK"/>
          <w:b w:val="0"/>
          <w:bCs w:val="0"/>
          <w:highlight w:val="none"/>
          <w:lang w:val="en-US" w:eastAsia="zh-CN"/>
        </w:rPr>
        <w:t>坚持高质量发展。把高质量发展作为全面建设社会主义现代化</w:t>
      </w:r>
      <w:r>
        <w:rPr>
          <w:rFonts w:hint="eastAsia" w:eastAsia="仿宋_GB2312" w:cs="方正仿宋_GBK"/>
          <w:b w:val="0"/>
          <w:bCs w:val="0"/>
          <w:highlight w:val="none"/>
          <w:lang w:val="en-US" w:eastAsia="zh-CN"/>
        </w:rPr>
        <w:t>赤峰</w:t>
      </w:r>
      <w:r>
        <w:rPr>
          <w:rFonts w:hint="eastAsia" w:ascii="Times New Roman" w:hAnsi="Times New Roman" w:eastAsia="仿宋_GB2312" w:cs="方正仿宋_GBK"/>
          <w:b w:val="0"/>
          <w:bCs w:val="0"/>
          <w:highlight w:val="none"/>
          <w:lang w:val="en-US" w:eastAsia="zh-CN"/>
        </w:rPr>
        <w:t>的首要任务，以新发展理念引领发展，因地制宜发展新质生产力，加快培育新动能，促进经济结构优化升级，塑造竞争新优势，推动经济持续健康发展和社会全面进步。</w:t>
      </w:r>
    </w:p>
    <w:p w14:paraId="1D4389BB">
      <w:pPr>
        <w:pStyle w:val="43"/>
        <w:keepNext w:val="0"/>
        <w:keepLines w:val="0"/>
        <w:pageBreakBefore w:val="0"/>
        <w:widowControl w:val="0"/>
        <w:shd w:val="clear" w:color="auto" w:fill="auto"/>
        <w:kinsoku/>
        <w:wordWrap/>
        <w:topLinePunct w:val="0"/>
        <w:autoSpaceDE/>
        <w:autoSpaceDN/>
        <w:bidi w:val="0"/>
        <w:adjustRightInd/>
        <w:snapToGrid/>
        <w:spacing w:line="560" w:lineRule="exact"/>
        <w:ind w:firstLine="643"/>
        <w:textAlignment w:val="auto"/>
        <w:rPr>
          <w:rFonts w:hint="eastAsia" w:ascii="Times New Roman" w:hAnsi="Times New Roman" w:eastAsia="仿宋_GB2312" w:cs="方正仿宋_GBK"/>
          <w:b w:val="0"/>
          <w:bCs w:val="0"/>
          <w:highlight w:val="none"/>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Times New Roman" w:hAnsi="Times New Roman" w:eastAsia="仿宋_GB2312" w:cs="方正仿宋_GBK"/>
          <w:b w:val="0"/>
          <w:bCs w:val="0"/>
          <w:highlight w:val="none"/>
        </w:rPr>
        <w:t>坚持绿色低碳发展</w:t>
      </w:r>
      <w:r>
        <w:rPr>
          <w:rFonts w:hint="eastAsia" w:ascii="Times New Roman" w:hAnsi="Times New Roman" w:eastAsia="仿宋_GB2312" w:cs="方正仿宋_GBK"/>
          <w:b w:val="0"/>
          <w:bCs w:val="0"/>
          <w:highlight w:val="none"/>
          <w:lang w:eastAsia="zh-CN"/>
        </w:rPr>
        <w:t>。</w:t>
      </w:r>
      <w:r>
        <w:rPr>
          <w:rFonts w:hint="eastAsia" w:ascii="Times New Roman" w:hAnsi="Times New Roman" w:eastAsia="仿宋_GB2312" w:cs="方正仿宋_GBK"/>
          <w:b w:val="0"/>
          <w:bCs w:val="0"/>
          <w:highlight w:val="none"/>
        </w:rPr>
        <w:t>牢固树立和践行绿水青山就是金山银山的理念，站在人与自然和谐共生的高度谋划发展</w:t>
      </w:r>
      <w:r>
        <w:rPr>
          <w:rFonts w:hint="eastAsia" w:ascii="Times New Roman" w:hAnsi="Times New Roman" w:eastAsia="仿宋_GB2312" w:cs="方正仿宋_GBK"/>
          <w:b w:val="0"/>
          <w:bCs w:val="0"/>
          <w:highlight w:val="none"/>
          <w:lang w:eastAsia="zh-CN"/>
        </w:rPr>
        <w:t>，</w:t>
      </w:r>
      <w:r>
        <w:rPr>
          <w:rFonts w:hint="eastAsia" w:ascii="Times New Roman" w:hAnsi="Times New Roman" w:eastAsia="仿宋_GB2312" w:cs="方正仿宋_GBK"/>
          <w:b w:val="0"/>
          <w:bCs w:val="0"/>
          <w:highlight w:val="none"/>
          <w:lang w:val="en-US" w:eastAsia="zh-CN"/>
        </w:rPr>
        <w:t>推动</w:t>
      </w:r>
      <w:r>
        <w:rPr>
          <w:rFonts w:hint="eastAsia" w:ascii="Times New Roman" w:hAnsi="Times New Roman" w:eastAsia="仿宋_GB2312" w:cs="方正仿宋_GBK"/>
          <w:b w:val="0"/>
          <w:bCs w:val="0"/>
          <w:highlight w:val="none"/>
        </w:rPr>
        <w:t>发展方式绿色转型，持续改善生态环境质量</w:t>
      </w:r>
      <w:r>
        <w:rPr>
          <w:rFonts w:hint="eastAsia" w:ascii="Times New Roman" w:hAnsi="Times New Roman" w:eastAsia="仿宋_GB2312" w:cs="方正仿宋_GBK"/>
          <w:b w:val="0"/>
          <w:bCs w:val="0"/>
          <w:highlight w:val="none"/>
          <w:lang w:eastAsia="zh-CN"/>
        </w:rPr>
        <w:t>，</w:t>
      </w:r>
      <w:r>
        <w:rPr>
          <w:rFonts w:hint="eastAsia" w:ascii="Times New Roman" w:hAnsi="Times New Roman" w:eastAsia="仿宋_GB2312" w:cs="方正仿宋_GBK"/>
          <w:b w:val="0"/>
          <w:bCs w:val="0"/>
          <w:highlight w:val="none"/>
          <w:lang w:val="en-US" w:eastAsia="zh-CN"/>
        </w:rPr>
        <w:t>筑牢生态安全屏障</w:t>
      </w:r>
      <w:r>
        <w:rPr>
          <w:rFonts w:hint="eastAsia" w:ascii="Times New Roman" w:hAnsi="Times New Roman" w:eastAsia="仿宋_GB2312" w:cs="方正仿宋_GBK"/>
          <w:b w:val="0"/>
          <w:bCs w:val="0"/>
          <w:highlight w:val="none"/>
        </w:rPr>
        <w:t>。</w:t>
      </w:r>
    </w:p>
    <w:p w14:paraId="2B7BE103">
      <w:pPr>
        <w:pStyle w:val="43"/>
        <w:keepNext w:val="0"/>
        <w:keepLines w:val="0"/>
        <w:pageBreakBefore w:val="0"/>
        <w:widowControl w:val="0"/>
        <w:shd w:val="clear" w:color="auto" w:fill="auto"/>
        <w:kinsoku/>
        <w:wordWrap/>
        <w:topLinePunct w:val="0"/>
        <w:autoSpaceDE/>
        <w:autoSpaceDN/>
        <w:bidi w:val="0"/>
        <w:adjustRightInd/>
        <w:snapToGrid/>
        <w:spacing w:line="560" w:lineRule="exact"/>
        <w:ind w:firstLine="643"/>
        <w:textAlignment w:val="auto"/>
        <w:rPr>
          <w:rFonts w:hint="eastAsia" w:ascii="Times New Roman" w:hAnsi="Times New Roman" w:eastAsia="仿宋_GB2312" w:cs="方正仿宋_GBK"/>
          <w:b w:val="0"/>
          <w:bCs w:val="0"/>
          <w:highlight w:val="none"/>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Times New Roman" w:hAnsi="Times New Roman" w:eastAsia="仿宋_GB2312" w:cs="方正仿宋_GBK"/>
          <w:b w:val="0"/>
          <w:bCs w:val="0"/>
          <w:highlight w:val="none"/>
        </w:rPr>
        <w:t>坚持</w:t>
      </w:r>
      <w:r>
        <w:rPr>
          <w:rFonts w:hint="eastAsia" w:ascii="Times New Roman" w:hAnsi="Times New Roman" w:eastAsia="仿宋_GB2312" w:cs="方正仿宋_GBK"/>
          <w:b w:val="0"/>
          <w:bCs w:val="0"/>
          <w:highlight w:val="none"/>
          <w:lang w:val="en-US" w:eastAsia="zh-CN"/>
        </w:rPr>
        <w:t>全面</w:t>
      </w:r>
      <w:r>
        <w:rPr>
          <w:rFonts w:hint="eastAsia" w:ascii="Times New Roman" w:hAnsi="Times New Roman" w:eastAsia="仿宋_GB2312" w:cs="方正仿宋_GBK"/>
          <w:b w:val="0"/>
          <w:bCs w:val="0"/>
          <w:highlight w:val="none"/>
        </w:rPr>
        <w:t>深化改革</w:t>
      </w:r>
      <w:r>
        <w:rPr>
          <w:rFonts w:hint="eastAsia" w:ascii="Times New Roman" w:hAnsi="Times New Roman" w:eastAsia="仿宋_GB2312" w:cs="方正仿宋_GBK"/>
          <w:b w:val="0"/>
          <w:bCs w:val="0"/>
          <w:highlight w:val="none"/>
          <w:lang w:eastAsia="zh-CN"/>
        </w:rPr>
        <w:t>。</w:t>
      </w:r>
      <w:r>
        <w:rPr>
          <w:rFonts w:hint="eastAsia" w:ascii="Times New Roman" w:hAnsi="Times New Roman" w:eastAsia="仿宋_GB2312" w:cs="方正仿宋_GBK"/>
          <w:b w:val="0"/>
          <w:bCs w:val="0"/>
          <w:highlight w:val="none"/>
        </w:rPr>
        <w:t>坚持社会主义市场经济改革方向，聚焦制约高质量发展的体制机制障碍，推进深层次改革</w:t>
      </w:r>
      <w:r>
        <w:rPr>
          <w:rFonts w:hint="eastAsia" w:ascii="Times New Roman" w:hAnsi="Times New Roman" w:eastAsia="仿宋_GB2312" w:cs="方正仿宋_GBK"/>
          <w:b w:val="0"/>
          <w:bCs w:val="0"/>
          <w:highlight w:val="none"/>
          <w:lang w:eastAsia="zh-CN"/>
        </w:rPr>
        <w:t>，</w:t>
      </w:r>
      <w:r>
        <w:rPr>
          <w:rFonts w:hint="eastAsia" w:ascii="Times New Roman" w:hAnsi="Times New Roman" w:eastAsia="仿宋_GB2312" w:cs="方正仿宋_GBK"/>
          <w:b w:val="0"/>
          <w:bCs w:val="0"/>
          <w:highlight w:val="none"/>
        </w:rPr>
        <w:t>加强改革系统集成、协同高效，</w:t>
      </w:r>
      <w:r>
        <w:rPr>
          <w:rFonts w:hint="eastAsia" w:ascii="Times New Roman" w:hAnsi="Times New Roman" w:eastAsia="仿宋_GB2312" w:cs="方正仿宋_GBK"/>
          <w:b w:val="0"/>
          <w:bCs w:val="0"/>
          <w:highlight w:val="none"/>
          <w:lang w:val="en-US" w:eastAsia="zh-CN"/>
        </w:rPr>
        <w:t>扩大</w:t>
      </w:r>
      <w:r>
        <w:rPr>
          <w:rFonts w:hint="eastAsia" w:ascii="Times New Roman" w:hAnsi="Times New Roman" w:eastAsia="仿宋_GB2312" w:cs="方正仿宋_GBK"/>
          <w:b w:val="0"/>
          <w:bCs w:val="0"/>
          <w:highlight w:val="none"/>
        </w:rPr>
        <w:t>高水平开放，持续增强发展动力和社会活力。</w:t>
      </w:r>
    </w:p>
    <w:p w14:paraId="4933AE7C">
      <w:pPr>
        <w:pStyle w:val="43"/>
        <w:keepNext w:val="0"/>
        <w:keepLines w:val="0"/>
        <w:pageBreakBefore w:val="0"/>
        <w:widowControl w:val="0"/>
        <w:shd w:val="clear" w:color="auto" w:fill="auto"/>
        <w:kinsoku/>
        <w:wordWrap/>
        <w:topLinePunct w:val="0"/>
        <w:autoSpaceDE/>
        <w:autoSpaceDN/>
        <w:bidi w:val="0"/>
        <w:adjustRightInd/>
        <w:snapToGrid/>
        <w:spacing w:line="560" w:lineRule="exact"/>
        <w:ind w:firstLine="643"/>
        <w:textAlignment w:val="auto"/>
        <w:rPr>
          <w:rFonts w:hint="eastAsia" w:ascii="Times New Roman" w:hAnsi="Times New Roman" w:eastAsia="仿宋_GB2312" w:cs="方正仿宋_GBK"/>
          <w:b w:val="0"/>
          <w:bCs w:val="0"/>
          <w:highlight w:val="none"/>
          <w:lang w:val="en-US" w:eastAsia="zh-CN"/>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Times New Roman" w:hAnsi="Times New Roman" w:eastAsia="仿宋_GB2312" w:cs="方正仿宋_GBK"/>
          <w:b w:val="0"/>
          <w:bCs w:val="0"/>
          <w:highlight w:val="none"/>
          <w:lang w:val="en-US" w:eastAsia="zh-CN"/>
        </w:rPr>
        <w:t>坚持有效市场和有为政府相结合。充分发挥市场在资源配置中的决定性作用，更好发挥政府作用，推动有效市场和有为政府更好结合，打造市场化、法治化、国际化一流营商环境，形成既“放得活”又“管得好”的经济秩序。</w:t>
      </w:r>
    </w:p>
    <w:p w14:paraId="66776F16">
      <w:pPr>
        <w:pStyle w:val="43"/>
        <w:keepNext w:val="0"/>
        <w:keepLines w:val="0"/>
        <w:pageBreakBefore w:val="0"/>
        <w:widowControl w:val="0"/>
        <w:shd w:val="clear" w:color="auto" w:fill="auto"/>
        <w:kinsoku/>
        <w:wordWrap/>
        <w:topLinePunct w:val="0"/>
        <w:autoSpaceDE/>
        <w:autoSpaceDN/>
        <w:bidi w:val="0"/>
        <w:adjustRightInd/>
        <w:snapToGrid/>
        <w:spacing w:line="560" w:lineRule="exact"/>
        <w:ind w:firstLine="643"/>
        <w:textAlignment w:val="auto"/>
        <w:rPr>
          <w:rFonts w:hint="eastAsia" w:ascii="Times New Roman" w:hAnsi="Times New Roman" w:eastAsia="仿宋_GB2312" w:cs="方正仿宋_GBK"/>
          <w:b w:val="0"/>
          <w:bCs w:val="0"/>
          <w:highlight w:val="none"/>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Times New Roman" w:hAnsi="Times New Roman" w:eastAsia="仿宋_GB2312" w:cs="方正仿宋_GBK"/>
          <w:b w:val="0"/>
          <w:bCs w:val="0"/>
          <w:highlight w:val="none"/>
        </w:rPr>
        <w:t>坚持统筹发展和安全</w:t>
      </w:r>
      <w:r>
        <w:rPr>
          <w:rFonts w:hint="eastAsia" w:ascii="Times New Roman" w:hAnsi="Times New Roman" w:eastAsia="仿宋_GB2312" w:cs="方正仿宋_GBK"/>
          <w:b w:val="0"/>
          <w:bCs w:val="0"/>
          <w:highlight w:val="none"/>
          <w:lang w:eastAsia="zh-CN"/>
        </w:rPr>
        <w:t>。</w:t>
      </w:r>
      <w:r>
        <w:rPr>
          <w:rFonts w:hint="eastAsia" w:ascii="Times New Roman" w:hAnsi="Times New Roman" w:eastAsia="仿宋_GB2312" w:cs="方正仿宋_GBK"/>
          <w:b w:val="0"/>
          <w:bCs w:val="0"/>
          <w:highlight w:val="none"/>
        </w:rPr>
        <w:t>把安全发展贯穿经济社会发展各领域全过程</w:t>
      </w:r>
      <w:r>
        <w:rPr>
          <w:rFonts w:hint="eastAsia" w:ascii="Times New Roman" w:hAnsi="Times New Roman" w:eastAsia="仿宋_GB2312" w:cs="方正仿宋_GBK"/>
          <w:b w:val="0"/>
          <w:bCs w:val="0"/>
          <w:highlight w:val="none"/>
          <w:lang w:eastAsia="zh-CN"/>
        </w:rPr>
        <w:t>，</w:t>
      </w:r>
      <w:r>
        <w:rPr>
          <w:rFonts w:hint="eastAsia" w:ascii="Times New Roman" w:hAnsi="Times New Roman" w:eastAsia="仿宋_GB2312" w:cs="方正仿宋_GBK"/>
          <w:b w:val="0"/>
          <w:bCs w:val="0"/>
          <w:highlight w:val="none"/>
        </w:rPr>
        <w:t>在发展中固安全，在安全中谋发展，强化底线思维，有效防范化解各类风险，增强经济和社会韧性，以新安全格局保障新发展格局。</w:t>
      </w:r>
    </w:p>
    <w:p w14:paraId="13BDAACB">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line="560" w:lineRule="exact"/>
        <w:jc w:val="center"/>
        <w:textAlignment w:val="auto"/>
        <w:outlineLvl w:val="1"/>
        <w:rPr>
          <w:rFonts w:hint="eastAsia" w:ascii="黑体" w:hAnsi="黑体" w:eastAsia="黑体" w:cs="黑体"/>
          <w:b w:val="0"/>
          <w:bCs w:val="0"/>
          <w:sz w:val="32"/>
          <w:szCs w:val="32"/>
          <w:highlight w:val="none"/>
          <w:lang w:val="en-US" w:eastAsia="zh-CN"/>
        </w:rPr>
      </w:pPr>
      <w:bookmarkStart w:id="34" w:name="_Toc21630"/>
      <w:r>
        <w:rPr>
          <w:rFonts w:hint="eastAsia" w:ascii="黑体" w:hAnsi="黑体" w:eastAsia="黑体" w:cs="黑体"/>
          <w:b w:val="0"/>
          <w:bCs w:val="0"/>
          <w:sz w:val="32"/>
          <w:szCs w:val="32"/>
          <w:highlight w:val="none"/>
          <w:lang w:val="en-US" w:eastAsia="zh-CN"/>
        </w:rPr>
        <w:t>发展目标</w:t>
      </w:r>
      <w:bookmarkEnd w:id="34"/>
    </w:p>
    <w:p w14:paraId="3FD30C6E">
      <w:pPr>
        <w:pStyle w:val="43"/>
        <w:keepNext w:val="0"/>
        <w:keepLines w:val="0"/>
        <w:pageBreakBefore w:val="0"/>
        <w:widowControl w:val="0"/>
        <w:shd w:val="clear" w:color="auto" w:fill="auto"/>
        <w:kinsoku/>
        <w:wordWrap/>
        <w:topLinePunct w:val="0"/>
        <w:autoSpaceDE/>
        <w:autoSpaceDN/>
        <w:bidi w:val="0"/>
        <w:adjustRightInd/>
        <w:snapToGrid/>
        <w:spacing w:line="560" w:lineRule="exact"/>
        <w:textAlignment w:val="auto"/>
        <w:rPr>
          <w:rFonts w:hint="default" w:ascii="Times New Roman" w:hAnsi="Times New Roman" w:eastAsia="仿宋_GB2312" w:cs="方正仿宋_GBK"/>
          <w:b w:val="0"/>
          <w:bCs w:val="0"/>
          <w:spacing w:val="0"/>
          <w:szCs w:val="36"/>
          <w:highlight w:val="none"/>
          <w:lang w:val="en-US" w:eastAsia="zh-CN"/>
        </w:rPr>
      </w:pPr>
      <w:r>
        <w:rPr>
          <w:rFonts w:hint="eastAsia" w:ascii="Times New Roman" w:hAnsi="Times New Roman" w:eastAsia="仿宋_GB2312" w:cs="方正仿宋_GBK"/>
          <w:b w:val="0"/>
          <w:bCs w:val="0"/>
          <w:spacing w:val="0"/>
          <w:szCs w:val="36"/>
          <w:highlight w:val="none"/>
          <w:lang w:val="en-US" w:eastAsia="zh-CN"/>
        </w:rPr>
        <w:t>“十五五”时期</w:t>
      </w:r>
      <w:r>
        <w:rPr>
          <w:rFonts w:hint="eastAsia" w:eastAsia="仿宋_GB2312" w:cs="方正仿宋_GBK"/>
          <w:b w:val="0"/>
          <w:bCs w:val="0"/>
          <w:spacing w:val="0"/>
          <w:szCs w:val="36"/>
          <w:highlight w:val="none"/>
          <w:lang w:val="en-US" w:eastAsia="zh-CN"/>
        </w:rPr>
        <w:t>全市</w:t>
      </w:r>
      <w:r>
        <w:rPr>
          <w:rFonts w:hint="eastAsia" w:ascii="Times New Roman" w:hAnsi="Times New Roman" w:eastAsia="仿宋_GB2312" w:cs="方正仿宋_GBK"/>
          <w:b w:val="0"/>
          <w:bCs w:val="0"/>
          <w:spacing w:val="0"/>
          <w:szCs w:val="36"/>
          <w:highlight w:val="none"/>
          <w:lang w:val="en-US" w:eastAsia="zh-CN"/>
        </w:rPr>
        <w:t>经济社会发展的主要目标是：</w:t>
      </w:r>
    </w:p>
    <w:p w14:paraId="24D6FABD">
      <w:pPr>
        <w:pStyle w:val="43"/>
        <w:keepNext w:val="0"/>
        <w:keepLines w:val="0"/>
        <w:pageBreakBefore w:val="0"/>
        <w:widowControl w:val="0"/>
        <w:shd w:val="clear" w:color="auto" w:fill="auto"/>
        <w:kinsoku/>
        <w:wordWrap/>
        <w:topLinePunct w:val="0"/>
        <w:autoSpaceDE/>
        <w:autoSpaceDN/>
        <w:bidi w:val="0"/>
        <w:adjustRightInd/>
        <w:snapToGrid/>
        <w:spacing w:line="560" w:lineRule="exact"/>
        <w:ind w:firstLine="0"/>
        <w:textAlignment w:val="auto"/>
        <w:rPr>
          <w:rFonts w:hint="default" w:ascii="Times New Roman" w:hAnsi="Times New Roman" w:eastAsia="仿宋_GB2312" w:cs="方正仿宋_GBK"/>
          <w:b w:val="0"/>
          <w:bCs w:val="0"/>
          <w:spacing w:val="0"/>
          <w:szCs w:val="36"/>
          <w:highlight w:val="none"/>
          <w:lang w:val="en-US" w:eastAsia="zh-CN"/>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Times New Roman" w:hAnsi="Times New Roman" w:eastAsia="仿宋_GB2312" w:cs="方正仿宋_GBK"/>
          <w:b w:val="0"/>
          <w:bCs w:val="0"/>
          <w:spacing w:val="0"/>
          <w:szCs w:val="36"/>
          <w:highlight w:val="none"/>
          <w:lang w:val="en-US" w:eastAsia="zh-CN"/>
        </w:rPr>
        <w:t>铸牢中华民族共同体意识取得</w:t>
      </w:r>
      <w:r>
        <w:rPr>
          <w:rFonts w:hint="eastAsia" w:eastAsia="仿宋_GB2312" w:cs="方正仿宋_GBK"/>
          <w:b w:val="0"/>
          <w:bCs w:val="0"/>
          <w:spacing w:val="0"/>
          <w:szCs w:val="36"/>
          <w:highlight w:val="none"/>
          <w:lang w:val="en-US" w:eastAsia="zh-CN"/>
        </w:rPr>
        <w:t>更大</w:t>
      </w:r>
      <w:r>
        <w:rPr>
          <w:rFonts w:hint="eastAsia" w:ascii="Times New Roman" w:hAnsi="Times New Roman" w:eastAsia="仿宋_GB2312" w:cs="方正仿宋_GBK"/>
          <w:b w:val="0"/>
          <w:bCs w:val="0"/>
          <w:spacing w:val="0"/>
          <w:szCs w:val="36"/>
          <w:highlight w:val="none"/>
          <w:lang w:val="en-US" w:eastAsia="zh-CN"/>
        </w:rPr>
        <w:t>成效。各族群众“五个认同”更加坚定，“四个与共”的共同体理念更加牢固，交往交流交融更加深入，民族团结进步创建持续深化，中华民族共同体建设扎实推进。</w:t>
      </w:r>
    </w:p>
    <w:p w14:paraId="1AED61C3">
      <w:pPr>
        <w:pStyle w:val="43"/>
        <w:keepNext w:val="0"/>
        <w:keepLines w:val="0"/>
        <w:pageBreakBefore w:val="0"/>
        <w:widowControl w:val="0"/>
        <w:shd w:val="clear" w:color="auto" w:fill="auto"/>
        <w:kinsoku/>
        <w:wordWrap/>
        <w:topLinePunct w:val="0"/>
        <w:autoSpaceDE/>
        <w:autoSpaceDN/>
        <w:bidi w:val="0"/>
        <w:adjustRightInd/>
        <w:snapToGrid/>
        <w:spacing w:line="560" w:lineRule="exact"/>
        <w:ind w:firstLine="643"/>
        <w:textAlignment w:val="auto"/>
        <w:rPr>
          <w:rFonts w:hint="eastAsia" w:ascii="Times New Roman" w:hAnsi="Times New Roman" w:eastAsia="仿宋_GB2312" w:cs="方正仿宋_GBK"/>
          <w:b w:val="0"/>
          <w:bCs w:val="0"/>
          <w:spacing w:val="-6"/>
          <w:szCs w:val="36"/>
          <w:highlight w:val="none"/>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Times New Roman" w:hAnsi="Times New Roman" w:eastAsia="仿宋_GB2312" w:cs="方正仿宋_GBK"/>
          <w:b w:val="0"/>
          <w:bCs w:val="0"/>
          <w:highlight w:val="none"/>
          <w:lang w:val="en-US" w:eastAsia="zh-CN"/>
        </w:rPr>
        <w:t>综合经济实力实现更大跃升</w:t>
      </w:r>
      <w:r>
        <w:rPr>
          <w:rFonts w:hint="eastAsia" w:ascii="Times New Roman" w:hAnsi="Times New Roman" w:eastAsia="仿宋_GB2312" w:cs="方正仿宋_GBK"/>
          <w:b w:val="0"/>
          <w:bCs w:val="0"/>
          <w:highlight w:val="none"/>
          <w:lang w:eastAsia="zh-CN"/>
        </w:rPr>
        <w:t>。</w:t>
      </w:r>
      <w:r>
        <w:rPr>
          <w:rFonts w:hint="eastAsia" w:eastAsia="仿宋_GB2312" w:cs="方正仿宋_GBK"/>
          <w:b w:val="0"/>
          <w:bCs w:val="0"/>
          <w:highlight w:val="none"/>
          <w:lang w:val="en-US" w:eastAsia="zh-CN"/>
        </w:rPr>
        <w:t>高质量发展取得显著进展，</w:t>
      </w:r>
      <w:r>
        <w:rPr>
          <w:rFonts w:hint="eastAsia" w:ascii="Times New Roman" w:hAnsi="Times New Roman" w:eastAsia="仿宋_GB2312" w:cs="方正仿宋_GBK"/>
          <w:b w:val="0"/>
          <w:bCs w:val="0"/>
          <w:szCs w:val="36"/>
          <w:highlight w:val="none"/>
          <w:lang w:val="en-US" w:eastAsia="zh-CN"/>
        </w:rPr>
        <w:t>全市地区生产总值平均增速高于全国全区平均</w:t>
      </w:r>
      <w:r>
        <w:rPr>
          <w:rFonts w:hint="eastAsia" w:eastAsia="仿宋_GB2312" w:cs="方正仿宋_GBK"/>
          <w:b w:val="0"/>
          <w:bCs w:val="0"/>
          <w:szCs w:val="36"/>
          <w:highlight w:val="none"/>
          <w:lang w:val="en-US" w:eastAsia="zh-CN"/>
        </w:rPr>
        <w:t>增速</w:t>
      </w:r>
      <w:r>
        <w:rPr>
          <w:rFonts w:hint="eastAsia" w:ascii="Times New Roman" w:hAnsi="Times New Roman" w:eastAsia="仿宋_GB2312" w:cs="方正仿宋_GBK"/>
          <w:b w:val="0"/>
          <w:bCs w:val="0"/>
          <w:szCs w:val="36"/>
          <w:highlight w:val="none"/>
          <w:lang w:val="en-US" w:eastAsia="zh-CN"/>
        </w:rPr>
        <w:t>，在蒙东加快全面振兴中的龙头作用更为凸显。经济</w:t>
      </w:r>
      <w:r>
        <w:rPr>
          <w:rFonts w:hint="eastAsia" w:ascii="Times New Roman" w:hAnsi="Times New Roman" w:eastAsia="仿宋_GB2312" w:cs="方正仿宋_GBK"/>
          <w:b w:val="0"/>
          <w:bCs w:val="0"/>
          <w:szCs w:val="36"/>
          <w:highlight w:val="none"/>
        </w:rPr>
        <w:t>结构持续优化，农牧业现代化水平持续提升，</w:t>
      </w:r>
      <w:r>
        <w:rPr>
          <w:rFonts w:hint="eastAsia" w:eastAsia="仿宋_GB2312" w:cs="方正仿宋_GBK"/>
          <w:b w:val="0"/>
          <w:bCs w:val="0"/>
          <w:szCs w:val="36"/>
          <w:highlight w:val="none"/>
          <w:lang w:val="en-US" w:eastAsia="zh-CN"/>
        </w:rPr>
        <w:t>“五链条、两集群”工业体系</w:t>
      </w:r>
      <w:r>
        <w:rPr>
          <w:rFonts w:hint="eastAsia" w:ascii="Times New Roman" w:hAnsi="Times New Roman" w:eastAsia="仿宋_GB2312" w:cs="方正仿宋_GBK"/>
          <w:b w:val="0"/>
          <w:bCs w:val="0"/>
          <w:szCs w:val="36"/>
          <w:highlight w:val="none"/>
          <w:lang w:val="en-US" w:eastAsia="zh-CN"/>
        </w:rPr>
        <w:t>建设</w:t>
      </w:r>
      <w:r>
        <w:rPr>
          <w:rFonts w:hint="eastAsia" w:ascii="Times New Roman" w:hAnsi="Times New Roman" w:eastAsia="仿宋_GB2312" w:cs="方正仿宋_GBK"/>
          <w:b w:val="0"/>
          <w:bCs w:val="0"/>
          <w:szCs w:val="36"/>
          <w:highlight w:val="none"/>
        </w:rPr>
        <w:t>取得重要进展，</w:t>
      </w:r>
      <w:r>
        <w:rPr>
          <w:rFonts w:hint="eastAsia" w:ascii="Times New Roman" w:hAnsi="Times New Roman" w:eastAsia="仿宋_GB2312" w:cs="方正仿宋_GBK"/>
          <w:b w:val="0"/>
          <w:bCs w:val="0"/>
          <w:szCs w:val="36"/>
          <w:highlight w:val="none"/>
          <w:lang w:val="en-US" w:eastAsia="zh-CN"/>
        </w:rPr>
        <w:t>现代服务业实现</w:t>
      </w:r>
      <w:r>
        <w:rPr>
          <w:rFonts w:hint="eastAsia" w:eastAsia="仿宋_GB2312" w:cs="方正仿宋_GBK"/>
          <w:b w:val="0"/>
          <w:bCs w:val="0"/>
          <w:szCs w:val="36"/>
          <w:highlight w:val="none"/>
          <w:lang w:val="en-US" w:eastAsia="zh-CN"/>
        </w:rPr>
        <w:t>优质</w:t>
      </w:r>
      <w:r>
        <w:rPr>
          <w:rFonts w:hint="eastAsia" w:ascii="Times New Roman" w:hAnsi="Times New Roman" w:eastAsia="仿宋_GB2312" w:cs="方正仿宋_GBK"/>
          <w:b w:val="0"/>
          <w:bCs w:val="0"/>
          <w:szCs w:val="36"/>
          <w:highlight w:val="none"/>
          <w:lang w:val="en-US" w:eastAsia="zh-CN"/>
        </w:rPr>
        <w:t>高效</w:t>
      </w:r>
      <w:r>
        <w:rPr>
          <w:rFonts w:hint="eastAsia" w:eastAsia="仿宋_GB2312" w:cs="方正仿宋_GBK"/>
          <w:b w:val="0"/>
          <w:bCs w:val="0"/>
          <w:szCs w:val="36"/>
          <w:highlight w:val="none"/>
          <w:lang w:val="en-US" w:eastAsia="zh-CN"/>
        </w:rPr>
        <w:t>发展</w:t>
      </w:r>
      <w:r>
        <w:rPr>
          <w:rFonts w:hint="eastAsia" w:ascii="Times New Roman" w:hAnsi="Times New Roman" w:eastAsia="仿宋_GB2312" w:cs="方正仿宋_GBK"/>
          <w:b w:val="0"/>
          <w:bCs w:val="0"/>
          <w:szCs w:val="36"/>
          <w:highlight w:val="none"/>
        </w:rPr>
        <w:t>，在总量、质量、效益同步</w:t>
      </w:r>
      <w:r>
        <w:rPr>
          <w:rFonts w:hint="eastAsia" w:ascii="Times New Roman" w:hAnsi="Times New Roman" w:eastAsia="仿宋_GB2312" w:cs="方正仿宋_GBK"/>
          <w:b w:val="0"/>
          <w:bCs w:val="0"/>
          <w:spacing w:val="-6"/>
          <w:szCs w:val="36"/>
          <w:highlight w:val="none"/>
        </w:rPr>
        <w:t>提升的基础上</w:t>
      </w:r>
      <w:r>
        <w:rPr>
          <w:rFonts w:hint="eastAsia" w:ascii="Times New Roman" w:hAnsi="Times New Roman" w:eastAsia="仿宋_GB2312" w:cs="方正仿宋_GBK"/>
          <w:b w:val="0"/>
          <w:bCs w:val="0"/>
          <w:spacing w:val="-6"/>
          <w:szCs w:val="36"/>
          <w:highlight w:val="none"/>
          <w:lang w:eastAsia="zh-CN"/>
        </w:rPr>
        <w:t>，</w:t>
      </w:r>
      <w:r>
        <w:rPr>
          <w:rFonts w:hint="eastAsia" w:ascii="Times New Roman" w:hAnsi="Times New Roman" w:eastAsia="仿宋_GB2312" w:cs="方正仿宋_GBK"/>
          <w:b w:val="0"/>
          <w:bCs w:val="0"/>
          <w:spacing w:val="-6"/>
          <w:szCs w:val="36"/>
          <w:highlight w:val="none"/>
        </w:rPr>
        <w:t>实现经济持续健康发展</w:t>
      </w:r>
      <w:r>
        <w:rPr>
          <w:rFonts w:hint="eastAsia" w:eastAsia="仿宋_GB2312" w:cs="方正仿宋_GBK"/>
          <w:b w:val="0"/>
          <w:bCs w:val="0"/>
          <w:spacing w:val="-6"/>
          <w:szCs w:val="36"/>
          <w:highlight w:val="none"/>
          <w:lang w:eastAsia="zh-CN"/>
        </w:rPr>
        <w:t>，</w:t>
      </w:r>
      <w:r>
        <w:rPr>
          <w:rFonts w:hint="eastAsia" w:eastAsia="仿宋_GB2312" w:cs="方正仿宋_GBK"/>
          <w:b w:val="0"/>
          <w:bCs w:val="0"/>
          <w:spacing w:val="-6"/>
          <w:szCs w:val="36"/>
          <w:highlight w:val="none"/>
          <w:lang w:val="en-US" w:eastAsia="zh-CN"/>
        </w:rPr>
        <w:t>推动质量强市迈上新台阶</w:t>
      </w:r>
      <w:r>
        <w:rPr>
          <w:rFonts w:hint="eastAsia" w:ascii="Times New Roman" w:hAnsi="Times New Roman" w:eastAsia="仿宋_GB2312" w:cs="方正仿宋_GBK"/>
          <w:b w:val="0"/>
          <w:bCs w:val="0"/>
          <w:spacing w:val="-6"/>
          <w:szCs w:val="36"/>
          <w:highlight w:val="none"/>
        </w:rPr>
        <w:t>。</w:t>
      </w:r>
    </w:p>
    <w:p w14:paraId="11786C7E">
      <w:pPr>
        <w:pStyle w:val="43"/>
        <w:keepNext w:val="0"/>
        <w:keepLines w:val="0"/>
        <w:pageBreakBefore w:val="0"/>
        <w:widowControl w:val="0"/>
        <w:shd w:val="clear" w:color="auto" w:fill="auto"/>
        <w:kinsoku/>
        <w:wordWrap/>
        <w:topLinePunct w:val="0"/>
        <w:autoSpaceDE/>
        <w:autoSpaceDN/>
        <w:bidi w:val="0"/>
        <w:adjustRightInd/>
        <w:snapToGrid/>
        <w:spacing w:line="560" w:lineRule="exact"/>
        <w:ind w:firstLine="643"/>
        <w:textAlignment w:val="auto"/>
        <w:rPr>
          <w:rFonts w:hint="eastAsia" w:ascii="Times New Roman" w:hAnsi="Times New Roman" w:eastAsia="仿宋_GB2312" w:cs="方正仿宋_GBK"/>
          <w:b w:val="0"/>
          <w:bCs w:val="0"/>
          <w:szCs w:val="36"/>
          <w:highlight w:val="none"/>
          <w:lang w:val="en-US" w:eastAsia="zh-CN"/>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Times New Roman" w:hAnsi="Times New Roman" w:eastAsia="仿宋_GB2312" w:cs="方正仿宋_GBK"/>
          <w:b w:val="0"/>
          <w:bCs w:val="0"/>
          <w:szCs w:val="36"/>
          <w:highlight w:val="none"/>
          <w:lang w:val="en-US" w:eastAsia="zh-CN"/>
        </w:rPr>
        <w:t>科技创新能力实现更大提高</w:t>
      </w:r>
      <w:r>
        <w:rPr>
          <w:rFonts w:hint="eastAsia" w:eastAsia="仿宋_GB2312" w:cs="方正仿宋_GBK"/>
          <w:b w:val="0"/>
          <w:bCs w:val="0"/>
          <w:szCs w:val="36"/>
          <w:highlight w:val="none"/>
          <w:lang w:val="en-US" w:eastAsia="zh-CN"/>
        </w:rPr>
        <w:t>。</w:t>
      </w:r>
      <w:r>
        <w:rPr>
          <w:rFonts w:hint="eastAsia" w:ascii="Times New Roman" w:hAnsi="Times New Roman" w:eastAsia="仿宋_GB2312" w:cs="方正仿宋_GBK"/>
          <w:b w:val="0"/>
          <w:bCs w:val="0"/>
          <w:szCs w:val="36"/>
          <w:highlight w:val="none"/>
          <w:lang w:val="en-US" w:eastAsia="zh-CN"/>
        </w:rPr>
        <w:t>科技创新主体和平台不断壮大，科技创新成果不断涌现，要素集聚能力、科技创新能力、成果转化能力大幅提升，全过程创新链加速形成，在优势领域取得一批重大科技成果，科技应用和服务实体经济能力显著提升。</w:t>
      </w:r>
    </w:p>
    <w:p w14:paraId="4B33F761">
      <w:pPr>
        <w:pStyle w:val="43"/>
        <w:keepNext w:val="0"/>
        <w:keepLines w:val="0"/>
        <w:pageBreakBefore w:val="0"/>
        <w:widowControl w:val="0"/>
        <w:shd w:val="clear" w:color="auto" w:fill="auto"/>
        <w:kinsoku/>
        <w:wordWrap/>
        <w:topLinePunct w:val="0"/>
        <w:autoSpaceDE/>
        <w:autoSpaceDN/>
        <w:bidi w:val="0"/>
        <w:adjustRightInd/>
        <w:snapToGrid/>
        <w:spacing w:line="560" w:lineRule="exact"/>
        <w:ind w:firstLine="643"/>
        <w:textAlignment w:val="auto"/>
        <w:rPr>
          <w:rFonts w:hint="eastAsia" w:ascii="Times New Roman" w:hAnsi="Times New Roman" w:eastAsia="仿宋_GB2312" w:cs="方正仿宋_GBK"/>
          <w:b w:val="0"/>
          <w:bCs w:val="0"/>
          <w:szCs w:val="36"/>
          <w:highlight w:val="none"/>
          <w:lang w:eastAsia="zh-CN"/>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仿宋_GB2312" w:hAnsi="黑体" w:eastAsia="仿宋_GB2312" w:cs="Times New Roman"/>
          <w:b w:val="0"/>
          <w:bCs w:val="0"/>
          <w:color w:val="auto"/>
          <w:sz w:val="32"/>
          <w:szCs w:val="32"/>
          <w:highlight w:val="none"/>
          <w:u w:val="none" w:color="auto"/>
          <w:lang w:val="en-US" w:eastAsia="zh-CN"/>
        </w:rPr>
        <w:t>生态文明建设取得更大进步。两大沙地歼灭战全面打赢，生态建设成果持续巩固，污染防治攻坚战持续推进，生态系统稳定性明显增强，</w:t>
      </w:r>
      <w:r>
        <w:rPr>
          <w:rFonts w:hint="eastAsia" w:ascii="Times New Roman" w:hAnsi="Times New Roman" w:eastAsia="仿宋_GB2312" w:cs="方正仿宋_GBK"/>
          <w:b w:val="0"/>
          <w:bCs w:val="0"/>
          <w:szCs w:val="36"/>
          <w:highlight w:val="none"/>
          <w:lang w:val="en-US" w:eastAsia="zh-CN"/>
        </w:rPr>
        <w:t>生态</w:t>
      </w:r>
      <w:r>
        <w:rPr>
          <w:rFonts w:hint="eastAsia" w:ascii="Times New Roman" w:hAnsi="Times New Roman" w:eastAsia="仿宋_GB2312" w:cs="方正仿宋_GBK"/>
          <w:b w:val="0"/>
          <w:bCs w:val="0"/>
          <w:szCs w:val="36"/>
          <w:highlight w:val="none"/>
        </w:rPr>
        <w:t>环境治理体系进一步健全，</w:t>
      </w:r>
      <w:r>
        <w:rPr>
          <w:rFonts w:hint="eastAsia" w:ascii="Times New Roman" w:hAnsi="Times New Roman" w:eastAsia="仿宋_GB2312" w:cs="方正仿宋_GBK"/>
          <w:b w:val="0"/>
          <w:bCs w:val="0"/>
          <w:szCs w:val="36"/>
          <w:highlight w:val="none"/>
          <w:lang w:val="en-US" w:eastAsia="zh-CN"/>
        </w:rPr>
        <w:t>绿色生产生活方式基本形成，</w:t>
      </w:r>
      <w:r>
        <w:rPr>
          <w:rFonts w:hint="eastAsia" w:eastAsia="仿宋_GB2312" w:cs="方正仿宋_GBK"/>
          <w:b w:val="0"/>
          <w:bCs w:val="0"/>
          <w:szCs w:val="36"/>
          <w:highlight w:val="none"/>
          <w:lang w:val="en-US" w:eastAsia="zh-CN"/>
        </w:rPr>
        <w:t>2030年前</w:t>
      </w:r>
      <w:r>
        <w:rPr>
          <w:rFonts w:hint="eastAsia" w:ascii="仿宋_GB2312" w:hAnsi="黑体" w:eastAsia="仿宋_GB2312" w:cs="Times New Roman"/>
          <w:b w:val="0"/>
          <w:bCs w:val="0"/>
          <w:color w:val="auto"/>
          <w:sz w:val="32"/>
          <w:szCs w:val="32"/>
          <w:highlight w:val="none"/>
          <w:u w:val="none" w:color="auto"/>
          <w:lang w:val="en-US" w:eastAsia="zh-CN"/>
        </w:rPr>
        <w:t>碳达峰目标如期实现</w:t>
      </w:r>
      <w:r>
        <w:rPr>
          <w:rFonts w:hint="eastAsia" w:ascii="Times New Roman" w:hAnsi="Times New Roman" w:eastAsia="仿宋_GB2312" w:cs="方正仿宋_GBK"/>
          <w:b w:val="0"/>
          <w:bCs w:val="0"/>
          <w:szCs w:val="36"/>
          <w:highlight w:val="none"/>
          <w:lang w:val="en-US" w:eastAsia="zh-CN"/>
        </w:rPr>
        <w:t>，</w:t>
      </w:r>
      <w:r>
        <w:rPr>
          <w:rFonts w:hint="eastAsia" w:ascii="Times New Roman" w:hAnsi="Times New Roman" w:eastAsia="仿宋_GB2312" w:cs="方正仿宋_GBK"/>
          <w:b w:val="0"/>
          <w:bCs w:val="0"/>
          <w:szCs w:val="36"/>
          <w:highlight w:val="none"/>
        </w:rPr>
        <w:t>生态安全屏障更加稳固</w:t>
      </w:r>
      <w:r>
        <w:rPr>
          <w:rFonts w:hint="eastAsia" w:ascii="Times New Roman" w:hAnsi="Times New Roman" w:eastAsia="仿宋_GB2312" w:cs="方正仿宋_GBK"/>
          <w:b w:val="0"/>
          <w:bCs w:val="0"/>
          <w:szCs w:val="36"/>
          <w:highlight w:val="none"/>
          <w:lang w:eastAsia="zh-CN"/>
        </w:rPr>
        <w:t>。</w:t>
      </w:r>
    </w:p>
    <w:p w14:paraId="3A2C0DCE">
      <w:pPr>
        <w:pStyle w:val="43"/>
        <w:keepNext w:val="0"/>
        <w:keepLines w:val="0"/>
        <w:pageBreakBefore w:val="0"/>
        <w:widowControl w:val="0"/>
        <w:shd w:val="clear" w:color="auto" w:fill="auto"/>
        <w:kinsoku/>
        <w:wordWrap/>
        <w:topLinePunct w:val="0"/>
        <w:autoSpaceDE/>
        <w:autoSpaceDN/>
        <w:bidi w:val="0"/>
        <w:adjustRightInd/>
        <w:snapToGrid/>
        <w:spacing w:line="560" w:lineRule="exact"/>
        <w:ind w:firstLine="643"/>
        <w:textAlignment w:val="auto"/>
        <w:rPr>
          <w:rFonts w:hint="eastAsia" w:ascii="Times New Roman" w:hAnsi="Times New Roman" w:eastAsia="仿宋_GB2312" w:cs="方正仿宋_GBK"/>
          <w:b w:val="0"/>
          <w:bCs w:val="0"/>
          <w:spacing w:val="-6"/>
          <w:szCs w:val="36"/>
          <w:highlight w:val="none"/>
          <w:lang w:val="en-US" w:eastAsia="zh-CN"/>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仿宋_GB2312" w:hAnsi="黑体" w:eastAsia="仿宋_GB2312" w:cs="Times New Roman"/>
          <w:b w:val="0"/>
          <w:bCs w:val="0"/>
          <w:color w:val="auto"/>
          <w:sz w:val="32"/>
          <w:szCs w:val="32"/>
          <w:highlight w:val="none"/>
          <w:u w:val="none" w:color="auto"/>
          <w:lang w:val="en-US" w:eastAsia="zh-CN"/>
        </w:rPr>
        <w:t>改革开放取得更大突破。</w:t>
      </w:r>
      <w:r>
        <w:rPr>
          <w:rFonts w:hint="eastAsia" w:ascii="仿宋_GB2312" w:hAnsi="黑体" w:eastAsia="仿宋_GB2312" w:cs="Times New Roman"/>
          <w:b w:val="0"/>
          <w:bCs w:val="0"/>
          <w:color w:val="auto"/>
          <w:sz w:val="32"/>
          <w:szCs w:val="32"/>
          <w:highlight w:val="none"/>
          <w:u w:val="none" w:color="auto"/>
        </w:rPr>
        <w:t>重</w:t>
      </w:r>
      <w:r>
        <w:rPr>
          <w:rFonts w:hint="eastAsia" w:ascii="仿宋_GB2312" w:hAnsi="黑体" w:eastAsia="仿宋_GB2312" w:cs="Times New Roman"/>
          <w:b w:val="0"/>
          <w:bCs w:val="0"/>
          <w:color w:val="auto"/>
          <w:sz w:val="32"/>
          <w:szCs w:val="32"/>
          <w:highlight w:val="none"/>
          <w:u w:val="none" w:color="auto"/>
          <w:lang w:val="en-US" w:eastAsia="zh-CN"/>
        </w:rPr>
        <w:t>点</w:t>
      </w:r>
      <w:r>
        <w:rPr>
          <w:rFonts w:hint="eastAsia" w:ascii="仿宋_GB2312" w:hAnsi="黑体" w:eastAsia="仿宋_GB2312" w:cs="Times New Roman"/>
          <w:b w:val="0"/>
          <w:bCs w:val="0"/>
          <w:color w:val="auto"/>
          <w:sz w:val="32"/>
          <w:szCs w:val="32"/>
          <w:highlight w:val="none"/>
          <w:u w:val="none" w:color="auto"/>
        </w:rPr>
        <w:t>领域和</w:t>
      </w:r>
      <w:r>
        <w:rPr>
          <w:rFonts w:hint="eastAsia" w:ascii="仿宋_GB2312" w:hAnsi="黑体" w:eastAsia="仿宋_GB2312"/>
          <w:b w:val="0"/>
          <w:bCs w:val="0"/>
          <w:color w:val="auto"/>
          <w:sz w:val="32"/>
          <w:szCs w:val="32"/>
          <w:highlight w:val="none"/>
          <w:u w:val="none" w:color="auto"/>
        </w:rPr>
        <w:t>关键环节改革取得</w:t>
      </w:r>
      <w:r>
        <w:rPr>
          <w:rFonts w:hint="eastAsia" w:ascii="仿宋_GB2312" w:hAnsi="黑体" w:eastAsia="仿宋_GB2312"/>
          <w:b w:val="0"/>
          <w:bCs w:val="0"/>
          <w:color w:val="auto"/>
          <w:sz w:val="32"/>
          <w:szCs w:val="32"/>
          <w:highlight w:val="none"/>
          <w:u w:val="none" w:color="auto"/>
          <w:lang w:val="en-US" w:eastAsia="zh-CN"/>
        </w:rPr>
        <w:t>明显进展</w:t>
      </w:r>
      <w:r>
        <w:rPr>
          <w:rFonts w:hint="eastAsia" w:ascii="仿宋_GB2312" w:hAnsi="黑体" w:eastAsia="仿宋_GB2312"/>
          <w:b w:val="0"/>
          <w:bCs w:val="0"/>
          <w:color w:val="auto"/>
          <w:sz w:val="32"/>
          <w:szCs w:val="32"/>
          <w:highlight w:val="none"/>
          <w:u w:val="none" w:color="auto"/>
        </w:rPr>
        <w:t>，</w:t>
      </w:r>
      <w:r>
        <w:rPr>
          <w:rFonts w:hint="eastAsia" w:ascii="仿宋_GB2312" w:hAnsi="黑体" w:eastAsia="仿宋_GB2312"/>
          <w:b w:val="0"/>
          <w:bCs w:val="0"/>
          <w:color w:val="auto"/>
          <w:sz w:val="32"/>
          <w:szCs w:val="32"/>
          <w:highlight w:val="none"/>
          <w:u w:val="none" w:color="auto"/>
          <w:lang w:val="en-US" w:eastAsia="zh-CN"/>
        </w:rPr>
        <w:t>营商环境持续优化，</w:t>
      </w:r>
      <w:r>
        <w:rPr>
          <w:rFonts w:hint="eastAsia" w:ascii="仿宋_GB2312" w:hAnsi="黑体" w:eastAsia="仿宋_GB2312"/>
          <w:b w:val="0"/>
          <w:bCs w:val="0"/>
          <w:color w:val="auto"/>
          <w:sz w:val="32"/>
          <w:szCs w:val="32"/>
          <w:highlight w:val="none"/>
          <w:u w:val="none" w:color="auto"/>
        </w:rPr>
        <w:t>对内对外开放水平</w:t>
      </w:r>
      <w:r>
        <w:rPr>
          <w:rFonts w:hint="eastAsia" w:ascii="仿宋_GB2312" w:hAnsi="黑体" w:eastAsia="仿宋_GB2312"/>
          <w:b w:val="0"/>
          <w:bCs w:val="0"/>
          <w:color w:val="auto"/>
          <w:sz w:val="32"/>
          <w:szCs w:val="32"/>
          <w:highlight w:val="none"/>
          <w:u w:val="none" w:color="auto"/>
          <w:lang w:val="en-US" w:eastAsia="zh-CN"/>
        </w:rPr>
        <w:t>显著</w:t>
      </w:r>
      <w:r>
        <w:rPr>
          <w:rFonts w:hint="eastAsia" w:ascii="仿宋_GB2312" w:hAnsi="黑体" w:eastAsia="仿宋_GB2312"/>
          <w:b w:val="0"/>
          <w:bCs w:val="0"/>
          <w:color w:val="auto"/>
          <w:sz w:val="32"/>
          <w:szCs w:val="32"/>
          <w:highlight w:val="none"/>
          <w:u w:val="none" w:color="auto"/>
        </w:rPr>
        <w:t>提升，</w:t>
      </w:r>
      <w:r>
        <w:rPr>
          <w:rFonts w:hint="eastAsia" w:ascii="仿宋_GB2312" w:hAnsi="黑体" w:eastAsia="仿宋_GB2312"/>
          <w:b w:val="0"/>
          <w:bCs w:val="0"/>
          <w:color w:val="auto"/>
          <w:sz w:val="32"/>
          <w:szCs w:val="32"/>
          <w:highlight w:val="none"/>
          <w:u w:val="none" w:color="auto"/>
          <w:lang w:val="en-US" w:eastAsia="zh-CN"/>
        </w:rPr>
        <w:t>商</w:t>
      </w:r>
      <w:r>
        <w:rPr>
          <w:rFonts w:hint="eastAsia" w:ascii="仿宋_GB2312" w:hAnsi="黑体" w:eastAsia="仿宋_GB2312"/>
          <w:b w:val="0"/>
          <w:bCs w:val="0"/>
          <w:color w:val="auto"/>
          <w:spacing w:val="-6"/>
          <w:sz w:val="32"/>
          <w:szCs w:val="32"/>
          <w:highlight w:val="none"/>
          <w:u w:val="none" w:color="auto"/>
          <w:lang w:val="en-US" w:eastAsia="zh-CN"/>
        </w:rPr>
        <w:t>贸服务型</w:t>
      </w:r>
      <w:r>
        <w:rPr>
          <w:rFonts w:hint="eastAsia" w:ascii="仿宋_GB2312" w:hAnsi="黑体" w:eastAsia="仿宋_GB2312"/>
          <w:b w:val="0"/>
          <w:bCs w:val="0"/>
          <w:color w:val="auto"/>
          <w:spacing w:val="-6"/>
          <w:sz w:val="32"/>
          <w:szCs w:val="32"/>
          <w:highlight w:val="none"/>
          <w:u w:val="none" w:color="auto"/>
        </w:rPr>
        <w:t>国家物流枢纽和</w:t>
      </w:r>
      <w:r>
        <w:rPr>
          <w:rFonts w:hint="eastAsia" w:ascii="仿宋_GB2312" w:hAnsi="黑体" w:eastAsia="仿宋_GB2312"/>
          <w:b w:val="0"/>
          <w:bCs w:val="0"/>
          <w:color w:val="auto"/>
          <w:spacing w:val="-6"/>
          <w:sz w:val="32"/>
          <w:szCs w:val="32"/>
          <w:highlight w:val="none"/>
          <w:u w:val="none" w:color="auto"/>
          <w:lang w:val="en-US" w:eastAsia="zh-CN"/>
        </w:rPr>
        <w:t>向北开放</w:t>
      </w:r>
      <w:r>
        <w:rPr>
          <w:rFonts w:hint="eastAsia" w:ascii="仿宋_GB2312" w:hAnsi="黑体" w:eastAsia="仿宋_GB2312"/>
          <w:b w:val="0"/>
          <w:bCs w:val="0"/>
          <w:color w:val="auto"/>
          <w:spacing w:val="-6"/>
          <w:sz w:val="32"/>
          <w:szCs w:val="32"/>
          <w:highlight w:val="none"/>
          <w:u w:val="none" w:color="auto"/>
        </w:rPr>
        <w:t>口岸腹地建设取得标志性成果</w:t>
      </w:r>
      <w:r>
        <w:rPr>
          <w:rFonts w:hint="eastAsia" w:ascii="仿宋_GB2312" w:hAnsi="黑体" w:eastAsia="仿宋_GB2312"/>
          <w:b w:val="0"/>
          <w:bCs w:val="0"/>
          <w:color w:val="auto"/>
          <w:spacing w:val="-6"/>
          <w:sz w:val="32"/>
          <w:szCs w:val="32"/>
          <w:highlight w:val="none"/>
          <w:u w:val="none" w:color="auto"/>
          <w:lang w:eastAsia="zh-CN"/>
        </w:rPr>
        <w:t>。</w:t>
      </w:r>
    </w:p>
    <w:p w14:paraId="40876F35">
      <w:pPr>
        <w:pStyle w:val="43"/>
        <w:keepNext w:val="0"/>
        <w:keepLines w:val="0"/>
        <w:pageBreakBefore w:val="0"/>
        <w:widowControl w:val="0"/>
        <w:shd w:val="clear" w:color="auto" w:fill="auto"/>
        <w:kinsoku/>
        <w:wordWrap/>
        <w:topLinePunct w:val="0"/>
        <w:autoSpaceDE/>
        <w:autoSpaceDN/>
        <w:bidi w:val="0"/>
        <w:adjustRightInd/>
        <w:snapToGrid/>
        <w:spacing w:line="560" w:lineRule="exact"/>
        <w:ind w:firstLine="643"/>
        <w:textAlignment w:val="auto"/>
        <w:rPr>
          <w:rFonts w:hint="eastAsia" w:ascii="仿宋_GB2312" w:hAnsi="黑体" w:eastAsia="仿宋_GB2312"/>
          <w:b w:val="0"/>
          <w:bCs w:val="0"/>
          <w:color w:val="auto"/>
          <w:sz w:val="32"/>
          <w:szCs w:val="32"/>
          <w:highlight w:val="none"/>
          <w:u w:val="none" w:color="auto"/>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仿宋_GB2312" w:hAnsi="黑体" w:eastAsia="仿宋_GB2312"/>
          <w:b w:val="0"/>
          <w:bCs w:val="0"/>
          <w:color w:val="auto"/>
          <w:sz w:val="32"/>
          <w:szCs w:val="32"/>
          <w:highlight w:val="none"/>
          <w:u w:val="none" w:color="auto"/>
        </w:rPr>
        <w:t>民生福祉</w:t>
      </w:r>
      <w:r>
        <w:rPr>
          <w:rFonts w:hint="eastAsia" w:ascii="仿宋_GB2312" w:hAnsi="黑体" w:eastAsia="仿宋_GB2312"/>
          <w:b w:val="0"/>
          <w:bCs w:val="0"/>
          <w:color w:val="auto"/>
          <w:sz w:val="32"/>
          <w:szCs w:val="32"/>
          <w:highlight w:val="none"/>
          <w:u w:val="none" w:color="auto"/>
          <w:lang w:val="en-US" w:eastAsia="zh-CN"/>
        </w:rPr>
        <w:t>实现更大改善</w:t>
      </w:r>
      <w:r>
        <w:rPr>
          <w:rFonts w:hint="eastAsia" w:ascii="仿宋_GB2312" w:hAnsi="黑体" w:eastAsia="仿宋_GB2312"/>
          <w:b w:val="0"/>
          <w:bCs w:val="0"/>
          <w:color w:val="auto"/>
          <w:sz w:val="32"/>
          <w:szCs w:val="32"/>
          <w:highlight w:val="none"/>
          <w:u w:val="none" w:color="auto"/>
          <w:lang w:eastAsia="zh-CN"/>
        </w:rPr>
        <w:t>。</w:t>
      </w:r>
      <w:r>
        <w:rPr>
          <w:rFonts w:hint="eastAsia" w:ascii="仿宋_GB2312" w:hAnsi="黑体" w:eastAsia="仿宋_GB2312"/>
          <w:b w:val="0"/>
          <w:bCs w:val="0"/>
          <w:color w:val="auto"/>
          <w:sz w:val="32"/>
          <w:szCs w:val="32"/>
          <w:highlight w:val="none"/>
          <w:u w:val="none" w:color="auto"/>
        </w:rPr>
        <w:t>城乡居民收入</w:t>
      </w:r>
      <w:r>
        <w:rPr>
          <w:rFonts w:hint="eastAsia" w:ascii="仿宋_GB2312" w:hAnsi="黑体" w:eastAsia="仿宋_GB2312"/>
          <w:b w:val="0"/>
          <w:bCs w:val="0"/>
          <w:color w:val="auto"/>
          <w:sz w:val="32"/>
          <w:szCs w:val="32"/>
          <w:highlight w:val="none"/>
          <w:u w:val="none" w:color="auto"/>
          <w:lang w:val="en-US" w:eastAsia="zh-CN"/>
        </w:rPr>
        <w:t>增速</w:t>
      </w:r>
      <w:r>
        <w:rPr>
          <w:rFonts w:hint="eastAsia" w:ascii="仿宋_GB2312" w:hAnsi="黑体" w:eastAsia="仿宋_GB2312"/>
          <w:b w:val="0"/>
          <w:bCs w:val="0"/>
          <w:color w:val="auto"/>
          <w:sz w:val="32"/>
          <w:szCs w:val="32"/>
          <w:highlight w:val="none"/>
          <w:u w:val="none" w:color="auto"/>
        </w:rPr>
        <w:t>高于经济</w:t>
      </w:r>
      <w:r>
        <w:rPr>
          <w:rFonts w:hint="eastAsia" w:ascii="仿宋_GB2312" w:hAnsi="黑体" w:eastAsia="仿宋_GB2312"/>
          <w:b w:val="0"/>
          <w:bCs w:val="0"/>
          <w:color w:val="auto"/>
          <w:sz w:val="32"/>
          <w:szCs w:val="32"/>
          <w:highlight w:val="none"/>
          <w:u w:val="none" w:color="auto"/>
          <w:lang w:val="en-US" w:eastAsia="zh-CN"/>
        </w:rPr>
        <w:t>增速</w:t>
      </w:r>
      <w:r>
        <w:rPr>
          <w:rFonts w:hint="eastAsia" w:ascii="仿宋_GB2312" w:hAnsi="黑体" w:eastAsia="仿宋_GB2312"/>
          <w:b w:val="0"/>
          <w:bCs w:val="0"/>
          <w:color w:val="auto"/>
          <w:sz w:val="32"/>
          <w:szCs w:val="32"/>
          <w:highlight w:val="none"/>
          <w:u w:val="none" w:color="auto"/>
        </w:rPr>
        <w:t>，就业更有质量更加充分，基本公共服务更加优质均衡，脱贫攻坚成果巩固拓展，人民对美好生活的向往得到更好满足。</w:t>
      </w:r>
    </w:p>
    <w:p w14:paraId="69412825">
      <w:pPr>
        <w:pStyle w:val="43"/>
        <w:keepNext w:val="0"/>
        <w:keepLines w:val="0"/>
        <w:pageBreakBefore w:val="0"/>
        <w:widowControl w:val="0"/>
        <w:shd w:val="clear" w:color="auto" w:fill="auto"/>
        <w:kinsoku/>
        <w:wordWrap/>
        <w:topLinePunct w:val="0"/>
        <w:autoSpaceDE/>
        <w:autoSpaceDN/>
        <w:bidi w:val="0"/>
        <w:adjustRightInd/>
        <w:snapToGrid/>
        <w:spacing w:line="560" w:lineRule="exact"/>
        <w:ind w:firstLine="643"/>
        <w:textAlignment w:val="auto"/>
        <w:rPr>
          <w:rFonts w:hint="eastAsia" w:ascii="仿宋_GB2312" w:hAnsi="黑体" w:eastAsia="仿宋_GB2312" w:cs="Times New Roman"/>
          <w:b w:val="0"/>
          <w:bCs w:val="0"/>
          <w:color w:val="auto"/>
          <w:sz w:val="32"/>
          <w:szCs w:val="32"/>
          <w:highlight w:val="none"/>
          <w:u w:val="none" w:color="auto"/>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仿宋_GB2312" w:hAnsi="黑体" w:eastAsia="仿宋_GB2312"/>
          <w:b w:val="0"/>
          <w:bCs w:val="0"/>
          <w:color w:val="auto"/>
          <w:sz w:val="32"/>
          <w:szCs w:val="32"/>
          <w:highlight w:val="none"/>
          <w:u w:val="none" w:color="auto"/>
        </w:rPr>
        <w:t>社会治理效能</w:t>
      </w:r>
      <w:r>
        <w:rPr>
          <w:rFonts w:hint="eastAsia" w:ascii="仿宋_GB2312" w:hAnsi="黑体" w:eastAsia="仿宋_GB2312"/>
          <w:b w:val="0"/>
          <w:bCs w:val="0"/>
          <w:color w:val="auto"/>
          <w:sz w:val="32"/>
          <w:szCs w:val="32"/>
          <w:highlight w:val="none"/>
          <w:u w:val="none" w:color="auto"/>
          <w:lang w:val="en-US" w:eastAsia="zh-CN"/>
        </w:rPr>
        <w:t>实现更大</w:t>
      </w:r>
      <w:r>
        <w:rPr>
          <w:rFonts w:hint="eastAsia" w:ascii="仿宋_GB2312" w:hAnsi="黑体" w:eastAsia="仿宋_GB2312"/>
          <w:b w:val="0"/>
          <w:bCs w:val="0"/>
          <w:color w:val="auto"/>
          <w:sz w:val="32"/>
          <w:szCs w:val="32"/>
          <w:highlight w:val="none"/>
          <w:u w:val="none" w:color="auto"/>
        </w:rPr>
        <w:t>提升</w:t>
      </w:r>
      <w:r>
        <w:rPr>
          <w:rFonts w:hint="eastAsia" w:ascii="仿宋_GB2312" w:hAnsi="黑体" w:eastAsia="仿宋_GB2312"/>
          <w:b w:val="0"/>
          <w:bCs w:val="0"/>
          <w:color w:val="auto"/>
          <w:sz w:val="32"/>
          <w:szCs w:val="32"/>
          <w:highlight w:val="none"/>
          <w:u w:val="none" w:color="auto"/>
          <w:lang w:eastAsia="zh-CN"/>
        </w:rPr>
        <w:t>。</w:t>
      </w:r>
      <w:r>
        <w:rPr>
          <w:rFonts w:hint="eastAsia" w:ascii="仿宋_GB2312" w:hAnsi="黑体" w:eastAsia="仿宋_GB2312" w:cs="Times New Roman"/>
          <w:b w:val="0"/>
          <w:bCs w:val="0"/>
          <w:color w:val="auto"/>
          <w:sz w:val="32"/>
          <w:szCs w:val="32"/>
          <w:highlight w:val="none"/>
          <w:u w:val="none" w:color="auto"/>
        </w:rPr>
        <w:t>平安</w:t>
      </w:r>
      <w:r>
        <w:rPr>
          <w:rFonts w:hint="eastAsia" w:ascii="仿宋_GB2312" w:hAnsi="黑体" w:eastAsia="仿宋_GB2312" w:cs="Times New Roman"/>
          <w:b w:val="0"/>
          <w:bCs w:val="0"/>
          <w:color w:val="auto"/>
          <w:sz w:val="32"/>
          <w:szCs w:val="32"/>
          <w:highlight w:val="none"/>
          <w:u w:val="none" w:color="auto"/>
          <w:lang w:val="en-US" w:eastAsia="zh-CN"/>
        </w:rPr>
        <w:t>建设</w:t>
      </w:r>
      <w:r>
        <w:rPr>
          <w:rFonts w:hint="eastAsia" w:ascii="仿宋_GB2312" w:hAnsi="黑体" w:eastAsia="仿宋_GB2312" w:cs="Times New Roman"/>
          <w:b w:val="0"/>
          <w:bCs w:val="0"/>
          <w:color w:val="auto"/>
          <w:sz w:val="32"/>
          <w:szCs w:val="32"/>
          <w:highlight w:val="none"/>
          <w:u w:val="none" w:color="auto"/>
        </w:rPr>
        <w:t>、法治</w:t>
      </w:r>
      <w:r>
        <w:rPr>
          <w:rFonts w:hint="eastAsia" w:ascii="仿宋_GB2312" w:hAnsi="黑体" w:eastAsia="仿宋_GB2312" w:cs="Times New Roman"/>
          <w:b w:val="0"/>
          <w:bCs w:val="0"/>
          <w:color w:val="auto"/>
          <w:sz w:val="32"/>
          <w:szCs w:val="32"/>
          <w:highlight w:val="none"/>
          <w:u w:val="none" w:color="auto"/>
          <w:lang w:val="en-US" w:eastAsia="zh-CN"/>
        </w:rPr>
        <w:t>建设</w:t>
      </w:r>
      <w:r>
        <w:rPr>
          <w:rFonts w:hint="eastAsia" w:ascii="仿宋_GB2312" w:hAnsi="黑体" w:eastAsia="仿宋_GB2312" w:cs="Times New Roman"/>
          <w:b w:val="0"/>
          <w:bCs w:val="0"/>
          <w:color w:val="auto"/>
          <w:sz w:val="32"/>
          <w:szCs w:val="32"/>
          <w:highlight w:val="none"/>
          <w:u w:val="none" w:color="auto"/>
        </w:rPr>
        <w:t>、诚信建设深入推进，防范化解重大风险体制机制不断健全，</w:t>
      </w:r>
      <w:r>
        <w:rPr>
          <w:rFonts w:hint="eastAsia" w:ascii="仿宋_GB2312" w:hAnsi="黑体" w:eastAsia="仿宋_GB2312"/>
          <w:b w:val="0"/>
          <w:bCs w:val="0"/>
          <w:color w:val="auto"/>
          <w:sz w:val="32"/>
          <w:szCs w:val="32"/>
          <w:highlight w:val="none"/>
          <w:u w:val="none" w:color="auto"/>
          <w:lang w:val="en-US" w:eastAsia="zh-CN"/>
        </w:rPr>
        <w:t>社会治理体系更加完备，</w:t>
      </w:r>
      <w:r>
        <w:rPr>
          <w:rFonts w:hint="eastAsia" w:ascii="仿宋_GB2312" w:hAnsi="黑体" w:eastAsia="仿宋_GB2312" w:cs="Times New Roman"/>
          <w:b w:val="0"/>
          <w:bCs w:val="0"/>
          <w:color w:val="auto"/>
          <w:sz w:val="32"/>
          <w:szCs w:val="32"/>
          <w:highlight w:val="none"/>
          <w:u w:val="none" w:color="auto"/>
          <w:lang w:eastAsia="zh-CN"/>
        </w:rPr>
        <w:t>安全体系和能力</w:t>
      </w:r>
      <w:r>
        <w:rPr>
          <w:rFonts w:hint="eastAsia" w:ascii="仿宋_GB2312" w:hAnsi="黑体" w:eastAsia="仿宋_GB2312" w:cs="Times New Roman"/>
          <w:b w:val="0"/>
          <w:bCs w:val="0"/>
          <w:color w:val="auto"/>
          <w:sz w:val="32"/>
          <w:szCs w:val="32"/>
          <w:highlight w:val="none"/>
          <w:u w:val="none" w:color="auto"/>
        </w:rPr>
        <w:t>现代化水平</w:t>
      </w:r>
      <w:r>
        <w:rPr>
          <w:rFonts w:hint="eastAsia" w:ascii="仿宋_GB2312" w:hAnsi="黑体" w:eastAsia="仿宋_GB2312" w:cs="Times New Roman"/>
          <w:b w:val="0"/>
          <w:bCs w:val="0"/>
          <w:color w:val="auto"/>
          <w:sz w:val="32"/>
          <w:szCs w:val="32"/>
          <w:highlight w:val="none"/>
          <w:u w:val="none" w:color="auto"/>
          <w:lang w:eastAsia="zh-CN"/>
        </w:rPr>
        <w:t>显著</w:t>
      </w:r>
      <w:r>
        <w:rPr>
          <w:rFonts w:hint="eastAsia" w:ascii="仿宋_GB2312" w:hAnsi="黑体" w:eastAsia="仿宋_GB2312" w:cs="Times New Roman"/>
          <w:b w:val="0"/>
          <w:bCs w:val="0"/>
          <w:color w:val="auto"/>
          <w:sz w:val="32"/>
          <w:szCs w:val="32"/>
          <w:highlight w:val="none"/>
          <w:u w:val="none" w:color="auto"/>
        </w:rPr>
        <w:t>提升，</w:t>
      </w:r>
      <w:r>
        <w:rPr>
          <w:rFonts w:hint="eastAsia" w:ascii="仿宋_GB2312" w:hAnsi="黑体" w:eastAsia="仿宋_GB2312" w:cs="Times New Roman"/>
          <w:b w:val="0"/>
          <w:bCs w:val="0"/>
          <w:color w:val="auto"/>
          <w:sz w:val="32"/>
          <w:szCs w:val="32"/>
          <w:highlight w:val="none"/>
          <w:u w:val="none" w:color="auto"/>
          <w:lang w:val="en-US" w:eastAsia="zh-CN"/>
        </w:rPr>
        <w:t>为筑牢</w:t>
      </w:r>
      <w:r>
        <w:rPr>
          <w:rFonts w:hint="eastAsia" w:ascii="仿宋_GB2312" w:hAnsi="黑体" w:eastAsia="仿宋_GB2312" w:cs="Times New Roman"/>
          <w:b w:val="0"/>
          <w:bCs w:val="0"/>
          <w:color w:val="auto"/>
          <w:sz w:val="32"/>
          <w:szCs w:val="32"/>
          <w:highlight w:val="none"/>
          <w:u w:val="none" w:color="auto"/>
        </w:rPr>
        <w:t>祖国北疆安全稳定屏障</w:t>
      </w:r>
      <w:r>
        <w:rPr>
          <w:rFonts w:hint="eastAsia" w:ascii="仿宋_GB2312" w:hAnsi="黑体" w:eastAsia="仿宋_GB2312" w:cs="Times New Roman"/>
          <w:b w:val="0"/>
          <w:bCs w:val="0"/>
          <w:color w:val="auto"/>
          <w:sz w:val="32"/>
          <w:szCs w:val="32"/>
          <w:highlight w:val="none"/>
          <w:u w:val="none" w:color="auto"/>
          <w:lang w:val="en-US" w:eastAsia="zh-CN"/>
        </w:rPr>
        <w:t>作出更大贡献</w:t>
      </w:r>
      <w:r>
        <w:rPr>
          <w:rFonts w:hint="eastAsia" w:ascii="仿宋_GB2312" w:hAnsi="黑体" w:eastAsia="仿宋_GB2312" w:cs="Times New Roman"/>
          <w:b w:val="0"/>
          <w:bCs w:val="0"/>
          <w:color w:val="auto"/>
          <w:sz w:val="32"/>
          <w:szCs w:val="32"/>
          <w:highlight w:val="none"/>
          <w:u w:val="none" w:color="auto"/>
        </w:rPr>
        <w:t>。</w:t>
      </w:r>
    </w:p>
    <w:p w14:paraId="38A2ACAF">
      <w:pPr>
        <w:pStyle w:val="43"/>
        <w:keepNext w:val="0"/>
        <w:keepLines w:val="0"/>
        <w:pageBreakBefore w:val="0"/>
        <w:widowControl w:val="0"/>
        <w:shd w:val="clear" w:color="auto" w:fill="auto"/>
        <w:kinsoku/>
        <w:wordWrap/>
        <w:overflowPunct w:val="0"/>
        <w:topLinePunct w:val="0"/>
        <w:autoSpaceDE/>
        <w:autoSpaceDN/>
        <w:bidi w:val="0"/>
        <w:adjustRightInd/>
        <w:snapToGrid/>
        <w:spacing w:line="560" w:lineRule="exact"/>
        <w:ind w:firstLine="640" w:firstLineChars="200"/>
        <w:textAlignment w:val="auto"/>
        <w:rPr>
          <w:rFonts w:hint="eastAsia" w:ascii="仿宋_GB2312" w:hAnsi="黑体" w:eastAsia="仿宋_GB2312" w:cs="Times New Roman"/>
          <w:b w:val="0"/>
          <w:bCs w:val="0"/>
          <w:color w:val="auto"/>
          <w:sz w:val="32"/>
          <w:szCs w:val="32"/>
          <w:highlight w:val="none"/>
          <w:u w:val="none" w:color="auto"/>
          <w:lang w:val="en-US" w:eastAsia="zh-CN"/>
        </w:rPr>
      </w:pPr>
      <w:r>
        <w:rPr>
          <w:rFonts w:hint="eastAsia" w:ascii="仿宋_GB2312" w:hAnsi="黑体" w:eastAsia="仿宋_GB2312" w:cs="Times New Roman"/>
          <w:b w:val="0"/>
          <w:bCs w:val="0"/>
          <w:color w:val="auto"/>
          <w:sz w:val="32"/>
          <w:szCs w:val="32"/>
          <w:highlight w:val="none"/>
          <w:u w:val="none" w:color="auto"/>
          <w:lang w:val="en-US" w:eastAsia="zh-CN"/>
        </w:rPr>
        <w:t>完成以上目标的同时，立足实际，聚焦对赤峰市高质量发展具有支撑性、牵引性的重要领域，扬优势、补短板、求突破，推进“五市五区”建设。</w:t>
      </w:r>
    </w:p>
    <w:p w14:paraId="616D09DC">
      <w:pPr>
        <w:keepNext w:val="0"/>
        <w:keepLines w:val="0"/>
        <w:pageBreakBefore w:val="0"/>
        <w:widowControl w:val="0"/>
        <w:numPr>
          <w:ilvl w:val="0"/>
          <w:numId w:val="0"/>
        </w:numPr>
        <w:kinsoku/>
        <w:wordWrap/>
        <w:topLinePunct w:val="0"/>
        <w:autoSpaceDE/>
        <w:autoSpaceDN/>
        <w:bidi w:val="0"/>
        <w:adjustRightInd/>
        <w:snapToGrid/>
        <w:spacing w:line="560" w:lineRule="exact"/>
        <w:ind w:firstLine="640" w:firstLineChars="200"/>
        <w:textAlignment w:val="auto"/>
        <w:rPr>
          <w:rFonts w:hint="default" w:ascii="仿宋_GB2312" w:hAnsi="黑体" w:eastAsia="仿宋_GB2312" w:cs="Times New Roman"/>
          <w:b w:val="0"/>
          <w:bCs w:val="0"/>
          <w:color w:val="auto"/>
          <w:kern w:val="2"/>
          <w:sz w:val="32"/>
          <w:szCs w:val="32"/>
          <w:highlight w:val="none"/>
          <w:u w:val="none" w:color="auto"/>
          <w:lang w:val="en-US" w:eastAsia="zh-CN" w:bidi="ar-SA"/>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仿宋_GB2312" w:hAnsi="仿宋_GB2312" w:eastAsia="仿宋_GB2312" w:cs="仿宋_GB2312"/>
          <w:b w:val="0"/>
          <w:bCs w:val="0"/>
          <w:color w:val="auto"/>
          <w:sz w:val="32"/>
          <w:szCs w:val="32"/>
          <w:highlight w:val="none"/>
          <w:u w:val="none" w:color="auto"/>
          <w:lang w:val="en-US" w:eastAsia="zh-CN"/>
        </w:rPr>
        <w:t>建设铸牢中华民族共同体意识先进市。全国民族团结进步示范市创建成果持续巩固，铸牢中华民族共同体意识宣传教育、理论研究、阵地建设取得重要成果，在全方位建设模范自治区中走在前列，在铸牢中华民族共同体意识、推进中华民族共同体建设中出典型。</w:t>
      </w:r>
    </w:p>
    <w:p w14:paraId="506AA2B6">
      <w:pPr>
        <w:keepNext w:val="0"/>
        <w:keepLines w:val="0"/>
        <w:pageBreakBefore w:val="0"/>
        <w:widowControl w:val="0"/>
        <w:numPr>
          <w:ilvl w:val="0"/>
          <w:numId w:val="0"/>
        </w:numPr>
        <w:kinsoku/>
        <w:wordWrap/>
        <w:topLinePunct w:val="0"/>
        <w:autoSpaceDE/>
        <w:autoSpaceDN/>
        <w:bidi w:val="0"/>
        <w:adjustRightInd/>
        <w:snapToGrid/>
        <w:spacing w:line="560" w:lineRule="exact"/>
        <w:ind w:firstLine="640" w:firstLineChars="200"/>
        <w:textAlignment w:val="auto"/>
        <w:rPr>
          <w:rFonts w:hint="eastAsia" w:ascii="仿宋_GB2312" w:hAnsi="黑体" w:eastAsia="仿宋_GB2312" w:cs="Times New Roman"/>
          <w:b w:val="0"/>
          <w:bCs w:val="0"/>
          <w:color w:val="auto"/>
          <w:sz w:val="32"/>
          <w:szCs w:val="32"/>
          <w:highlight w:val="none"/>
          <w:u w:val="none" w:color="auto"/>
          <w:lang w:val="en-US" w:eastAsia="zh-CN"/>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仿宋_GB2312" w:hAnsi="仿宋_GB2312" w:eastAsia="仿宋_GB2312" w:cs="仿宋_GB2312"/>
          <w:b w:val="0"/>
          <w:bCs w:val="0"/>
          <w:color w:val="auto"/>
          <w:sz w:val="32"/>
          <w:szCs w:val="32"/>
          <w:highlight w:val="none"/>
          <w:u w:val="none" w:color="auto"/>
          <w:lang w:val="en-US" w:eastAsia="zh-CN"/>
        </w:rPr>
        <w:t>建设现代化区域性中心城市。</w:t>
      </w:r>
      <w:r>
        <w:rPr>
          <w:rFonts w:hint="eastAsia" w:ascii="仿宋_GB2312" w:hAnsi="黑体" w:eastAsia="仿宋_GB2312" w:cs="Times New Roman"/>
          <w:b w:val="0"/>
          <w:bCs w:val="0"/>
          <w:color w:val="auto"/>
          <w:sz w:val="32"/>
          <w:szCs w:val="32"/>
          <w:highlight w:val="none"/>
          <w:u w:val="none" w:color="auto"/>
          <w:lang w:val="en-US" w:eastAsia="zh-CN"/>
        </w:rPr>
        <w:t>区域竞争力进一步增强，公共服务保障能力、要素集聚能力、产业支撑能力和现代化水平进一步提高，内生发展动力和活力进一步彰显，对周边地区的辐射带动作用显著增强。</w:t>
      </w:r>
    </w:p>
    <w:p w14:paraId="17C955BA">
      <w:pPr>
        <w:keepNext w:val="0"/>
        <w:keepLines w:val="0"/>
        <w:pageBreakBefore w:val="0"/>
        <w:widowControl w:val="0"/>
        <w:numPr>
          <w:ilvl w:val="0"/>
          <w:numId w:val="0"/>
        </w:numPr>
        <w:kinsoku/>
        <w:wordWrap/>
        <w:topLinePunct w:val="0"/>
        <w:autoSpaceDE/>
        <w:autoSpaceDN/>
        <w:bidi w:val="0"/>
        <w:adjustRightInd/>
        <w:snapToGrid/>
        <w:spacing w:line="560" w:lineRule="exact"/>
        <w:ind w:firstLine="640" w:firstLineChars="200"/>
        <w:textAlignment w:val="auto"/>
        <w:rPr>
          <w:rFonts w:hint="default" w:ascii="仿宋_GB2312" w:hAnsi="黑体" w:eastAsia="仿宋_GB2312" w:cs="Times New Roman"/>
          <w:b w:val="0"/>
          <w:bCs w:val="0"/>
          <w:color w:val="auto"/>
          <w:kern w:val="2"/>
          <w:sz w:val="32"/>
          <w:szCs w:val="32"/>
          <w:highlight w:val="none"/>
          <w:u w:val="none" w:color="auto"/>
          <w:lang w:val="en-US" w:eastAsia="zh-CN" w:bidi="ar-SA"/>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仿宋_GB2312" w:hAnsi="仿宋_GB2312" w:eastAsia="仿宋_GB2312" w:cs="仿宋_GB2312"/>
          <w:b w:val="0"/>
          <w:bCs w:val="0"/>
          <w:color w:val="auto"/>
          <w:sz w:val="32"/>
          <w:szCs w:val="32"/>
          <w:highlight w:val="none"/>
          <w:u w:val="none" w:color="auto"/>
          <w:lang w:val="en-US" w:eastAsia="zh-CN"/>
        </w:rPr>
        <w:t>建设全国文明城市。</w:t>
      </w:r>
      <w:r>
        <w:rPr>
          <w:rFonts w:hint="default" w:ascii="仿宋_GB2312" w:hAnsi="黑体" w:eastAsia="仿宋_GB2312" w:cs="Times New Roman"/>
          <w:b w:val="0"/>
          <w:bCs w:val="0"/>
          <w:color w:val="auto"/>
          <w:kern w:val="2"/>
          <w:sz w:val="32"/>
          <w:szCs w:val="32"/>
          <w:highlight w:val="none"/>
          <w:u w:val="none" w:color="auto"/>
          <w:lang w:val="en-US" w:eastAsia="zh-CN" w:bidi="ar-SA"/>
        </w:rPr>
        <w:t>社会主义核心价值观深入人心，人民群众思想道德素质、科学文化素质和身心健康素质明显提高，公共文化服务体系更加健全，人民精神文化生活日益丰富，优秀传统文化</w:t>
      </w:r>
      <w:r>
        <w:rPr>
          <w:rFonts w:hint="eastAsia" w:ascii="仿宋_GB2312" w:hAnsi="黑体" w:eastAsia="仿宋_GB2312" w:cs="Times New Roman"/>
          <w:b w:val="0"/>
          <w:bCs w:val="0"/>
          <w:color w:val="auto"/>
          <w:kern w:val="2"/>
          <w:sz w:val="32"/>
          <w:szCs w:val="32"/>
          <w:highlight w:val="none"/>
          <w:u w:val="none" w:color="auto"/>
          <w:lang w:val="en-US" w:eastAsia="zh-CN" w:bidi="ar-SA"/>
        </w:rPr>
        <w:t>和革命文化</w:t>
      </w:r>
      <w:r>
        <w:rPr>
          <w:rFonts w:hint="default" w:ascii="仿宋_GB2312" w:hAnsi="黑体" w:eastAsia="仿宋_GB2312" w:cs="Times New Roman"/>
          <w:b w:val="0"/>
          <w:bCs w:val="0"/>
          <w:color w:val="auto"/>
          <w:kern w:val="2"/>
          <w:sz w:val="32"/>
          <w:szCs w:val="32"/>
          <w:highlight w:val="none"/>
          <w:u w:val="none" w:color="auto"/>
          <w:lang w:val="en-US" w:eastAsia="zh-CN" w:bidi="ar-SA"/>
        </w:rPr>
        <w:t>传承弘扬，</w:t>
      </w:r>
      <w:r>
        <w:rPr>
          <w:rFonts w:hint="eastAsia" w:ascii="仿宋_GB2312" w:hAnsi="黑体" w:eastAsia="仿宋_GB2312" w:cs="Times New Roman"/>
          <w:b w:val="0"/>
          <w:bCs w:val="0"/>
          <w:color w:val="auto"/>
          <w:kern w:val="2"/>
          <w:sz w:val="32"/>
          <w:szCs w:val="32"/>
          <w:highlight w:val="none"/>
          <w:u w:val="none" w:color="auto"/>
          <w:lang w:val="en-US" w:eastAsia="zh-CN" w:bidi="ar-SA"/>
        </w:rPr>
        <w:t>社会文明程度得到新提高</w:t>
      </w:r>
      <w:r>
        <w:rPr>
          <w:rFonts w:hint="default" w:ascii="仿宋_GB2312" w:hAnsi="黑体" w:eastAsia="仿宋_GB2312" w:cs="Times New Roman"/>
          <w:b w:val="0"/>
          <w:bCs w:val="0"/>
          <w:color w:val="auto"/>
          <w:kern w:val="2"/>
          <w:sz w:val="32"/>
          <w:szCs w:val="32"/>
          <w:highlight w:val="none"/>
          <w:u w:val="none" w:color="auto"/>
          <w:lang w:val="en-US" w:eastAsia="zh-CN" w:bidi="ar-SA"/>
        </w:rPr>
        <w:t>。</w:t>
      </w:r>
    </w:p>
    <w:p w14:paraId="16EEC8E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cs="Times New Roman"/>
          <w:b w:val="0"/>
          <w:bCs w:val="0"/>
          <w:color w:val="auto"/>
          <w:kern w:val="2"/>
          <w:sz w:val="32"/>
          <w:szCs w:val="32"/>
          <w:highlight w:val="none"/>
          <w:u w:val="none" w:color="auto"/>
          <w:lang w:val="en-US" w:eastAsia="zh-CN" w:bidi="ar-SA"/>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仿宋_GB2312" w:hAnsi="仿宋_GB2312" w:eastAsia="仿宋_GB2312" w:cs="仿宋_GB2312"/>
          <w:b w:val="0"/>
          <w:bCs w:val="0"/>
          <w:color w:val="auto"/>
          <w:sz w:val="32"/>
          <w:szCs w:val="32"/>
          <w:highlight w:val="none"/>
          <w:u w:val="none" w:color="auto"/>
          <w:lang w:val="en-US" w:eastAsia="zh-CN"/>
        </w:rPr>
        <w:t>建设生态文明建设先进市。</w:t>
      </w:r>
      <w:r>
        <w:rPr>
          <w:rFonts w:hint="eastAsia" w:ascii="仿宋_GB2312" w:hAnsi="黑体" w:eastAsia="仿宋_GB2312" w:cs="Times New Roman"/>
          <w:b w:val="0"/>
          <w:bCs w:val="0"/>
          <w:color w:val="auto"/>
          <w:kern w:val="2"/>
          <w:sz w:val="32"/>
          <w:szCs w:val="32"/>
          <w:highlight w:val="none"/>
          <w:u w:val="none" w:color="auto"/>
          <w:lang w:val="en-US" w:eastAsia="zh-CN" w:bidi="ar-SA"/>
        </w:rPr>
        <w:t>国家森林城市、国家园林城市、全国防沙治沙综合示范区建设成果巩固提升，</w:t>
      </w:r>
      <w:r>
        <w:rPr>
          <w:rFonts w:hint="eastAsia" w:ascii="仿宋_GB2312" w:hAnsi="黑体" w:eastAsia="仿宋_GB2312" w:cs="Times New Roman"/>
          <w:b w:val="0"/>
          <w:bCs w:val="0"/>
          <w:color w:val="auto"/>
          <w:sz w:val="32"/>
          <w:szCs w:val="32"/>
          <w:highlight w:val="none"/>
          <w:u w:val="none" w:color="auto"/>
          <w:lang w:val="en-US" w:eastAsia="zh-CN"/>
        </w:rPr>
        <w:t>经济社会发展全面绿色转型成效显著，</w:t>
      </w:r>
      <w:r>
        <w:rPr>
          <w:rFonts w:hint="eastAsia" w:ascii="仿宋_GB2312" w:hAnsi="黑体" w:eastAsia="仿宋_GB2312" w:cs="Times New Roman"/>
          <w:b w:val="0"/>
          <w:bCs w:val="0"/>
          <w:color w:val="auto"/>
          <w:kern w:val="2"/>
          <w:sz w:val="32"/>
          <w:szCs w:val="32"/>
          <w:highlight w:val="none"/>
          <w:u w:val="none" w:color="auto"/>
          <w:lang w:val="en-US" w:eastAsia="zh-CN" w:bidi="ar-SA"/>
        </w:rPr>
        <w:t>形成一批可复制、可推广的生态文明建设经验典型</w:t>
      </w:r>
      <w:r>
        <w:rPr>
          <w:rFonts w:hint="eastAsia" w:ascii="仿宋_GB2312" w:hAnsi="黑体" w:eastAsia="仿宋_GB2312" w:cs="Times New Roman"/>
          <w:b w:val="0"/>
          <w:bCs w:val="0"/>
          <w:color w:val="auto"/>
          <w:sz w:val="32"/>
          <w:szCs w:val="32"/>
          <w:highlight w:val="none"/>
          <w:u w:val="none" w:color="auto"/>
          <w:lang w:val="en-US" w:eastAsia="zh-CN"/>
        </w:rPr>
        <w:t>，更好助力自治区建设美丽中国先行区、国家生态文明试验区</w:t>
      </w:r>
      <w:r>
        <w:rPr>
          <w:rFonts w:hint="eastAsia" w:ascii="仿宋_GB2312" w:hAnsi="黑体" w:eastAsia="仿宋_GB2312" w:cs="Times New Roman"/>
          <w:b w:val="0"/>
          <w:bCs w:val="0"/>
          <w:color w:val="auto"/>
          <w:kern w:val="2"/>
          <w:sz w:val="32"/>
          <w:szCs w:val="32"/>
          <w:highlight w:val="none"/>
          <w:u w:val="none" w:color="auto"/>
          <w:lang w:val="en-US" w:eastAsia="zh-CN" w:bidi="ar-SA"/>
        </w:rPr>
        <w:t>。</w:t>
      </w:r>
    </w:p>
    <w:p w14:paraId="451E3664">
      <w:pPr>
        <w:keepNext w:val="0"/>
        <w:keepLines w:val="0"/>
        <w:pageBreakBefore w:val="0"/>
        <w:widowControl w:val="0"/>
        <w:numPr>
          <w:ilvl w:val="0"/>
          <w:numId w:val="0"/>
        </w:numPr>
        <w:kinsoku/>
        <w:wordWrap/>
        <w:topLinePunct w:val="0"/>
        <w:autoSpaceDE/>
        <w:autoSpaceDN/>
        <w:bidi w:val="0"/>
        <w:adjustRightInd/>
        <w:snapToGrid/>
        <w:spacing w:line="560" w:lineRule="exact"/>
        <w:ind w:firstLine="640" w:firstLineChars="200"/>
        <w:textAlignment w:val="auto"/>
        <w:rPr>
          <w:rFonts w:hint="eastAsia" w:ascii="仿宋_GB2312" w:hAnsi="黑体" w:eastAsia="仿宋_GB2312"/>
          <w:b w:val="0"/>
          <w:bCs w:val="0"/>
          <w:color w:val="auto"/>
          <w:sz w:val="32"/>
          <w:szCs w:val="32"/>
          <w:highlight w:val="none"/>
          <w:u w:val="none" w:color="auto"/>
          <w:lang w:val="en-US" w:eastAsia="zh-CN"/>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仿宋_GB2312" w:hAnsi="仿宋_GB2312" w:eastAsia="仿宋_GB2312" w:cs="仿宋_GB2312"/>
          <w:b w:val="0"/>
          <w:bCs w:val="0"/>
          <w:color w:val="auto"/>
          <w:sz w:val="32"/>
          <w:szCs w:val="32"/>
          <w:highlight w:val="none"/>
          <w:u w:val="none" w:color="auto"/>
          <w:lang w:val="en-US" w:eastAsia="zh-CN"/>
        </w:rPr>
        <w:t>建设社会治理现代化城市。</w:t>
      </w:r>
      <w:r>
        <w:rPr>
          <w:rFonts w:hint="eastAsia" w:ascii="仿宋_GB2312" w:hAnsi="黑体" w:eastAsia="仿宋_GB2312" w:cs="Times New Roman"/>
          <w:b w:val="0"/>
          <w:bCs w:val="0"/>
          <w:color w:val="auto"/>
          <w:kern w:val="2"/>
          <w:sz w:val="32"/>
          <w:szCs w:val="32"/>
          <w:highlight w:val="none"/>
          <w:u w:val="none" w:color="auto"/>
          <w:lang w:val="en-US" w:eastAsia="zh-CN" w:bidi="ar-SA"/>
        </w:rPr>
        <w:t>社会治理工作体制、布局、方式现代化水平明显提高，防范化解重大风险有力有效，平安和法治建设达到更高水平，体现时代特征、地区特色的社会治理模式基本形成。</w:t>
      </w:r>
    </w:p>
    <w:p w14:paraId="5C948A26">
      <w:pPr>
        <w:keepNext w:val="0"/>
        <w:keepLines w:val="0"/>
        <w:pageBreakBefore w:val="0"/>
        <w:widowControl w:val="0"/>
        <w:numPr>
          <w:ilvl w:val="0"/>
          <w:numId w:val="0"/>
        </w:numPr>
        <w:kinsoku/>
        <w:wordWrap/>
        <w:topLinePunct w:val="0"/>
        <w:autoSpaceDE/>
        <w:autoSpaceDN/>
        <w:bidi w:val="0"/>
        <w:adjustRightInd/>
        <w:snapToGrid/>
        <w:spacing w:line="560" w:lineRule="exact"/>
        <w:ind w:firstLine="640" w:firstLineChars="200"/>
        <w:textAlignment w:val="auto"/>
        <w:rPr>
          <w:rFonts w:hint="eastAsia" w:ascii="仿宋_GB2312" w:hAnsi="黑体" w:eastAsia="仿宋_GB2312" w:cs="Times New Roman"/>
          <w:b w:val="0"/>
          <w:bCs w:val="0"/>
          <w:color w:val="auto"/>
          <w:sz w:val="32"/>
          <w:szCs w:val="32"/>
          <w:highlight w:val="none"/>
          <w:u w:val="none" w:color="auto"/>
          <w:lang w:val="en-US" w:eastAsia="zh-CN"/>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仿宋_GB2312" w:hAnsi="仿宋_GB2312" w:eastAsia="仿宋_GB2312" w:cs="仿宋_GB2312"/>
          <w:b w:val="0"/>
          <w:bCs w:val="0"/>
          <w:color w:val="auto"/>
          <w:sz w:val="32"/>
          <w:szCs w:val="32"/>
          <w:highlight w:val="none"/>
          <w:u w:val="none" w:color="auto"/>
          <w:lang w:val="en-US" w:eastAsia="zh-CN"/>
        </w:rPr>
        <w:t>建设承接产业转移集聚区。</w:t>
      </w:r>
      <w:r>
        <w:rPr>
          <w:rFonts w:hint="eastAsia" w:ascii="仿宋_GB2312" w:hAnsi="黑体" w:eastAsia="仿宋_GB2312" w:cs="Times New Roman"/>
          <w:b w:val="0"/>
          <w:bCs w:val="0"/>
          <w:color w:val="auto"/>
          <w:sz w:val="32"/>
          <w:szCs w:val="32"/>
          <w:highlight w:val="none"/>
          <w:u w:val="none" w:color="auto"/>
          <w:lang w:val="en-US" w:eastAsia="zh-CN"/>
        </w:rPr>
        <w:t>产业承接能力和园区承载能力不断增强，招商引资和重点项目建设高位推进，投资保持较高增速，优势特色产业链式集群发展迈出坚实步伐，</w:t>
      </w:r>
      <w:r>
        <w:rPr>
          <w:rFonts w:hint="eastAsia" w:ascii="仿宋_GB2312" w:hAnsi="黑体" w:eastAsia="仿宋_GB2312"/>
          <w:b w:val="0"/>
          <w:bCs w:val="0"/>
          <w:color w:val="auto"/>
          <w:sz w:val="32"/>
          <w:szCs w:val="32"/>
          <w:highlight w:val="none"/>
          <w:u w:val="none" w:color="auto"/>
          <w:lang w:val="en-US" w:eastAsia="zh-CN"/>
        </w:rPr>
        <w:t>现代化产业体系基本建成</w:t>
      </w:r>
      <w:r>
        <w:rPr>
          <w:rFonts w:hint="eastAsia" w:ascii="仿宋_GB2312" w:hAnsi="黑体" w:eastAsia="仿宋_GB2312" w:cs="Times New Roman"/>
          <w:b w:val="0"/>
          <w:bCs w:val="0"/>
          <w:color w:val="auto"/>
          <w:sz w:val="32"/>
          <w:szCs w:val="32"/>
          <w:highlight w:val="none"/>
          <w:u w:val="none" w:color="auto"/>
          <w:lang w:val="en-US" w:eastAsia="zh-CN"/>
        </w:rPr>
        <w:t>。</w:t>
      </w:r>
    </w:p>
    <w:p w14:paraId="7223A77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黑体" w:eastAsia="仿宋_GB2312" w:cs="Times New Roman"/>
          <w:b w:val="0"/>
          <w:bCs w:val="0"/>
          <w:color w:val="auto"/>
          <w:sz w:val="32"/>
          <w:szCs w:val="32"/>
          <w:highlight w:val="none"/>
          <w:u w:val="none" w:color="auto"/>
          <w:lang w:val="en-US" w:eastAsia="zh-CN"/>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仿宋_GB2312" w:hAnsi="仿宋_GB2312" w:eastAsia="仿宋_GB2312" w:cs="仿宋_GB2312"/>
          <w:b w:val="0"/>
          <w:bCs w:val="0"/>
          <w:color w:val="auto"/>
          <w:sz w:val="32"/>
          <w:szCs w:val="32"/>
          <w:highlight w:val="none"/>
          <w:u w:val="none" w:color="auto"/>
          <w:lang w:val="en-US" w:eastAsia="zh-CN"/>
        </w:rPr>
        <w:t>建设现代农牧业高质量发展样板区。</w:t>
      </w:r>
      <w:r>
        <w:rPr>
          <w:rFonts w:hint="eastAsia" w:ascii="仿宋_GB2312" w:hAnsi="黑体" w:eastAsia="仿宋_GB2312" w:cs="Times New Roman"/>
          <w:b w:val="0"/>
          <w:bCs w:val="0"/>
          <w:color w:val="auto"/>
          <w:sz w:val="32"/>
          <w:szCs w:val="32"/>
          <w:highlight w:val="none"/>
          <w:u w:val="none" w:color="auto"/>
          <w:lang w:val="en-US" w:eastAsia="zh-CN"/>
        </w:rPr>
        <w:t>粮食综合生产能力稳步提升，农牧业质量效益和竞争力明显增强，农牧业区域公用品牌影响力进一步扩大，一二三产深度融合，现代农牧业大产业发展格局初步建成。</w:t>
      </w:r>
    </w:p>
    <w:p w14:paraId="687BAA8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u w:val="none" w:color="auto"/>
          <w:lang w:val="en-US" w:eastAsia="zh-CN"/>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仿宋_GB2312" w:hAnsi="仿宋_GB2312" w:eastAsia="仿宋_GB2312" w:cs="仿宋_GB2312"/>
          <w:b w:val="0"/>
          <w:bCs w:val="0"/>
          <w:color w:val="auto"/>
          <w:sz w:val="32"/>
          <w:szCs w:val="32"/>
          <w:highlight w:val="none"/>
          <w:u w:val="none" w:color="auto"/>
          <w:lang w:val="en-US" w:eastAsia="zh-CN"/>
        </w:rPr>
        <w:t>建设绿色能源综合应用先行区。</w:t>
      </w:r>
      <w:r>
        <w:rPr>
          <w:rFonts w:hint="eastAsia" w:ascii="仿宋_GB2312" w:hAnsi="黑体" w:eastAsia="仿宋_GB2312" w:cs="Times New Roman"/>
          <w:b w:val="0"/>
          <w:bCs w:val="0"/>
          <w:color w:val="auto"/>
          <w:sz w:val="32"/>
          <w:szCs w:val="32"/>
          <w:highlight w:val="none"/>
          <w:u w:val="none" w:color="auto"/>
          <w:lang w:val="en-US" w:eastAsia="zh-CN"/>
        </w:rPr>
        <w:t>以风光氢储为支撑的新能源产业成为重要支柱产业，以多能平衡互济、源荷高效匹配、</w:t>
      </w:r>
      <w:r>
        <w:rPr>
          <w:rFonts w:hint="eastAsia" w:ascii="仿宋_GB2312" w:hAnsi="黑体" w:eastAsia="仿宋_GB2312" w:cs="Times New Roman"/>
          <w:b w:val="0"/>
          <w:bCs w:val="0"/>
          <w:i w:val="0"/>
          <w:iCs w:val="0"/>
          <w:color w:val="auto"/>
          <w:sz w:val="32"/>
          <w:szCs w:val="32"/>
          <w:highlight w:val="none"/>
          <w:u w:val="none" w:color="auto"/>
          <w:lang w:val="en-US" w:eastAsia="zh-CN"/>
        </w:rPr>
        <w:t>电网智能通畅、</w:t>
      </w:r>
      <w:r>
        <w:rPr>
          <w:rFonts w:hint="eastAsia" w:ascii="仿宋_GB2312" w:hAnsi="黑体" w:eastAsia="仿宋_GB2312" w:cs="Times New Roman"/>
          <w:b w:val="0"/>
          <w:bCs w:val="0"/>
          <w:color w:val="auto"/>
          <w:sz w:val="32"/>
          <w:szCs w:val="32"/>
          <w:highlight w:val="none"/>
          <w:u w:val="none" w:color="auto"/>
          <w:lang w:val="en-US" w:eastAsia="zh-CN"/>
        </w:rPr>
        <w:t>新能源就地消纳为主要特征的“新能源+”产业发展模式初步成型，承接高载能产业转移成果显著，成为全国重</w:t>
      </w:r>
      <w:r>
        <w:rPr>
          <w:rFonts w:hint="default" w:ascii="Times New Roman" w:hAnsi="Times New Roman" w:eastAsia="仿宋_GB2312" w:cs="Times New Roman"/>
          <w:b w:val="0"/>
          <w:bCs w:val="0"/>
          <w:color w:val="auto"/>
          <w:sz w:val="32"/>
          <w:szCs w:val="32"/>
          <w:highlight w:val="none"/>
          <w:u w:val="none" w:color="auto"/>
          <w:lang w:val="en-US" w:eastAsia="zh-CN"/>
        </w:rPr>
        <w:t>要</w:t>
      </w:r>
      <w:r>
        <w:rPr>
          <w:rFonts w:hint="eastAsia" w:ascii="Times New Roman" w:hAnsi="Times New Roman" w:eastAsia="仿宋_GB2312" w:cs="Times New Roman"/>
          <w:b w:val="0"/>
          <w:bCs w:val="0"/>
          <w:color w:val="auto"/>
          <w:sz w:val="32"/>
          <w:szCs w:val="32"/>
          <w:highlight w:val="none"/>
          <w:u w:val="none" w:color="auto"/>
          <w:lang w:val="en-US" w:eastAsia="zh-CN"/>
        </w:rPr>
        <w:t>的</w:t>
      </w:r>
      <w:r>
        <w:rPr>
          <w:rFonts w:hint="default" w:ascii="Times New Roman" w:hAnsi="Times New Roman" w:eastAsia="仿宋_GB2312" w:cs="Times New Roman"/>
          <w:b w:val="0"/>
          <w:bCs w:val="0"/>
          <w:color w:val="auto"/>
          <w:sz w:val="32"/>
          <w:szCs w:val="32"/>
          <w:highlight w:val="none"/>
          <w:u w:val="none" w:color="auto"/>
          <w:lang w:val="en-US" w:eastAsia="zh-CN"/>
        </w:rPr>
        <w:t>现代能源产业基地。</w:t>
      </w:r>
    </w:p>
    <w:p w14:paraId="290E58C4">
      <w:pPr>
        <w:keepNext w:val="0"/>
        <w:keepLines w:val="0"/>
        <w:pageBreakBefore w:val="0"/>
        <w:widowControl w:val="0"/>
        <w:numPr>
          <w:ilvl w:val="0"/>
          <w:numId w:val="0"/>
        </w:numPr>
        <w:shd w:val="clear" w:color="auto" w:fill="auto"/>
        <w:kinsoku/>
        <w:wordWrap/>
        <w:topLinePunct w:val="0"/>
        <w:autoSpaceDE/>
        <w:autoSpaceDN/>
        <w:bidi w:val="0"/>
        <w:adjustRightInd/>
        <w:snapToGrid/>
        <w:spacing w:line="560" w:lineRule="exact"/>
        <w:ind w:firstLineChars="200"/>
        <w:textAlignment w:val="auto"/>
        <w:rPr>
          <w:rFonts w:hint="eastAsia" w:ascii="仿宋_GB2312" w:hAnsi="黑体" w:eastAsia="仿宋_GB2312" w:cs="Times New Roman"/>
          <w:b w:val="0"/>
          <w:bCs w:val="0"/>
          <w:color w:val="auto"/>
          <w:sz w:val="32"/>
          <w:szCs w:val="32"/>
          <w:highlight w:val="none"/>
          <w:u w:val="none" w:color="auto"/>
          <w:lang w:val="en-US" w:eastAsia="zh-CN"/>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仿宋_GB2312" w:hAnsi="仿宋_GB2312" w:eastAsia="仿宋_GB2312" w:cs="仿宋_GB2312"/>
          <w:b w:val="0"/>
          <w:bCs w:val="0"/>
          <w:color w:val="auto"/>
          <w:sz w:val="32"/>
          <w:szCs w:val="32"/>
          <w:highlight w:val="none"/>
          <w:u w:val="none" w:color="auto"/>
          <w:lang w:val="en-US" w:eastAsia="zh-CN"/>
        </w:rPr>
        <w:t>建设文旅体农商融合发展引领区。</w:t>
      </w:r>
      <w:r>
        <w:rPr>
          <w:rFonts w:hint="eastAsia" w:ascii="仿宋_GB2312" w:hAnsi="黑体" w:eastAsia="仿宋_GB2312" w:cs="Times New Roman"/>
          <w:b w:val="0"/>
          <w:bCs w:val="0"/>
          <w:color w:val="auto"/>
          <w:sz w:val="32"/>
          <w:szCs w:val="32"/>
          <w:highlight w:val="none"/>
          <w:u w:val="none" w:color="auto"/>
          <w:lang w:val="en-US" w:eastAsia="zh-CN"/>
        </w:rPr>
        <w:t>旅游产品供给和品牌影响力大幅提升，文旅体农商融合的业态更加丰富，点线面串联贯通的融合发展格局初步形成，文旅产业成为驱动区域经济高质量发展的重要引擎和群众增收致富的重要支柱。</w:t>
      </w:r>
    </w:p>
    <w:p w14:paraId="620FD0EC">
      <w:pPr>
        <w:keepNext w:val="0"/>
        <w:keepLines w:val="0"/>
        <w:pageBreakBefore w:val="0"/>
        <w:widowControl w:val="0"/>
        <w:numPr>
          <w:ilvl w:val="0"/>
          <w:numId w:val="0"/>
        </w:numPr>
        <w:shd w:val="clear" w:color="auto" w:fill="auto"/>
        <w:kinsoku/>
        <w:wordWrap/>
        <w:topLinePunct w:val="0"/>
        <w:autoSpaceDE/>
        <w:autoSpaceDN/>
        <w:bidi w:val="0"/>
        <w:adjustRightInd/>
        <w:snapToGrid/>
        <w:spacing w:line="560" w:lineRule="exact"/>
        <w:ind w:firstLineChars="200"/>
        <w:textAlignment w:val="auto"/>
        <w:rPr>
          <w:rFonts w:hint="eastAsia" w:ascii="仿宋_GB2312" w:hAnsi="黑体" w:eastAsia="仿宋_GB2312" w:cs="Times New Roman"/>
          <w:b w:val="0"/>
          <w:bCs w:val="0"/>
          <w:color w:val="auto"/>
          <w:sz w:val="32"/>
          <w:szCs w:val="32"/>
          <w:highlight w:val="none"/>
          <w:u w:val="none" w:color="auto"/>
          <w:lang w:val="en-US" w:eastAsia="zh-CN"/>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仿宋_GB2312" w:hAnsi="仿宋_GB2312" w:eastAsia="仿宋_GB2312" w:cs="仿宋_GB2312"/>
          <w:b w:val="0"/>
          <w:bCs w:val="0"/>
          <w:color w:val="auto"/>
          <w:sz w:val="32"/>
          <w:szCs w:val="32"/>
          <w:highlight w:val="none"/>
          <w:u w:val="none" w:color="auto"/>
          <w:lang w:val="en-US" w:eastAsia="zh-CN"/>
        </w:rPr>
        <w:t>建设区域性现代物流核心区。</w:t>
      </w:r>
      <w:r>
        <w:rPr>
          <w:rFonts w:hint="eastAsia" w:ascii="仿宋_GB2312" w:hAnsi="黑体" w:eastAsia="仿宋_GB2312" w:cs="Times New Roman"/>
          <w:b w:val="0"/>
          <w:bCs w:val="0"/>
          <w:color w:val="auto"/>
          <w:sz w:val="32"/>
          <w:szCs w:val="32"/>
          <w:highlight w:val="none"/>
          <w:u w:val="none" w:color="auto"/>
          <w:lang w:val="en-US" w:eastAsia="zh-CN"/>
        </w:rPr>
        <w:t>商贸服务型国家物流枢纽承载城市、国家现代流通战略支点城市、全国性邮政快递枢纽承载城市建设取得明显进展，现代化商贸物流体系更加健全，成为“服务蒙东、辐射全国、融入国际”的现代物流枢纽城市。</w:t>
      </w:r>
    </w:p>
    <w:p w14:paraId="544DCA79">
      <w:pPr>
        <w:pStyle w:val="43"/>
        <w:keepNext w:val="0"/>
        <w:keepLines w:val="0"/>
        <w:pageBreakBefore w:val="0"/>
        <w:widowControl w:val="0"/>
        <w:shd w:val="clear" w:color="auto" w:fill="auto"/>
        <w:kinsoku/>
        <w:wordWrap/>
        <w:topLinePunct w:val="0"/>
        <w:autoSpaceDE/>
        <w:autoSpaceDN/>
        <w:bidi w:val="0"/>
        <w:adjustRightInd/>
        <w:snapToGrid/>
        <w:spacing w:line="560" w:lineRule="exact"/>
        <w:ind w:firstLine="643"/>
        <w:textAlignment w:val="auto"/>
        <w:rPr>
          <w:rFonts w:hint="eastAsia" w:ascii="仿宋_GB2312" w:hAnsi="黑体" w:eastAsia="仿宋_GB2312" w:cs="Times New Roman"/>
          <w:b w:val="0"/>
          <w:bCs w:val="0"/>
          <w:color w:val="auto"/>
          <w:sz w:val="32"/>
          <w:szCs w:val="32"/>
          <w:highlight w:val="none"/>
          <w:u w:val="none" w:color="auto"/>
          <w:lang w:val="en-US" w:eastAsia="zh-CN"/>
        </w:rPr>
      </w:pPr>
      <w:r>
        <w:rPr>
          <w:rFonts w:hint="eastAsia" w:ascii="Times New Roman" w:hAnsi="Times New Roman" w:eastAsia="仿宋_GB2312" w:cs="方正仿宋_GBK"/>
          <w:b w:val="0"/>
          <w:bCs w:val="0"/>
          <w:spacing w:val="0"/>
          <w:szCs w:val="36"/>
          <w:highlight w:val="none"/>
          <w:lang w:val="en-US" w:eastAsia="zh-CN"/>
        </w:rPr>
        <w:t>在“十五五”基础上再奋斗五年，到二〇三五年全市综合经济实力大幅跃升，经济总量、人均地区生产总值和城乡居民收入迈上新台阶，中华民族共同体意识更加深入人心，共同富裕取得更为明显的实质性进展，为自治区</w:t>
      </w:r>
      <w:r>
        <w:rPr>
          <w:rFonts w:hint="eastAsia" w:eastAsia="仿宋_GB2312" w:cs="方正仿宋_GBK"/>
          <w:b w:val="0"/>
          <w:bCs w:val="0"/>
          <w:spacing w:val="0"/>
          <w:szCs w:val="36"/>
          <w:highlight w:val="none"/>
          <w:lang w:val="en-US" w:eastAsia="zh-CN"/>
        </w:rPr>
        <w:t>“两个稳居”、</w:t>
      </w:r>
      <w:r>
        <w:rPr>
          <w:rFonts w:hint="eastAsia" w:ascii="Times New Roman" w:hAnsi="Times New Roman" w:eastAsia="仿宋_GB2312" w:cs="方正仿宋_GBK"/>
          <w:b w:val="0"/>
          <w:bCs w:val="0"/>
          <w:spacing w:val="0"/>
          <w:szCs w:val="36"/>
          <w:highlight w:val="none"/>
          <w:lang w:val="en-US" w:eastAsia="zh-CN"/>
        </w:rPr>
        <w:t>“两个继续走在前列”作出更大贡献，与全国全区一道基本实现社会主义现代化</w:t>
      </w:r>
      <w:r>
        <w:rPr>
          <w:rFonts w:hint="eastAsia" w:ascii="Times New Roman" w:hAnsi="Times New Roman" w:eastAsia="仿宋_GB2312" w:cs="方正仿宋_GBK"/>
          <w:b w:val="0"/>
          <w:bCs w:val="0"/>
          <w:spacing w:val="0"/>
          <w:szCs w:val="36"/>
          <w:highlight w:val="none"/>
        </w:rPr>
        <w:t>。</w:t>
      </w:r>
    </w:p>
    <w:p w14:paraId="7DE48169">
      <w:pPr>
        <w:pStyle w:val="32"/>
        <w:rPr>
          <w:rFonts w:hint="eastAsia" w:ascii="仿宋_GB2312" w:hAnsi="黑体" w:eastAsia="仿宋_GB2312" w:cs="Times New Roman"/>
          <w:b w:val="0"/>
          <w:bCs w:val="0"/>
          <w:color w:val="auto"/>
          <w:sz w:val="32"/>
          <w:szCs w:val="32"/>
          <w:highlight w:val="none"/>
          <w:u w:val="none" w:color="auto"/>
          <w:lang w:val="en-US" w:eastAsia="zh-CN"/>
        </w:rPr>
      </w:pPr>
    </w:p>
    <w:p w14:paraId="20F37812">
      <w:pPr>
        <w:pStyle w:val="32"/>
        <w:rPr>
          <w:rFonts w:hint="eastAsia" w:ascii="仿宋_GB2312" w:hAnsi="黑体" w:eastAsia="仿宋_GB2312" w:cs="Times New Roman"/>
          <w:b w:val="0"/>
          <w:bCs w:val="0"/>
          <w:color w:val="auto"/>
          <w:sz w:val="32"/>
          <w:szCs w:val="32"/>
          <w:highlight w:val="none"/>
          <w:u w:val="none" w:color="auto"/>
          <w:lang w:val="en-US" w:eastAsia="zh-CN"/>
        </w:rPr>
        <w:sectPr>
          <w:footerReference r:id="rId14" w:type="default"/>
          <w:footerReference r:id="rId15" w:type="even"/>
          <w:pgSz w:w="11906" w:h="16838"/>
          <w:pgMar w:top="2098" w:right="1474" w:bottom="1984" w:left="1587" w:header="851" w:footer="992" w:gutter="0"/>
          <w:pgNumType w:fmt="numberInDash" w:start="1"/>
          <w:cols w:space="720" w:num="1"/>
          <w:docGrid w:type="lines" w:linePitch="312" w:charSpace="0"/>
        </w:sectPr>
      </w:pPr>
    </w:p>
    <w:tbl>
      <w:tblPr>
        <w:tblStyle w:val="25"/>
        <w:tblW w:w="104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615"/>
        <w:gridCol w:w="1359"/>
        <w:gridCol w:w="1560"/>
        <w:gridCol w:w="1080"/>
        <w:gridCol w:w="912"/>
        <w:gridCol w:w="1160"/>
        <w:gridCol w:w="1930"/>
        <w:gridCol w:w="1013"/>
      </w:tblGrid>
      <w:tr w14:paraId="7BA29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0445" w:type="dxa"/>
            <w:gridSpan w:val="9"/>
            <w:noWrap w:val="0"/>
            <w:vAlign w:val="center"/>
          </w:tcPr>
          <w:p w14:paraId="5C531118">
            <w:pPr>
              <w:widowControl/>
              <w:shd w:val="clear" w:color="auto" w:fill="auto"/>
              <w:snapToGrid w:val="0"/>
              <w:spacing w:line="240" w:lineRule="atLeast"/>
              <w:jc w:val="center"/>
              <w:rPr>
                <w:rFonts w:hint="default" w:ascii="Times New Roman" w:hAnsi="Times New Roman" w:eastAsia="黑体" w:cs="Times New Roman"/>
                <w:b w:val="0"/>
                <w:bCs w:val="0"/>
                <w:kern w:val="0"/>
                <w:szCs w:val="21"/>
                <w:highlight w:val="none"/>
                <w:lang w:val="en-US" w:eastAsia="zh-CN"/>
              </w:rPr>
            </w:pPr>
            <w:r>
              <w:rPr>
                <w:rFonts w:hint="eastAsia" w:ascii="Times New Roman" w:hAnsi="Times New Roman" w:eastAsia="黑体" w:cs="Times New Roman"/>
                <w:b w:val="0"/>
                <w:bCs w:val="0"/>
                <w:kern w:val="0"/>
                <w:sz w:val="28"/>
                <w:szCs w:val="28"/>
                <w:highlight w:val="none"/>
                <w:lang w:val="en-US" w:eastAsia="zh-CN"/>
              </w:rPr>
              <w:t>专栏1 赤峰市“十五五”时期经济社会发展主要指标</w:t>
            </w:r>
          </w:p>
        </w:tc>
      </w:tr>
      <w:tr w14:paraId="6960A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16" w:type="dxa"/>
            <w:noWrap w:val="0"/>
            <w:vAlign w:val="center"/>
          </w:tcPr>
          <w:p w14:paraId="0DBE252A">
            <w:pPr>
              <w:shd w:val="clear" w:color="auto" w:fill="auto"/>
              <w:snapToGrid w:val="0"/>
              <w:spacing w:line="240" w:lineRule="atLeast"/>
              <w:jc w:val="center"/>
              <w:rPr>
                <w:rFonts w:hint="default" w:ascii="Times New Roman" w:hAnsi="Times New Roman" w:eastAsia="黑体" w:cs="Times New Roman"/>
                <w:b w:val="0"/>
                <w:bCs w:val="0"/>
                <w:kern w:val="0"/>
                <w:szCs w:val="21"/>
                <w:highlight w:val="none"/>
              </w:rPr>
            </w:pPr>
            <w:r>
              <w:rPr>
                <w:rFonts w:hint="default" w:ascii="Times New Roman" w:hAnsi="Times New Roman" w:eastAsia="黑体" w:cs="Times New Roman"/>
                <w:b w:val="0"/>
                <w:bCs w:val="0"/>
                <w:kern w:val="0"/>
                <w:szCs w:val="21"/>
                <w:highlight w:val="none"/>
              </w:rPr>
              <w:t>类型</w:t>
            </w:r>
          </w:p>
        </w:tc>
        <w:tc>
          <w:tcPr>
            <w:tcW w:w="615" w:type="dxa"/>
            <w:noWrap w:val="0"/>
            <w:vAlign w:val="center"/>
          </w:tcPr>
          <w:p w14:paraId="0D029B96">
            <w:pPr>
              <w:shd w:val="clear" w:color="auto" w:fill="auto"/>
              <w:snapToGrid w:val="0"/>
              <w:spacing w:line="240" w:lineRule="atLeast"/>
              <w:ind w:left="-34" w:leftChars="-16" w:right="-65" w:rightChars="-31"/>
              <w:jc w:val="center"/>
              <w:rPr>
                <w:rFonts w:hint="default" w:ascii="Times New Roman" w:hAnsi="Times New Roman" w:eastAsia="黑体" w:cs="Times New Roman"/>
                <w:b w:val="0"/>
                <w:bCs w:val="0"/>
                <w:kern w:val="0"/>
                <w:szCs w:val="21"/>
                <w:highlight w:val="none"/>
              </w:rPr>
            </w:pPr>
            <w:r>
              <w:rPr>
                <w:rFonts w:hint="default" w:ascii="Times New Roman" w:hAnsi="Times New Roman" w:eastAsia="黑体" w:cs="Times New Roman"/>
                <w:b w:val="0"/>
                <w:bCs w:val="0"/>
                <w:kern w:val="0"/>
                <w:szCs w:val="21"/>
                <w:highlight w:val="none"/>
              </w:rPr>
              <w:t>序号</w:t>
            </w:r>
          </w:p>
        </w:tc>
        <w:tc>
          <w:tcPr>
            <w:tcW w:w="3999" w:type="dxa"/>
            <w:gridSpan w:val="3"/>
            <w:noWrap w:val="0"/>
            <w:vAlign w:val="center"/>
          </w:tcPr>
          <w:p w14:paraId="160DB0BE">
            <w:pPr>
              <w:shd w:val="clear" w:color="auto" w:fill="auto"/>
              <w:snapToGrid w:val="0"/>
              <w:spacing w:line="240" w:lineRule="atLeast"/>
              <w:jc w:val="center"/>
              <w:rPr>
                <w:rFonts w:hint="default" w:ascii="Times New Roman" w:hAnsi="Times New Roman" w:eastAsia="黑体" w:cs="Times New Roman"/>
                <w:b w:val="0"/>
                <w:bCs w:val="0"/>
                <w:kern w:val="0"/>
                <w:szCs w:val="21"/>
                <w:highlight w:val="none"/>
              </w:rPr>
            </w:pPr>
            <w:r>
              <w:rPr>
                <w:rFonts w:hint="default" w:ascii="Times New Roman" w:hAnsi="Times New Roman" w:eastAsia="黑体" w:cs="Times New Roman"/>
                <w:b w:val="0"/>
                <w:bCs w:val="0"/>
                <w:kern w:val="0"/>
                <w:szCs w:val="21"/>
                <w:highlight w:val="none"/>
              </w:rPr>
              <w:t>指标名称</w:t>
            </w:r>
          </w:p>
        </w:tc>
        <w:tc>
          <w:tcPr>
            <w:tcW w:w="912" w:type="dxa"/>
            <w:noWrap w:val="0"/>
            <w:vAlign w:val="center"/>
          </w:tcPr>
          <w:p w14:paraId="48199A49">
            <w:pPr>
              <w:shd w:val="clear" w:color="auto" w:fill="auto"/>
              <w:snapToGrid w:val="0"/>
              <w:spacing w:line="240" w:lineRule="atLeast"/>
              <w:jc w:val="center"/>
              <w:rPr>
                <w:rFonts w:hint="default" w:ascii="Times New Roman" w:hAnsi="Times New Roman" w:eastAsia="黑体" w:cs="Times New Roman"/>
                <w:b w:val="0"/>
                <w:bCs w:val="0"/>
                <w:kern w:val="0"/>
                <w:szCs w:val="21"/>
                <w:highlight w:val="none"/>
                <w:lang w:val="en-US" w:eastAsia="zh-CN"/>
              </w:rPr>
            </w:pPr>
            <w:r>
              <w:rPr>
                <w:rFonts w:hint="eastAsia" w:ascii="Times New Roman" w:hAnsi="Times New Roman" w:eastAsia="黑体" w:cs="Times New Roman"/>
                <w:b w:val="0"/>
                <w:bCs w:val="0"/>
                <w:kern w:val="0"/>
                <w:szCs w:val="21"/>
                <w:highlight w:val="none"/>
                <w:lang w:val="en-US" w:eastAsia="zh-CN"/>
              </w:rPr>
              <w:t>2025年</w:t>
            </w:r>
          </w:p>
        </w:tc>
        <w:tc>
          <w:tcPr>
            <w:tcW w:w="1160" w:type="dxa"/>
            <w:noWrap w:val="0"/>
            <w:vAlign w:val="center"/>
          </w:tcPr>
          <w:p w14:paraId="04D16F96">
            <w:pPr>
              <w:shd w:val="clear" w:color="auto" w:fill="auto"/>
              <w:snapToGrid w:val="0"/>
              <w:spacing w:line="240" w:lineRule="atLeast"/>
              <w:jc w:val="center"/>
              <w:rPr>
                <w:rFonts w:hint="default" w:ascii="Times New Roman" w:hAnsi="Times New Roman" w:eastAsia="黑体" w:cs="Times New Roman"/>
                <w:b w:val="0"/>
                <w:bCs w:val="0"/>
                <w:kern w:val="0"/>
                <w:szCs w:val="21"/>
                <w:highlight w:val="none"/>
                <w:lang w:val="en-US" w:eastAsia="zh-CN"/>
              </w:rPr>
            </w:pPr>
            <w:r>
              <w:rPr>
                <w:rFonts w:hint="eastAsia" w:ascii="Times New Roman" w:hAnsi="Times New Roman" w:eastAsia="黑体" w:cs="Times New Roman"/>
                <w:b w:val="0"/>
                <w:bCs w:val="0"/>
                <w:kern w:val="0"/>
                <w:szCs w:val="21"/>
                <w:highlight w:val="none"/>
                <w:lang w:val="en-US" w:eastAsia="zh-CN"/>
              </w:rPr>
              <w:t>2030年</w:t>
            </w:r>
          </w:p>
        </w:tc>
        <w:tc>
          <w:tcPr>
            <w:tcW w:w="1930" w:type="dxa"/>
            <w:noWrap w:val="0"/>
            <w:vAlign w:val="center"/>
          </w:tcPr>
          <w:p w14:paraId="08C4D313">
            <w:pPr>
              <w:shd w:val="clear" w:color="auto" w:fill="auto"/>
              <w:snapToGrid w:val="0"/>
              <w:spacing w:line="240" w:lineRule="atLeast"/>
              <w:jc w:val="center"/>
              <w:rPr>
                <w:rFonts w:hint="default" w:ascii="Times New Roman" w:hAnsi="Times New Roman" w:eastAsia="黑体" w:cs="Times New Roman"/>
                <w:b w:val="0"/>
                <w:bCs w:val="0"/>
                <w:kern w:val="0"/>
                <w:szCs w:val="21"/>
                <w:highlight w:val="none"/>
                <w:lang w:val="en-US" w:eastAsia="zh-CN"/>
              </w:rPr>
            </w:pPr>
            <w:r>
              <w:rPr>
                <w:rFonts w:hint="eastAsia" w:ascii="Times New Roman" w:hAnsi="Times New Roman" w:eastAsia="黑体" w:cs="Times New Roman"/>
                <w:b w:val="0"/>
                <w:bCs w:val="0"/>
                <w:kern w:val="0"/>
                <w:szCs w:val="21"/>
                <w:highlight w:val="none"/>
                <w:lang w:val="en-US" w:eastAsia="zh-CN"/>
              </w:rPr>
              <w:t>年均/累计</w:t>
            </w:r>
          </w:p>
        </w:tc>
        <w:tc>
          <w:tcPr>
            <w:tcW w:w="1013" w:type="dxa"/>
            <w:noWrap w:val="0"/>
            <w:vAlign w:val="center"/>
          </w:tcPr>
          <w:p w14:paraId="40AFA71C">
            <w:pPr>
              <w:widowControl/>
              <w:shd w:val="clear" w:color="auto" w:fill="auto"/>
              <w:snapToGrid w:val="0"/>
              <w:spacing w:line="240" w:lineRule="atLeast"/>
              <w:jc w:val="center"/>
              <w:rPr>
                <w:rFonts w:hint="default" w:ascii="Times New Roman" w:hAnsi="Times New Roman" w:eastAsia="黑体" w:cs="Times New Roman"/>
                <w:b w:val="0"/>
                <w:bCs w:val="0"/>
                <w:kern w:val="0"/>
                <w:szCs w:val="21"/>
                <w:highlight w:val="none"/>
              </w:rPr>
            </w:pPr>
            <w:r>
              <w:rPr>
                <w:rFonts w:hint="default" w:ascii="Times New Roman" w:hAnsi="Times New Roman" w:eastAsia="黑体" w:cs="Times New Roman"/>
                <w:b w:val="0"/>
                <w:bCs w:val="0"/>
                <w:kern w:val="0"/>
                <w:szCs w:val="21"/>
                <w:highlight w:val="none"/>
              </w:rPr>
              <w:t>属性</w:t>
            </w:r>
          </w:p>
        </w:tc>
      </w:tr>
      <w:tr w14:paraId="02856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6" w:type="dxa"/>
            <w:vMerge w:val="restart"/>
            <w:shd w:val="clear" w:color="auto" w:fill="auto"/>
            <w:noWrap w:val="0"/>
            <w:vAlign w:val="center"/>
          </w:tcPr>
          <w:p w14:paraId="3CF75B8C">
            <w:pPr>
              <w:widowControl/>
              <w:shd w:val="clear" w:color="auto" w:fill="auto"/>
              <w:snapToGrid w:val="0"/>
              <w:spacing w:line="240" w:lineRule="atLeast"/>
              <w:jc w:val="center"/>
              <w:rPr>
                <w:rFonts w:hint="default" w:ascii="Times New Roman" w:hAnsi="Times New Roman" w:eastAsia="黑体" w:cs="Times New Roman"/>
                <w:b w:val="0"/>
                <w:bCs w:val="0"/>
                <w:kern w:val="0"/>
                <w:sz w:val="21"/>
                <w:szCs w:val="21"/>
                <w:highlight w:val="none"/>
                <w:lang w:val="en-US" w:eastAsia="zh-CN" w:bidi="ar-SA"/>
              </w:rPr>
            </w:pPr>
            <w:r>
              <w:rPr>
                <w:rFonts w:hint="default" w:ascii="Times New Roman" w:hAnsi="Times New Roman" w:eastAsia="黑体" w:cs="Times New Roman"/>
                <w:b w:val="0"/>
                <w:bCs w:val="0"/>
                <w:kern w:val="0"/>
                <w:szCs w:val="21"/>
                <w:highlight w:val="none"/>
              </w:rPr>
              <w:t>经济发展</w:t>
            </w:r>
          </w:p>
          <w:p w14:paraId="76E1EFA4">
            <w:pPr>
              <w:widowControl/>
              <w:shd w:val="clear" w:color="auto" w:fill="auto"/>
              <w:snapToGrid w:val="0"/>
              <w:spacing w:line="240" w:lineRule="atLeast"/>
              <w:jc w:val="center"/>
              <w:rPr>
                <w:rFonts w:hint="default" w:ascii="Times New Roman" w:hAnsi="Times New Roman" w:eastAsia="黑体" w:cs="Times New Roman"/>
                <w:b w:val="0"/>
                <w:bCs w:val="0"/>
                <w:kern w:val="0"/>
                <w:szCs w:val="21"/>
                <w:highlight w:val="none"/>
              </w:rPr>
            </w:pPr>
          </w:p>
        </w:tc>
        <w:tc>
          <w:tcPr>
            <w:tcW w:w="615" w:type="dxa"/>
            <w:shd w:val="clear" w:color="auto" w:fill="auto"/>
            <w:noWrap w:val="0"/>
            <w:tcMar>
              <w:left w:w="28" w:type="dxa"/>
              <w:right w:w="28" w:type="dxa"/>
            </w:tcMar>
            <w:vAlign w:val="center"/>
          </w:tcPr>
          <w:p w14:paraId="1F2BC75A">
            <w:pPr>
              <w:widowControl/>
              <w:shd w:val="clear" w:color="auto" w:fill="auto"/>
              <w:snapToGrid w:val="0"/>
              <w:spacing w:line="240" w:lineRule="atLeast"/>
              <w:jc w:val="center"/>
              <w:rPr>
                <w:rFonts w:hint="default" w:ascii="Times New Roman" w:hAnsi="Times New Roman" w:eastAsia="方正仿宋_GB2312" w:cs="Times New Roman"/>
                <w:b w:val="0"/>
                <w:bCs w:val="0"/>
                <w:kern w:val="0"/>
                <w:sz w:val="21"/>
                <w:szCs w:val="21"/>
                <w:highlight w:val="none"/>
                <w:lang w:val="en-US" w:eastAsia="zh-CN" w:bidi="ar-SA"/>
              </w:rPr>
            </w:pPr>
            <w:r>
              <w:rPr>
                <w:rFonts w:hint="default" w:ascii="Times New Roman" w:hAnsi="Times New Roman" w:eastAsia="方正仿宋_GB2312" w:cs="Times New Roman"/>
                <w:b w:val="0"/>
                <w:bCs w:val="0"/>
                <w:kern w:val="0"/>
                <w:szCs w:val="21"/>
                <w:highlight w:val="none"/>
              </w:rPr>
              <w:t>1</w:t>
            </w:r>
          </w:p>
        </w:tc>
        <w:tc>
          <w:tcPr>
            <w:tcW w:w="3999" w:type="dxa"/>
            <w:gridSpan w:val="3"/>
            <w:shd w:val="clear" w:color="auto" w:fill="auto"/>
            <w:noWrap w:val="0"/>
            <w:tcMar>
              <w:left w:w="57" w:type="dxa"/>
              <w:right w:w="57" w:type="dxa"/>
            </w:tcMar>
            <w:vAlign w:val="center"/>
          </w:tcPr>
          <w:p w14:paraId="4426CA01">
            <w:pPr>
              <w:widowControl/>
              <w:shd w:val="clear" w:color="auto" w:fill="auto"/>
              <w:snapToGrid w:val="0"/>
              <w:spacing w:line="240" w:lineRule="atLeast"/>
              <w:jc w:val="left"/>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rPr>
              <w:t>地区生产总值增长</w:t>
            </w:r>
            <w:r>
              <w:rPr>
                <w:rFonts w:hint="eastAsia" w:ascii="Times New Roman" w:hAnsi="Times New Roman" w:eastAsia="仿宋_GB2312" w:cs="方正仿宋_GBK"/>
                <w:b w:val="0"/>
                <w:bCs w:val="0"/>
                <w:szCs w:val="21"/>
                <w:highlight w:val="none"/>
                <w:lang w:eastAsia="zh-CN"/>
              </w:rPr>
              <w:t>（</w:t>
            </w:r>
            <w:r>
              <w:rPr>
                <w:rFonts w:hint="default" w:ascii="Times New Roman" w:hAnsi="Times New Roman" w:eastAsia="方正仿宋_GB2312" w:cs="Times New Roman"/>
                <w:b w:val="0"/>
                <w:bCs w:val="0"/>
                <w:szCs w:val="21"/>
                <w:highlight w:val="none"/>
              </w:rPr>
              <w:t>%</w:t>
            </w:r>
            <w:r>
              <w:rPr>
                <w:rFonts w:hint="eastAsia" w:ascii="Times New Roman" w:hAnsi="Times New Roman" w:eastAsia="仿宋_GB2312" w:cs="方正仿宋_GBK"/>
                <w:b w:val="0"/>
                <w:bCs w:val="0"/>
                <w:szCs w:val="21"/>
                <w:highlight w:val="none"/>
                <w:lang w:eastAsia="zh-CN"/>
              </w:rPr>
              <w:t>）</w:t>
            </w:r>
          </w:p>
        </w:tc>
        <w:tc>
          <w:tcPr>
            <w:tcW w:w="912" w:type="dxa"/>
            <w:shd w:val="clear" w:color="auto" w:fill="auto"/>
            <w:noWrap w:val="0"/>
            <w:vAlign w:val="center"/>
          </w:tcPr>
          <w:p w14:paraId="652D3989">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4.9</w:t>
            </w:r>
          </w:p>
        </w:tc>
        <w:tc>
          <w:tcPr>
            <w:tcW w:w="1160" w:type="dxa"/>
            <w:shd w:val="clear" w:color="auto" w:fill="auto"/>
            <w:noWrap w:val="0"/>
            <w:vAlign w:val="center"/>
          </w:tcPr>
          <w:p w14:paraId="4F8104A2">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930" w:type="dxa"/>
            <w:shd w:val="clear" w:color="auto" w:fill="auto"/>
            <w:noWrap w:val="0"/>
            <w:vAlign w:val="center"/>
          </w:tcPr>
          <w:p w14:paraId="6298D21B">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szCs w:val="21"/>
                <w:highlight w:val="none"/>
                <w:lang w:val="en-US" w:eastAsia="zh-CN"/>
              </w:rPr>
              <w:t>5.5</w:t>
            </w:r>
          </w:p>
        </w:tc>
        <w:tc>
          <w:tcPr>
            <w:tcW w:w="1013" w:type="dxa"/>
            <w:shd w:val="clear" w:color="auto" w:fill="auto"/>
            <w:noWrap w:val="0"/>
            <w:vAlign w:val="center"/>
          </w:tcPr>
          <w:p w14:paraId="6A0BF602">
            <w:pPr>
              <w:widowControl/>
              <w:shd w:val="clear" w:color="auto" w:fill="auto"/>
              <w:snapToGrid w:val="0"/>
              <w:spacing w:line="240" w:lineRule="atLeast"/>
              <w:jc w:val="center"/>
              <w:rPr>
                <w:rFonts w:hint="eastAsia" w:ascii="Times New Roman" w:hAnsi="Times New Roman" w:eastAsia="方正仿宋_GBK" w:cs="方正仿宋_GBK"/>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rPr>
              <w:t>预期性</w:t>
            </w:r>
          </w:p>
        </w:tc>
      </w:tr>
      <w:tr w14:paraId="2A8CA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6" w:type="dxa"/>
            <w:vMerge w:val="continue"/>
            <w:noWrap w:val="0"/>
            <w:vAlign w:val="center"/>
          </w:tcPr>
          <w:p w14:paraId="5131DF58">
            <w:pPr>
              <w:widowControl/>
              <w:shd w:val="clear" w:color="auto" w:fill="auto"/>
              <w:snapToGrid w:val="0"/>
              <w:spacing w:line="240" w:lineRule="atLeast"/>
              <w:jc w:val="center"/>
              <w:rPr>
                <w:rFonts w:hint="default" w:ascii="Times New Roman" w:hAnsi="Times New Roman" w:eastAsia="黑体" w:cs="Times New Roman"/>
                <w:b w:val="0"/>
                <w:bCs w:val="0"/>
                <w:kern w:val="0"/>
                <w:szCs w:val="21"/>
                <w:highlight w:val="none"/>
              </w:rPr>
            </w:pPr>
          </w:p>
        </w:tc>
        <w:tc>
          <w:tcPr>
            <w:tcW w:w="615" w:type="dxa"/>
            <w:shd w:val="clear" w:color="auto" w:fill="auto"/>
            <w:noWrap w:val="0"/>
            <w:tcMar>
              <w:left w:w="28" w:type="dxa"/>
              <w:right w:w="28" w:type="dxa"/>
            </w:tcMar>
            <w:vAlign w:val="center"/>
          </w:tcPr>
          <w:p w14:paraId="62AD5322">
            <w:pPr>
              <w:widowControl/>
              <w:shd w:val="clear" w:color="auto" w:fill="auto"/>
              <w:snapToGrid w:val="0"/>
              <w:spacing w:line="240" w:lineRule="atLeast"/>
              <w:jc w:val="center"/>
              <w:rPr>
                <w:rFonts w:hint="default" w:ascii="Times New Roman" w:hAnsi="Times New Roman" w:eastAsia="方正仿宋_GB2312" w:cs="Times New Roman"/>
                <w:b w:val="0"/>
                <w:bCs w:val="0"/>
                <w:kern w:val="0"/>
                <w:sz w:val="21"/>
                <w:szCs w:val="21"/>
                <w:highlight w:val="none"/>
                <w:lang w:val="en-US" w:eastAsia="zh-CN" w:bidi="ar-SA"/>
              </w:rPr>
            </w:pPr>
            <w:r>
              <w:rPr>
                <w:rFonts w:hint="default" w:ascii="Times New Roman" w:hAnsi="Times New Roman" w:eastAsia="方正仿宋_GB2312" w:cs="Times New Roman"/>
                <w:b w:val="0"/>
                <w:bCs w:val="0"/>
                <w:kern w:val="0"/>
                <w:szCs w:val="21"/>
                <w:highlight w:val="none"/>
              </w:rPr>
              <w:t>2</w:t>
            </w:r>
          </w:p>
        </w:tc>
        <w:tc>
          <w:tcPr>
            <w:tcW w:w="3999" w:type="dxa"/>
            <w:gridSpan w:val="3"/>
            <w:shd w:val="clear" w:color="auto" w:fill="auto"/>
            <w:noWrap w:val="0"/>
            <w:tcMar>
              <w:left w:w="57" w:type="dxa"/>
              <w:right w:w="57" w:type="dxa"/>
            </w:tcMar>
            <w:vAlign w:val="center"/>
          </w:tcPr>
          <w:p w14:paraId="56192E90">
            <w:pPr>
              <w:widowControl/>
              <w:shd w:val="clear" w:color="auto" w:fill="auto"/>
              <w:snapToGrid w:val="0"/>
              <w:spacing w:line="240" w:lineRule="atLeast"/>
              <w:jc w:val="left"/>
              <w:rPr>
                <w:rFonts w:hint="eastAsia"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rPr>
              <w:t>全员劳动生产率增长</w:t>
            </w:r>
            <w:r>
              <w:rPr>
                <w:rFonts w:hint="eastAsia" w:ascii="Times New Roman" w:hAnsi="Times New Roman" w:eastAsia="方正仿宋_GB2312" w:cs="Times New Roman"/>
                <w:b w:val="0"/>
                <w:bCs w:val="0"/>
                <w:szCs w:val="21"/>
                <w:highlight w:val="none"/>
                <w:lang w:eastAsia="zh-CN"/>
              </w:rPr>
              <w:t>（</w:t>
            </w:r>
            <w:r>
              <w:rPr>
                <w:rFonts w:hint="default" w:ascii="Times New Roman" w:hAnsi="Times New Roman" w:eastAsia="方正仿宋_GB2312" w:cs="Times New Roman"/>
                <w:b w:val="0"/>
                <w:bCs w:val="0"/>
                <w:szCs w:val="21"/>
                <w:highlight w:val="none"/>
              </w:rPr>
              <w:t>%</w:t>
            </w:r>
            <w:r>
              <w:rPr>
                <w:rFonts w:hint="eastAsia" w:ascii="Times New Roman" w:hAnsi="Times New Roman" w:eastAsia="方正仿宋_GB2312" w:cs="Times New Roman"/>
                <w:b w:val="0"/>
                <w:bCs w:val="0"/>
                <w:szCs w:val="21"/>
                <w:highlight w:val="none"/>
                <w:lang w:eastAsia="zh-CN"/>
              </w:rPr>
              <w:t>）</w:t>
            </w:r>
          </w:p>
        </w:tc>
        <w:tc>
          <w:tcPr>
            <w:tcW w:w="912" w:type="dxa"/>
            <w:shd w:val="clear" w:color="auto" w:fill="auto"/>
            <w:noWrap w:val="0"/>
            <w:vAlign w:val="center"/>
          </w:tcPr>
          <w:p w14:paraId="34D36EF6">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6.5</w:t>
            </w:r>
          </w:p>
        </w:tc>
        <w:tc>
          <w:tcPr>
            <w:tcW w:w="1160" w:type="dxa"/>
            <w:shd w:val="clear" w:color="auto" w:fill="auto"/>
            <w:noWrap w:val="0"/>
            <w:vAlign w:val="center"/>
          </w:tcPr>
          <w:p w14:paraId="01F0DAC8">
            <w:pPr>
              <w:widowControl/>
              <w:shd w:val="clear" w:color="auto" w:fill="auto"/>
              <w:snapToGrid w:val="0"/>
              <w:spacing w:line="240" w:lineRule="atLeast"/>
              <w:jc w:val="center"/>
              <w:rPr>
                <w:rFonts w:hint="eastAsia"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930" w:type="dxa"/>
            <w:shd w:val="clear" w:color="auto" w:fill="auto"/>
            <w:noWrap w:val="0"/>
            <w:vAlign w:val="center"/>
          </w:tcPr>
          <w:p w14:paraId="2A1CC420">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仿宋_GB2312" w:hAnsi="仿宋_GB2312" w:eastAsia="仿宋_GB2312" w:cs="仿宋_GB2312"/>
                <w:b w:val="0"/>
                <w:bCs w:val="0"/>
                <w:kern w:val="2"/>
                <w:sz w:val="21"/>
                <w:szCs w:val="21"/>
                <w:highlight w:val="none"/>
                <w:lang w:val="en-US" w:eastAsia="zh-CN" w:bidi="ar-SA"/>
              </w:rPr>
              <w:t>高于GDP增长</w:t>
            </w:r>
          </w:p>
        </w:tc>
        <w:tc>
          <w:tcPr>
            <w:tcW w:w="1013" w:type="dxa"/>
            <w:shd w:val="clear" w:color="auto" w:fill="auto"/>
            <w:noWrap w:val="0"/>
            <w:vAlign w:val="center"/>
          </w:tcPr>
          <w:p w14:paraId="0090F704">
            <w:pPr>
              <w:widowControl/>
              <w:shd w:val="clear" w:color="auto" w:fill="auto"/>
              <w:snapToGrid w:val="0"/>
              <w:spacing w:line="240" w:lineRule="atLeast"/>
              <w:jc w:val="center"/>
              <w:rPr>
                <w:rFonts w:hint="eastAsia" w:ascii="Times New Roman" w:hAnsi="Times New Roman" w:eastAsia="方正仿宋_GBK" w:cs="方正仿宋_GBK"/>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rPr>
              <w:t>预期性</w:t>
            </w:r>
          </w:p>
        </w:tc>
      </w:tr>
      <w:tr w14:paraId="57D09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6" w:type="dxa"/>
            <w:vMerge w:val="continue"/>
            <w:noWrap w:val="0"/>
            <w:vAlign w:val="center"/>
          </w:tcPr>
          <w:p w14:paraId="3D66D9AF">
            <w:pPr>
              <w:widowControl/>
              <w:shd w:val="clear" w:color="auto" w:fill="auto"/>
              <w:snapToGrid w:val="0"/>
              <w:spacing w:line="240" w:lineRule="atLeast"/>
              <w:jc w:val="center"/>
              <w:rPr>
                <w:rFonts w:hint="default" w:ascii="Times New Roman" w:hAnsi="Times New Roman" w:eastAsia="黑体" w:cs="Times New Roman"/>
                <w:b w:val="0"/>
                <w:bCs w:val="0"/>
                <w:kern w:val="0"/>
                <w:szCs w:val="21"/>
                <w:highlight w:val="none"/>
              </w:rPr>
            </w:pPr>
          </w:p>
        </w:tc>
        <w:tc>
          <w:tcPr>
            <w:tcW w:w="615" w:type="dxa"/>
            <w:shd w:val="clear" w:color="auto" w:fill="auto"/>
            <w:noWrap w:val="0"/>
            <w:tcMar>
              <w:left w:w="28" w:type="dxa"/>
              <w:right w:w="28" w:type="dxa"/>
            </w:tcMar>
            <w:vAlign w:val="center"/>
          </w:tcPr>
          <w:p w14:paraId="7B349D05">
            <w:pPr>
              <w:widowControl/>
              <w:shd w:val="clear" w:color="auto" w:fill="auto"/>
              <w:snapToGrid w:val="0"/>
              <w:spacing w:line="240" w:lineRule="atLeast"/>
              <w:jc w:val="center"/>
              <w:rPr>
                <w:rFonts w:hint="default" w:ascii="Times New Roman" w:hAnsi="Times New Roman" w:eastAsia="方正仿宋_GB2312" w:cs="Times New Roman"/>
                <w:b w:val="0"/>
                <w:bCs w:val="0"/>
                <w:kern w:val="0"/>
                <w:sz w:val="21"/>
                <w:szCs w:val="21"/>
                <w:highlight w:val="none"/>
                <w:lang w:val="en-US" w:eastAsia="zh-CN" w:bidi="ar-SA"/>
              </w:rPr>
            </w:pPr>
            <w:r>
              <w:rPr>
                <w:rFonts w:hint="default" w:ascii="Times New Roman" w:hAnsi="Times New Roman" w:eastAsia="方正仿宋_GB2312" w:cs="Times New Roman"/>
                <w:b w:val="0"/>
                <w:bCs w:val="0"/>
                <w:kern w:val="0"/>
                <w:szCs w:val="21"/>
                <w:highlight w:val="none"/>
              </w:rPr>
              <w:t>3</w:t>
            </w:r>
          </w:p>
        </w:tc>
        <w:tc>
          <w:tcPr>
            <w:tcW w:w="3999" w:type="dxa"/>
            <w:gridSpan w:val="3"/>
            <w:shd w:val="clear" w:color="auto" w:fill="auto"/>
            <w:noWrap w:val="0"/>
            <w:tcMar>
              <w:left w:w="57" w:type="dxa"/>
              <w:right w:w="57" w:type="dxa"/>
            </w:tcMar>
            <w:vAlign w:val="center"/>
          </w:tcPr>
          <w:p w14:paraId="79E88982">
            <w:pPr>
              <w:widowControl/>
              <w:shd w:val="clear" w:color="auto" w:fill="auto"/>
              <w:snapToGrid w:val="0"/>
              <w:spacing w:line="240" w:lineRule="atLeast"/>
              <w:jc w:val="left"/>
              <w:rPr>
                <w:rFonts w:hint="eastAsia"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rPr>
              <w:t>常住人口城镇化率</w:t>
            </w:r>
            <w:r>
              <w:rPr>
                <w:rFonts w:hint="eastAsia" w:ascii="Times New Roman" w:hAnsi="Times New Roman" w:eastAsia="方正仿宋_GB2312" w:cs="Times New Roman"/>
                <w:b w:val="0"/>
                <w:bCs w:val="0"/>
                <w:kern w:val="0"/>
                <w:szCs w:val="21"/>
                <w:highlight w:val="none"/>
                <w:lang w:eastAsia="zh-CN"/>
              </w:rPr>
              <w:t>（</w:t>
            </w:r>
            <w:r>
              <w:rPr>
                <w:rFonts w:hint="default" w:ascii="Times New Roman" w:hAnsi="Times New Roman" w:eastAsia="方正仿宋_GB2312" w:cs="Times New Roman"/>
                <w:b w:val="0"/>
                <w:bCs w:val="0"/>
                <w:kern w:val="0"/>
                <w:szCs w:val="21"/>
                <w:highlight w:val="none"/>
              </w:rPr>
              <w:t>%</w:t>
            </w:r>
            <w:r>
              <w:rPr>
                <w:rFonts w:hint="eastAsia" w:ascii="Times New Roman" w:hAnsi="Times New Roman" w:eastAsia="方正仿宋_GB2312" w:cs="Times New Roman"/>
                <w:b w:val="0"/>
                <w:bCs w:val="0"/>
                <w:kern w:val="0"/>
                <w:szCs w:val="21"/>
                <w:highlight w:val="none"/>
                <w:lang w:eastAsia="zh-CN"/>
              </w:rPr>
              <w:t>）</w:t>
            </w:r>
          </w:p>
        </w:tc>
        <w:tc>
          <w:tcPr>
            <w:tcW w:w="912" w:type="dxa"/>
            <w:shd w:val="clear" w:color="auto" w:fill="auto"/>
            <w:noWrap w:val="0"/>
            <w:vAlign w:val="center"/>
          </w:tcPr>
          <w:p w14:paraId="6FCEAE75">
            <w:pPr>
              <w:widowControl/>
              <w:shd w:val="clear" w:color="auto" w:fill="auto"/>
              <w:snapToGrid w:val="0"/>
              <w:spacing w:line="240" w:lineRule="atLeast"/>
              <w:jc w:val="center"/>
              <w:rPr>
                <w:rFonts w:hint="default" w:ascii="Times New Roman" w:hAnsi="Times New Roman" w:eastAsia="方正仿宋_GB2312" w:cs="Times New Roman"/>
                <w:b w:val="0"/>
                <w:bCs w:val="0"/>
                <w:kern w:val="0"/>
                <w:sz w:val="21"/>
                <w:szCs w:val="21"/>
                <w:highlight w:val="none"/>
                <w:lang w:val="en-US" w:eastAsia="zh-CN" w:bidi="ar-SA"/>
              </w:rPr>
            </w:pPr>
            <w:r>
              <w:rPr>
                <w:rFonts w:hint="eastAsia" w:ascii="Times New Roman" w:hAnsi="Times New Roman" w:eastAsia="方正仿宋_GB2312" w:cs="Times New Roman"/>
                <w:b w:val="0"/>
                <w:bCs w:val="0"/>
                <w:kern w:val="0"/>
                <w:szCs w:val="21"/>
                <w:highlight w:val="none"/>
                <w:lang w:val="en-US" w:eastAsia="zh-CN"/>
              </w:rPr>
              <w:t>56.67*</w:t>
            </w:r>
          </w:p>
        </w:tc>
        <w:tc>
          <w:tcPr>
            <w:tcW w:w="1160" w:type="dxa"/>
            <w:shd w:val="clear" w:color="auto" w:fill="auto"/>
            <w:noWrap w:val="0"/>
            <w:vAlign w:val="center"/>
          </w:tcPr>
          <w:p w14:paraId="1D7AB032">
            <w:pPr>
              <w:widowControl/>
              <w:shd w:val="clear" w:color="auto" w:fill="auto"/>
              <w:snapToGrid w:val="0"/>
              <w:spacing w:line="240" w:lineRule="atLeast"/>
              <w:jc w:val="center"/>
              <w:rPr>
                <w:rFonts w:hint="default" w:ascii="Times New Roman" w:hAnsi="Times New Roman" w:eastAsia="方正仿宋_GB2312" w:cs="Times New Roman"/>
                <w:b w:val="0"/>
                <w:bCs w:val="0"/>
                <w:kern w:val="0"/>
                <w:sz w:val="21"/>
                <w:szCs w:val="21"/>
                <w:highlight w:val="none"/>
                <w:lang w:val="en-US" w:eastAsia="zh-CN" w:bidi="ar-SA"/>
              </w:rPr>
            </w:pPr>
            <w:r>
              <w:rPr>
                <w:rFonts w:hint="eastAsia" w:ascii="Times New Roman" w:hAnsi="Times New Roman" w:eastAsia="方正仿宋_GB2312" w:cs="Times New Roman"/>
                <w:b w:val="0"/>
                <w:bCs w:val="0"/>
                <w:kern w:val="0"/>
                <w:szCs w:val="21"/>
                <w:highlight w:val="none"/>
                <w:lang w:val="en-US" w:eastAsia="zh-CN"/>
              </w:rPr>
              <w:t>63</w:t>
            </w:r>
          </w:p>
        </w:tc>
        <w:tc>
          <w:tcPr>
            <w:tcW w:w="1930" w:type="dxa"/>
            <w:shd w:val="clear" w:color="auto" w:fill="auto"/>
            <w:noWrap w:val="0"/>
            <w:vAlign w:val="center"/>
          </w:tcPr>
          <w:p w14:paraId="5B3090C8">
            <w:pPr>
              <w:widowControl/>
              <w:shd w:val="clear" w:color="auto" w:fill="auto"/>
              <w:snapToGrid w:val="0"/>
              <w:spacing w:line="240" w:lineRule="atLeast"/>
              <w:jc w:val="center"/>
              <w:rPr>
                <w:rFonts w:hint="default" w:ascii="Times New Roman" w:hAnsi="Times New Roman" w:eastAsia="方正仿宋_GB2312" w:cs="Times New Roman"/>
                <w:b w:val="0"/>
                <w:bCs w:val="0"/>
                <w:kern w:val="0"/>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013" w:type="dxa"/>
            <w:shd w:val="clear" w:color="auto" w:fill="auto"/>
            <w:noWrap w:val="0"/>
            <w:vAlign w:val="center"/>
          </w:tcPr>
          <w:p w14:paraId="1E58F3CF">
            <w:pPr>
              <w:widowControl/>
              <w:shd w:val="clear" w:color="auto" w:fill="auto"/>
              <w:snapToGrid w:val="0"/>
              <w:spacing w:line="240" w:lineRule="atLeast"/>
              <w:jc w:val="center"/>
              <w:rPr>
                <w:rFonts w:hint="eastAsia" w:ascii="Times New Roman" w:hAnsi="Times New Roman" w:eastAsia="方正仿宋_GBK" w:cs="方正仿宋_GBK"/>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rPr>
              <w:t>预期性</w:t>
            </w:r>
          </w:p>
        </w:tc>
      </w:tr>
      <w:tr w14:paraId="289FD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6" w:type="dxa"/>
            <w:vMerge w:val="restart"/>
            <w:shd w:val="clear" w:color="auto" w:fill="auto"/>
            <w:noWrap w:val="0"/>
            <w:vAlign w:val="center"/>
          </w:tcPr>
          <w:p w14:paraId="08ECBF03">
            <w:pPr>
              <w:widowControl/>
              <w:shd w:val="clear" w:color="auto" w:fill="auto"/>
              <w:snapToGrid w:val="0"/>
              <w:spacing w:line="240" w:lineRule="atLeast"/>
              <w:jc w:val="center"/>
              <w:rPr>
                <w:rFonts w:hint="default" w:ascii="Times New Roman" w:hAnsi="Times New Roman" w:eastAsia="黑体" w:cs="Times New Roman"/>
                <w:b w:val="0"/>
                <w:bCs w:val="0"/>
                <w:kern w:val="0"/>
                <w:szCs w:val="21"/>
                <w:highlight w:val="none"/>
              </w:rPr>
            </w:pPr>
            <w:r>
              <w:rPr>
                <w:rFonts w:hint="default" w:ascii="Times New Roman" w:hAnsi="Times New Roman" w:eastAsia="黑体" w:cs="Times New Roman"/>
                <w:b w:val="0"/>
                <w:bCs w:val="0"/>
                <w:kern w:val="0"/>
                <w:szCs w:val="21"/>
                <w:highlight w:val="none"/>
              </w:rPr>
              <w:t>创新驱动</w:t>
            </w:r>
          </w:p>
          <w:p w14:paraId="360734BD">
            <w:pPr>
              <w:widowControl/>
              <w:shd w:val="clear" w:color="auto" w:fill="auto"/>
              <w:snapToGrid w:val="0"/>
              <w:spacing w:line="240" w:lineRule="atLeast"/>
              <w:jc w:val="center"/>
              <w:rPr>
                <w:rFonts w:hint="default" w:ascii="Times New Roman" w:hAnsi="Times New Roman" w:eastAsia="黑体" w:cs="Times New Roman"/>
                <w:b w:val="0"/>
                <w:bCs w:val="0"/>
                <w:kern w:val="0"/>
                <w:szCs w:val="21"/>
                <w:highlight w:val="none"/>
              </w:rPr>
            </w:pPr>
          </w:p>
        </w:tc>
        <w:tc>
          <w:tcPr>
            <w:tcW w:w="615" w:type="dxa"/>
            <w:shd w:val="clear" w:color="auto" w:fill="auto"/>
            <w:noWrap w:val="0"/>
            <w:tcMar>
              <w:left w:w="28" w:type="dxa"/>
              <w:right w:w="28" w:type="dxa"/>
            </w:tcMar>
            <w:vAlign w:val="center"/>
          </w:tcPr>
          <w:p w14:paraId="483CBC94">
            <w:pPr>
              <w:widowControl/>
              <w:shd w:val="clear" w:color="auto" w:fill="auto"/>
              <w:snapToGrid w:val="0"/>
              <w:spacing w:line="240" w:lineRule="atLeast"/>
              <w:jc w:val="center"/>
              <w:rPr>
                <w:rFonts w:hint="default" w:ascii="Times New Roman" w:hAnsi="Times New Roman" w:eastAsia="方正仿宋_GB2312" w:cs="Times New Roman"/>
                <w:b w:val="0"/>
                <w:bCs w:val="0"/>
                <w:kern w:val="0"/>
                <w:sz w:val="21"/>
                <w:szCs w:val="21"/>
                <w:highlight w:val="none"/>
                <w:lang w:val="en-US" w:eastAsia="zh-CN" w:bidi="ar-SA"/>
              </w:rPr>
            </w:pPr>
            <w:r>
              <w:rPr>
                <w:rFonts w:hint="default" w:ascii="Times New Roman" w:hAnsi="Times New Roman" w:eastAsia="方正仿宋_GB2312" w:cs="Times New Roman"/>
                <w:b w:val="0"/>
                <w:bCs w:val="0"/>
                <w:kern w:val="0"/>
                <w:szCs w:val="21"/>
                <w:highlight w:val="none"/>
              </w:rPr>
              <w:t>4</w:t>
            </w:r>
          </w:p>
        </w:tc>
        <w:tc>
          <w:tcPr>
            <w:tcW w:w="3999" w:type="dxa"/>
            <w:gridSpan w:val="3"/>
            <w:shd w:val="clear" w:color="auto" w:fill="auto"/>
            <w:noWrap w:val="0"/>
            <w:tcMar>
              <w:left w:w="57" w:type="dxa"/>
              <w:right w:w="57" w:type="dxa"/>
            </w:tcMar>
            <w:vAlign w:val="center"/>
          </w:tcPr>
          <w:p w14:paraId="00CD9C94">
            <w:pPr>
              <w:widowControl/>
              <w:shd w:val="clear" w:color="auto" w:fill="auto"/>
              <w:snapToGrid w:val="0"/>
              <w:spacing w:line="240" w:lineRule="atLeast"/>
              <w:jc w:val="left"/>
              <w:rPr>
                <w:rFonts w:hint="eastAsia"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rPr>
              <w:t>全社会研发经费投入增长</w:t>
            </w:r>
            <w:r>
              <w:rPr>
                <w:rFonts w:hint="eastAsia" w:ascii="Times New Roman" w:hAnsi="Times New Roman" w:eastAsia="方正仿宋_GB2312" w:cs="Times New Roman"/>
                <w:b w:val="0"/>
                <w:bCs w:val="0"/>
                <w:szCs w:val="21"/>
                <w:highlight w:val="none"/>
                <w:lang w:eastAsia="zh-CN"/>
              </w:rPr>
              <w:t>（</w:t>
            </w:r>
            <w:r>
              <w:rPr>
                <w:rFonts w:hint="default" w:ascii="Times New Roman" w:hAnsi="Times New Roman" w:eastAsia="方正仿宋_GB2312" w:cs="Times New Roman"/>
                <w:b w:val="0"/>
                <w:bCs w:val="0"/>
                <w:szCs w:val="21"/>
                <w:highlight w:val="none"/>
              </w:rPr>
              <w:t>%</w:t>
            </w:r>
            <w:r>
              <w:rPr>
                <w:rFonts w:hint="eastAsia" w:ascii="Times New Roman" w:hAnsi="Times New Roman" w:eastAsia="方正仿宋_GB2312" w:cs="Times New Roman"/>
                <w:b w:val="0"/>
                <w:bCs w:val="0"/>
                <w:szCs w:val="21"/>
                <w:highlight w:val="none"/>
                <w:lang w:eastAsia="zh-CN"/>
              </w:rPr>
              <w:t>）</w:t>
            </w:r>
          </w:p>
        </w:tc>
        <w:tc>
          <w:tcPr>
            <w:tcW w:w="912" w:type="dxa"/>
            <w:shd w:val="clear" w:color="auto" w:fill="auto"/>
            <w:noWrap w:val="0"/>
            <w:vAlign w:val="center"/>
          </w:tcPr>
          <w:p w14:paraId="56993B13">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160" w:type="dxa"/>
            <w:shd w:val="clear" w:color="auto" w:fill="auto"/>
            <w:noWrap w:val="0"/>
            <w:vAlign w:val="center"/>
          </w:tcPr>
          <w:p w14:paraId="1F71DA69">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930" w:type="dxa"/>
            <w:shd w:val="clear" w:color="auto" w:fill="auto"/>
            <w:noWrap w:val="0"/>
            <w:vAlign w:val="center"/>
          </w:tcPr>
          <w:p w14:paraId="534FFEE8">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10</w:t>
            </w:r>
          </w:p>
        </w:tc>
        <w:tc>
          <w:tcPr>
            <w:tcW w:w="1013" w:type="dxa"/>
            <w:shd w:val="clear" w:color="auto" w:fill="auto"/>
            <w:noWrap w:val="0"/>
            <w:vAlign w:val="center"/>
          </w:tcPr>
          <w:p w14:paraId="45E0DF1D">
            <w:pPr>
              <w:widowControl/>
              <w:shd w:val="clear" w:color="auto" w:fill="auto"/>
              <w:snapToGrid w:val="0"/>
              <w:spacing w:line="240" w:lineRule="atLeast"/>
              <w:jc w:val="center"/>
              <w:rPr>
                <w:rFonts w:hint="eastAsia" w:ascii="Times New Roman" w:hAnsi="Times New Roman" w:eastAsia="方正仿宋_GBK" w:cs="方正仿宋_GBK"/>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rPr>
              <w:t>预期性</w:t>
            </w:r>
          </w:p>
        </w:tc>
      </w:tr>
      <w:tr w14:paraId="043AE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6" w:type="dxa"/>
            <w:vMerge w:val="continue"/>
            <w:noWrap w:val="0"/>
            <w:vAlign w:val="center"/>
          </w:tcPr>
          <w:p w14:paraId="632446BF">
            <w:pPr>
              <w:widowControl/>
              <w:shd w:val="clear" w:color="auto" w:fill="auto"/>
              <w:snapToGrid w:val="0"/>
              <w:spacing w:line="240" w:lineRule="atLeast"/>
              <w:jc w:val="center"/>
              <w:rPr>
                <w:rFonts w:hint="default" w:ascii="Times New Roman" w:hAnsi="Times New Roman" w:eastAsia="黑体" w:cs="Times New Roman"/>
                <w:b w:val="0"/>
                <w:bCs w:val="0"/>
                <w:kern w:val="0"/>
                <w:szCs w:val="21"/>
                <w:highlight w:val="none"/>
              </w:rPr>
            </w:pPr>
          </w:p>
        </w:tc>
        <w:tc>
          <w:tcPr>
            <w:tcW w:w="615" w:type="dxa"/>
            <w:shd w:val="clear" w:color="auto" w:fill="auto"/>
            <w:noWrap w:val="0"/>
            <w:tcMar>
              <w:left w:w="28" w:type="dxa"/>
              <w:right w:w="28" w:type="dxa"/>
            </w:tcMar>
            <w:vAlign w:val="center"/>
          </w:tcPr>
          <w:p w14:paraId="759005D4">
            <w:pPr>
              <w:widowControl/>
              <w:shd w:val="clear" w:color="auto" w:fill="auto"/>
              <w:snapToGrid w:val="0"/>
              <w:spacing w:line="240" w:lineRule="atLeast"/>
              <w:jc w:val="center"/>
              <w:rPr>
                <w:rFonts w:hint="default" w:ascii="Times New Roman" w:hAnsi="Times New Roman" w:eastAsia="方正仿宋_GB2312" w:cs="Times New Roman"/>
                <w:b w:val="0"/>
                <w:bCs w:val="0"/>
                <w:kern w:val="0"/>
                <w:sz w:val="21"/>
                <w:szCs w:val="21"/>
                <w:highlight w:val="none"/>
                <w:lang w:val="en-US" w:eastAsia="zh-CN" w:bidi="ar-SA"/>
              </w:rPr>
            </w:pPr>
            <w:r>
              <w:rPr>
                <w:rFonts w:hint="eastAsia" w:ascii="Times New Roman" w:hAnsi="Times New Roman" w:eastAsia="方正仿宋_GB2312" w:cs="Times New Roman"/>
                <w:b w:val="0"/>
                <w:bCs w:val="0"/>
                <w:kern w:val="0"/>
                <w:szCs w:val="21"/>
                <w:highlight w:val="none"/>
                <w:lang w:val="en-US" w:eastAsia="zh-CN"/>
              </w:rPr>
              <w:t>5</w:t>
            </w:r>
          </w:p>
        </w:tc>
        <w:tc>
          <w:tcPr>
            <w:tcW w:w="3999" w:type="dxa"/>
            <w:gridSpan w:val="3"/>
            <w:shd w:val="clear" w:color="auto" w:fill="auto"/>
            <w:noWrap w:val="0"/>
            <w:tcMar>
              <w:left w:w="57" w:type="dxa"/>
              <w:right w:w="57" w:type="dxa"/>
            </w:tcMar>
            <w:vAlign w:val="center"/>
          </w:tcPr>
          <w:p w14:paraId="78B77E05">
            <w:pPr>
              <w:widowControl/>
              <w:shd w:val="clear" w:color="auto" w:fill="auto"/>
              <w:snapToGrid w:val="0"/>
              <w:spacing w:line="240" w:lineRule="atLeast"/>
              <w:jc w:val="left"/>
              <w:rPr>
                <w:rFonts w:hint="eastAsia" w:ascii="Times New Roman" w:hAnsi="Times New Roman" w:eastAsia="仿宋_GB2312" w:cs="Times New Roman"/>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rPr>
              <w:t>每万人口高价值发明专利拥有量</w:t>
            </w:r>
            <w:r>
              <w:rPr>
                <w:rFonts w:hint="eastAsia" w:ascii="Times New Roman" w:hAnsi="Times New Roman" w:eastAsia="仿宋_GB2312" w:cs="方正仿宋_GBK"/>
                <w:b w:val="0"/>
                <w:bCs w:val="0"/>
                <w:szCs w:val="21"/>
                <w:highlight w:val="none"/>
                <w:lang w:eastAsia="zh-CN"/>
              </w:rPr>
              <w:t>（</w:t>
            </w:r>
            <w:r>
              <w:rPr>
                <w:rFonts w:hint="default" w:ascii="Times New Roman" w:hAnsi="Times New Roman" w:eastAsia="仿宋_GB2312" w:cs="方正仿宋_GBK"/>
                <w:b w:val="0"/>
                <w:bCs w:val="0"/>
                <w:szCs w:val="21"/>
                <w:highlight w:val="none"/>
              </w:rPr>
              <w:t>件</w:t>
            </w:r>
            <w:r>
              <w:rPr>
                <w:rFonts w:hint="eastAsia" w:ascii="Times New Roman" w:hAnsi="Times New Roman" w:eastAsia="仿宋_GB2312" w:cs="方正仿宋_GBK"/>
                <w:b w:val="0"/>
                <w:bCs w:val="0"/>
                <w:szCs w:val="21"/>
                <w:highlight w:val="none"/>
                <w:lang w:eastAsia="zh-CN"/>
              </w:rPr>
              <w:t>）</w:t>
            </w:r>
          </w:p>
        </w:tc>
        <w:tc>
          <w:tcPr>
            <w:tcW w:w="912" w:type="dxa"/>
            <w:shd w:val="clear" w:color="auto" w:fill="auto"/>
            <w:noWrap w:val="0"/>
            <w:vAlign w:val="center"/>
          </w:tcPr>
          <w:p w14:paraId="3E457099">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0.84</w:t>
            </w:r>
          </w:p>
        </w:tc>
        <w:tc>
          <w:tcPr>
            <w:tcW w:w="1160" w:type="dxa"/>
            <w:shd w:val="clear" w:color="auto" w:fill="auto"/>
            <w:noWrap w:val="0"/>
            <w:vAlign w:val="center"/>
          </w:tcPr>
          <w:p w14:paraId="64E6741C">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1.02</w:t>
            </w:r>
          </w:p>
        </w:tc>
        <w:tc>
          <w:tcPr>
            <w:tcW w:w="1930" w:type="dxa"/>
            <w:shd w:val="clear" w:color="auto" w:fill="auto"/>
            <w:noWrap w:val="0"/>
            <w:vAlign w:val="center"/>
          </w:tcPr>
          <w:p w14:paraId="36046248">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013" w:type="dxa"/>
            <w:shd w:val="clear" w:color="auto" w:fill="auto"/>
            <w:noWrap w:val="0"/>
            <w:vAlign w:val="center"/>
          </w:tcPr>
          <w:p w14:paraId="7E81F703">
            <w:pPr>
              <w:widowControl/>
              <w:shd w:val="clear" w:color="auto" w:fill="auto"/>
              <w:snapToGrid w:val="0"/>
              <w:spacing w:line="240" w:lineRule="atLeast"/>
              <w:jc w:val="center"/>
              <w:rPr>
                <w:rFonts w:hint="eastAsia" w:ascii="Times New Roman" w:hAnsi="Times New Roman" w:eastAsia="方正仿宋_GBK" w:cs="方正仿宋_GBK"/>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rPr>
              <w:t>预期性</w:t>
            </w:r>
          </w:p>
        </w:tc>
      </w:tr>
      <w:tr w14:paraId="1A4E4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6" w:type="dxa"/>
            <w:vMerge w:val="restart"/>
            <w:noWrap w:val="0"/>
            <w:vAlign w:val="center"/>
          </w:tcPr>
          <w:p w14:paraId="4A4850B4">
            <w:pPr>
              <w:shd w:val="clear" w:color="auto" w:fill="auto"/>
              <w:snapToGrid w:val="0"/>
              <w:spacing w:line="240" w:lineRule="atLeast"/>
              <w:jc w:val="center"/>
              <w:rPr>
                <w:rFonts w:hint="eastAsia" w:ascii="Times New Roman" w:hAnsi="Times New Roman" w:eastAsia="黑体" w:cs="Times New Roman"/>
                <w:b w:val="0"/>
                <w:bCs w:val="0"/>
                <w:kern w:val="0"/>
                <w:szCs w:val="21"/>
                <w:highlight w:val="none"/>
                <w:lang w:val="en-US" w:eastAsia="zh-CN"/>
              </w:rPr>
            </w:pPr>
            <w:r>
              <w:rPr>
                <w:rFonts w:hint="eastAsia" w:ascii="Times New Roman" w:hAnsi="Times New Roman" w:eastAsia="黑体" w:cs="Times New Roman"/>
                <w:b w:val="0"/>
                <w:bCs w:val="0"/>
                <w:kern w:val="0"/>
                <w:szCs w:val="21"/>
                <w:highlight w:val="none"/>
                <w:lang w:val="en-US" w:eastAsia="zh-CN"/>
              </w:rPr>
              <w:t>民生福祉</w:t>
            </w:r>
          </w:p>
        </w:tc>
        <w:tc>
          <w:tcPr>
            <w:tcW w:w="615" w:type="dxa"/>
            <w:shd w:val="clear" w:color="auto" w:fill="auto"/>
            <w:noWrap w:val="0"/>
            <w:tcMar>
              <w:left w:w="28" w:type="dxa"/>
              <w:right w:w="28" w:type="dxa"/>
            </w:tcMar>
            <w:vAlign w:val="center"/>
          </w:tcPr>
          <w:p w14:paraId="076D2ACA">
            <w:pPr>
              <w:widowControl/>
              <w:shd w:val="clear" w:color="auto" w:fill="auto"/>
              <w:snapToGrid w:val="0"/>
              <w:spacing w:line="240" w:lineRule="atLeast"/>
              <w:jc w:val="center"/>
              <w:rPr>
                <w:rFonts w:hint="default" w:ascii="Times New Roman" w:hAnsi="Times New Roman" w:eastAsia="方正仿宋_GB2312" w:cs="Times New Roman"/>
                <w:b w:val="0"/>
                <w:bCs w:val="0"/>
                <w:kern w:val="0"/>
                <w:sz w:val="21"/>
                <w:szCs w:val="21"/>
                <w:highlight w:val="none"/>
                <w:lang w:val="en-US" w:eastAsia="zh-CN" w:bidi="ar-SA"/>
              </w:rPr>
            </w:pPr>
            <w:r>
              <w:rPr>
                <w:rFonts w:hint="eastAsia" w:ascii="Times New Roman" w:hAnsi="Times New Roman" w:eastAsia="方正仿宋_GB2312" w:cs="Times New Roman"/>
                <w:b w:val="0"/>
                <w:bCs w:val="0"/>
                <w:kern w:val="0"/>
                <w:szCs w:val="21"/>
                <w:highlight w:val="none"/>
                <w:lang w:val="en-US" w:eastAsia="zh-CN"/>
              </w:rPr>
              <w:t>6</w:t>
            </w:r>
          </w:p>
        </w:tc>
        <w:tc>
          <w:tcPr>
            <w:tcW w:w="3999" w:type="dxa"/>
            <w:gridSpan w:val="3"/>
            <w:shd w:val="clear" w:color="auto" w:fill="auto"/>
            <w:noWrap w:val="0"/>
            <w:tcMar>
              <w:left w:w="57" w:type="dxa"/>
              <w:right w:w="57" w:type="dxa"/>
            </w:tcMar>
            <w:vAlign w:val="center"/>
          </w:tcPr>
          <w:p w14:paraId="48560443">
            <w:pPr>
              <w:widowControl/>
              <w:shd w:val="clear" w:color="auto" w:fill="auto"/>
              <w:snapToGrid w:val="0"/>
              <w:spacing w:line="240" w:lineRule="atLeast"/>
              <w:jc w:val="left"/>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rPr>
              <w:t>居民人均可支配收入</w:t>
            </w:r>
            <w:r>
              <w:rPr>
                <w:rFonts w:hint="eastAsia" w:ascii="Times New Roman" w:hAnsi="Times New Roman" w:eastAsia="仿宋_GB2312" w:cs="方正仿宋_GBK"/>
                <w:b w:val="0"/>
                <w:bCs w:val="0"/>
                <w:szCs w:val="21"/>
                <w:highlight w:val="none"/>
                <w:lang w:val="en-US" w:eastAsia="zh-CN"/>
              </w:rPr>
              <w:t>增长（</w:t>
            </w:r>
            <w:r>
              <w:rPr>
                <w:rFonts w:hint="eastAsia" w:ascii="Times New Roman" w:hAnsi="Times New Roman" w:eastAsia="方正仿宋_GB2312" w:cs="Times New Roman"/>
                <w:b w:val="0"/>
                <w:bCs w:val="0"/>
                <w:szCs w:val="21"/>
                <w:highlight w:val="none"/>
                <w:lang w:val="en-US" w:eastAsia="zh-CN"/>
              </w:rPr>
              <w:t>%）</w:t>
            </w:r>
          </w:p>
        </w:tc>
        <w:tc>
          <w:tcPr>
            <w:tcW w:w="912" w:type="dxa"/>
            <w:shd w:val="clear" w:color="auto" w:fill="auto"/>
            <w:noWrap w:val="0"/>
            <w:vAlign w:val="center"/>
          </w:tcPr>
          <w:p w14:paraId="264AA691">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5.2</w:t>
            </w:r>
          </w:p>
        </w:tc>
        <w:tc>
          <w:tcPr>
            <w:tcW w:w="1160" w:type="dxa"/>
            <w:shd w:val="clear" w:color="auto" w:fill="auto"/>
            <w:noWrap w:val="0"/>
            <w:vAlign w:val="center"/>
          </w:tcPr>
          <w:p w14:paraId="7DFB745A">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930" w:type="dxa"/>
            <w:shd w:val="clear" w:color="auto" w:fill="auto"/>
            <w:noWrap w:val="0"/>
            <w:vAlign w:val="center"/>
          </w:tcPr>
          <w:p w14:paraId="34A2D75E">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5.5</w:t>
            </w:r>
            <w:r>
              <w:rPr>
                <w:rFonts w:hint="eastAsia" w:ascii="仿宋_GB2312" w:hAnsi="仿宋_GB2312" w:eastAsia="仿宋_GB2312" w:cs="仿宋_GB2312"/>
                <w:b w:val="0"/>
                <w:bCs w:val="0"/>
                <w:kern w:val="2"/>
                <w:sz w:val="21"/>
                <w:szCs w:val="21"/>
                <w:highlight w:val="none"/>
                <w:lang w:val="en-US" w:eastAsia="zh-CN" w:bidi="ar-SA"/>
              </w:rPr>
              <w:t>以上</w:t>
            </w:r>
          </w:p>
        </w:tc>
        <w:tc>
          <w:tcPr>
            <w:tcW w:w="1013" w:type="dxa"/>
            <w:shd w:val="clear" w:color="auto" w:fill="auto"/>
            <w:noWrap w:val="0"/>
            <w:vAlign w:val="center"/>
          </w:tcPr>
          <w:p w14:paraId="4BAF59FB">
            <w:pPr>
              <w:widowControl/>
              <w:shd w:val="clear" w:color="auto" w:fill="auto"/>
              <w:snapToGrid w:val="0"/>
              <w:spacing w:line="240" w:lineRule="atLeast"/>
              <w:jc w:val="center"/>
              <w:rPr>
                <w:rFonts w:hint="eastAsia" w:ascii="Times New Roman" w:hAnsi="Times New Roman" w:eastAsia="方正仿宋_GBK" w:cs="方正仿宋_GBK"/>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rPr>
              <w:t>预期性</w:t>
            </w:r>
          </w:p>
        </w:tc>
      </w:tr>
      <w:tr w14:paraId="7F0E9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6" w:type="dxa"/>
            <w:vMerge w:val="continue"/>
            <w:noWrap w:val="0"/>
            <w:vAlign w:val="center"/>
          </w:tcPr>
          <w:p w14:paraId="5AC7AABE">
            <w:pPr>
              <w:shd w:val="clear" w:color="auto" w:fill="auto"/>
              <w:snapToGrid w:val="0"/>
              <w:spacing w:line="240" w:lineRule="atLeast"/>
              <w:jc w:val="center"/>
              <w:rPr>
                <w:rFonts w:hint="default" w:ascii="Times New Roman" w:hAnsi="Times New Roman" w:eastAsia="黑体" w:cs="Times New Roman"/>
                <w:b w:val="0"/>
                <w:bCs w:val="0"/>
                <w:kern w:val="0"/>
                <w:szCs w:val="21"/>
                <w:highlight w:val="none"/>
              </w:rPr>
            </w:pPr>
          </w:p>
        </w:tc>
        <w:tc>
          <w:tcPr>
            <w:tcW w:w="615" w:type="dxa"/>
            <w:shd w:val="clear" w:color="auto" w:fill="auto"/>
            <w:noWrap w:val="0"/>
            <w:tcMar>
              <w:left w:w="28" w:type="dxa"/>
              <w:right w:w="28" w:type="dxa"/>
            </w:tcMar>
            <w:vAlign w:val="center"/>
          </w:tcPr>
          <w:p w14:paraId="5511A463">
            <w:pPr>
              <w:widowControl/>
              <w:shd w:val="clear" w:color="auto" w:fill="auto"/>
              <w:snapToGrid w:val="0"/>
              <w:spacing w:line="240" w:lineRule="atLeast"/>
              <w:jc w:val="center"/>
              <w:rPr>
                <w:rFonts w:hint="eastAsia" w:ascii="Times New Roman" w:hAnsi="Times New Roman" w:eastAsia="方正仿宋_GB2312" w:cs="Times New Roman"/>
                <w:b w:val="0"/>
                <w:bCs w:val="0"/>
                <w:kern w:val="0"/>
                <w:sz w:val="21"/>
                <w:szCs w:val="21"/>
                <w:highlight w:val="none"/>
                <w:lang w:val="en-US" w:eastAsia="zh-CN" w:bidi="ar-SA"/>
              </w:rPr>
            </w:pPr>
            <w:r>
              <w:rPr>
                <w:rFonts w:hint="eastAsia" w:ascii="Times New Roman" w:hAnsi="Times New Roman" w:eastAsia="方正仿宋_GB2312" w:cs="Times New Roman"/>
                <w:b w:val="0"/>
                <w:bCs w:val="0"/>
                <w:kern w:val="0"/>
                <w:szCs w:val="21"/>
                <w:highlight w:val="none"/>
                <w:lang w:val="en-US" w:eastAsia="zh-CN"/>
              </w:rPr>
              <w:t>7</w:t>
            </w:r>
          </w:p>
        </w:tc>
        <w:tc>
          <w:tcPr>
            <w:tcW w:w="3999" w:type="dxa"/>
            <w:gridSpan w:val="3"/>
            <w:shd w:val="clear" w:color="auto" w:fill="auto"/>
            <w:noWrap w:val="0"/>
            <w:tcMar>
              <w:left w:w="57" w:type="dxa"/>
              <w:right w:w="57" w:type="dxa"/>
            </w:tcMar>
            <w:vAlign w:val="center"/>
          </w:tcPr>
          <w:p w14:paraId="53C99F93">
            <w:pPr>
              <w:widowControl/>
              <w:shd w:val="clear" w:color="auto" w:fill="auto"/>
              <w:snapToGrid w:val="0"/>
              <w:spacing w:line="240" w:lineRule="atLeast"/>
              <w:jc w:val="left"/>
              <w:rPr>
                <w:rFonts w:hint="default" w:ascii="Times New Roman" w:hAnsi="Times New Roman" w:eastAsia="仿宋_GB2312" w:cs="方正仿宋_GBK"/>
                <w:b w:val="0"/>
                <w:bCs w:val="0"/>
                <w:szCs w:val="21"/>
                <w:highlight w:val="none"/>
                <w:lang w:val="en-US" w:eastAsia="zh-CN"/>
              </w:rPr>
            </w:pPr>
            <w:r>
              <w:rPr>
                <w:rFonts w:hint="eastAsia" w:ascii="Times New Roman" w:hAnsi="Times New Roman" w:eastAsia="仿宋_GB2312" w:cs="方正仿宋_GBK"/>
                <w:b w:val="0"/>
                <w:bCs w:val="0"/>
                <w:szCs w:val="21"/>
                <w:highlight w:val="none"/>
              </w:rPr>
              <w:t>城镇新增就业人数</w:t>
            </w:r>
            <w:r>
              <w:rPr>
                <w:rFonts w:hint="eastAsia" w:ascii="Times New Roman" w:hAnsi="Times New Roman" w:eastAsia="仿宋_GB2312" w:cs="方正仿宋_GBK"/>
                <w:b w:val="0"/>
                <w:bCs w:val="0"/>
                <w:szCs w:val="21"/>
                <w:highlight w:val="none"/>
                <w:lang w:val="en-US" w:eastAsia="zh-CN"/>
              </w:rPr>
              <w:t>（万人）</w:t>
            </w:r>
          </w:p>
        </w:tc>
        <w:tc>
          <w:tcPr>
            <w:tcW w:w="912" w:type="dxa"/>
            <w:shd w:val="clear" w:color="auto" w:fill="auto"/>
            <w:noWrap w:val="0"/>
            <w:vAlign w:val="center"/>
          </w:tcPr>
          <w:p w14:paraId="38603DA0">
            <w:pPr>
              <w:widowControl/>
              <w:shd w:val="clear" w:color="auto" w:fill="auto"/>
              <w:snapToGrid w:val="0"/>
              <w:spacing w:line="240" w:lineRule="atLeast"/>
              <w:jc w:val="center"/>
              <w:rPr>
                <w:rFonts w:hint="eastAsia"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b w:val="0"/>
                <w:bCs w:val="0"/>
                <w:szCs w:val="21"/>
                <w:highlight w:val="none"/>
              </w:rPr>
              <w:t>1.97</w:t>
            </w:r>
          </w:p>
        </w:tc>
        <w:tc>
          <w:tcPr>
            <w:tcW w:w="1160" w:type="dxa"/>
            <w:shd w:val="clear" w:color="auto" w:fill="auto"/>
            <w:noWrap w:val="0"/>
            <w:vAlign w:val="center"/>
          </w:tcPr>
          <w:p w14:paraId="4918CFBA">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930" w:type="dxa"/>
            <w:shd w:val="clear" w:color="auto" w:fill="auto"/>
            <w:noWrap w:val="0"/>
            <w:vAlign w:val="center"/>
          </w:tcPr>
          <w:p w14:paraId="359127C8">
            <w:pPr>
              <w:widowControl/>
              <w:shd w:val="clear" w:color="auto" w:fill="auto"/>
              <w:snapToGrid w:val="0"/>
              <w:spacing w:line="240" w:lineRule="atLeast"/>
              <w:jc w:val="center"/>
              <w:rPr>
                <w:rFonts w:hint="default" w:ascii="Times New Roman" w:hAnsi="Times New Roman" w:eastAsia="方正仿宋_GB2312" w:cs="方正仿宋_GB2312"/>
                <w:b w:val="0"/>
                <w:bCs w:val="0"/>
                <w:kern w:val="0"/>
                <w:szCs w:val="21"/>
                <w:highlight w:val="none"/>
                <w:lang w:val="en-US" w:eastAsia="zh-CN"/>
              </w:rPr>
            </w:pPr>
            <w:r>
              <w:rPr>
                <w:rFonts w:hint="eastAsia" w:ascii="Times New Roman" w:hAnsi="Times New Roman" w:eastAsia="方正仿宋_GB2312" w:cs="方正仿宋_GB2312"/>
                <w:b w:val="0"/>
                <w:bCs w:val="0"/>
                <w:kern w:val="0"/>
                <w:szCs w:val="21"/>
                <w:highlight w:val="none"/>
                <w:lang w:val="en-US" w:eastAsia="zh-CN"/>
              </w:rPr>
              <w:t>1.5</w:t>
            </w:r>
          </w:p>
        </w:tc>
        <w:tc>
          <w:tcPr>
            <w:tcW w:w="1013" w:type="dxa"/>
            <w:shd w:val="clear" w:color="auto" w:fill="auto"/>
            <w:noWrap w:val="0"/>
            <w:vAlign w:val="center"/>
          </w:tcPr>
          <w:p w14:paraId="2A3AD7D1">
            <w:pPr>
              <w:widowControl/>
              <w:shd w:val="clear" w:color="auto" w:fill="auto"/>
              <w:snapToGrid w:val="0"/>
              <w:spacing w:line="240" w:lineRule="atLeast"/>
              <w:jc w:val="center"/>
              <w:rPr>
                <w:rFonts w:hint="eastAsia" w:ascii="Times New Roman" w:hAnsi="Times New Roman" w:eastAsia="仿宋_GB2312" w:cs="方正仿宋_GBK"/>
                <w:b w:val="0"/>
                <w:bCs w:val="0"/>
                <w:szCs w:val="21"/>
                <w:highlight w:val="none"/>
                <w:lang w:val="en-US" w:eastAsia="zh-CN"/>
              </w:rPr>
            </w:pPr>
            <w:r>
              <w:rPr>
                <w:rFonts w:hint="eastAsia" w:ascii="Times New Roman" w:hAnsi="Times New Roman" w:eastAsia="仿宋_GB2312" w:cs="方正仿宋_GBK"/>
                <w:b w:val="0"/>
                <w:bCs w:val="0"/>
                <w:szCs w:val="21"/>
                <w:highlight w:val="none"/>
                <w:lang w:val="en-US" w:eastAsia="zh-CN"/>
              </w:rPr>
              <w:t>预期性</w:t>
            </w:r>
          </w:p>
        </w:tc>
      </w:tr>
      <w:tr w14:paraId="6DA89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6" w:type="dxa"/>
            <w:vMerge w:val="continue"/>
            <w:noWrap w:val="0"/>
            <w:vAlign w:val="center"/>
          </w:tcPr>
          <w:p w14:paraId="59F61EBD">
            <w:pPr>
              <w:shd w:val="clear" w:color="auto" w:fill="auto"/>
              <w:snapToGrid w:val="0"/>
              <w:spacing w:line="240" w:lineRule="atLeast"/>
              <w:jc w:val="center"/>
              <w:rPr>
                <w:rFonts w:hint="default" w:ascii="Times New Roman" w:hAnsi="Times New Roman" w:eastAsia="黑体" w:cs="Times New Roman"/>
                <w:b w:val="0"/>
                <w:bCs w:val="0"/>
                <w:kern w:val="0"/>
                <w:szCs w:val="21"/>
                <w:highlight w:val="none"/>
              </w:rPr>
            </w:pPr>
          </w:p>
        </w:tc>
        <w:tc>
          <w:tcPr>
            <w:tcW w:w="615" w:type="dxa"/>
            <w:shd w:val="clear" w:color="auto" w:fill="auto"/>
            <w:noWrap w:val="0"/>
            <w:tcMar>
              <w:left w:w="28" w:type="dxa"/>
              <w:right w:w="28" w:type="dxa"/>
            </w:tcMar>
            <w:vAlign w:val="center"/>
          </w:tcPr>
          <w:p w14:paraId="338C3F3B">
            <w:pPr>
              <w:widowControl/>
              <w:shd w:val="clear" w:color="auto" w:fill="auto"/>
              <w:snapToGrid w:val="0"/>
              <w:spacing w:line="240" w:lineRule="atLeast"/>
              <w:jc w:val="center"/>
              <w:rPr>
                <w:rFonts w:hint="default" w:ascii="Times New Roman" w:hAnsi="Times New Roman" w:eastAsia="方正仿宋_GB2312" w:cs="Times New Roman"/>
                <w:b w:val="0"/>
                <w:bCs w:val="0"/>
                <w:kern w:val="0"/>
                <w:sz w:val="21"/>
                <w:szCs w:val="21"/>
                <w:highlight w:val="none"/>
                <w:lang w:val="en-US" w:eastAsia="zh-CN" w:bidi="ar-SA"/>
              </w:rPr>
            </w:pPr>
            <w:r>
              <w:rPr>
                <w:rFonts w:hint="eastAsia" w:ascii="Times New Roman" w:hAnsi="Times New Roman" w:eastAsia="方正仿宋_GB2312" w:cs="Times New Roman"/>
                <w:b w:val="0"/>
                <w:bCs w:val="0"/>
                <w:kern w:val="0"/>
                <w:szCs w:val="21"/>
                <w:highlight w:val="none"/>
                <w:lang w:val="en-US" w:eastAsia="zh-CN"/>
              </w:rPr>
              <w:t>8</w:t>
            </w:r>
          </w:p>
        </w:tc>
        <w:tc>
          <w:tcPr>
            <w:tcW w:w="3999" w:type="dxa"/>
            <w:gridSpan w:val="3"/>
            <w:shd w:val="clear" w:color="auto" w:fill="auto"/>
            <w:noWrap w:val="0"/>
            <w:tcMar>
              <w:left w:w="57" w:type="dxa"/>
              <w:right w:w="57" w:type="dxa"/>
            </w:tcMar>
            <w:vAlign w:val="center"/>
          </w:tcPr>
          <w:p w14:paraId="0F2DA519">
            <w:pPr>
              <w:widowControl/>
              <w:shd w:val="clear" w:color="auto" w:fill="auto"/>
              <w:snapToGrid w:val="0"/>
              <w:spacing w:line="240" w:lineRule="atLeast"/>
              <w:jc w:val="left"/>
              <w:rPr>
                <w:rFonts w:hint="eastAsia" w:ascii="Times New Roman" w:hAnsi="Times New Roman" w:eastAsia="仿宋_GB2312" w:cs="方正仿宋_GBK"/>
                <w:b w:val="0"/>
                <w:bCs w:val="0"/>
                <w:szCs w:val="21"/>
                <w:highlight w:val="none"/>
                <w:lang w:val="en-US" w:eastAsia="zh-CN"/>
              </w:rPr>
            </w:pPr>
            <w:r>
              <w:rPr>
                <w:rFonts w:hint="eastAsia" w:ascii="Times New Roman" w:hAnsi="Times New Roman" w:eastAsia="仿宋_GB2312" w:cs="方正仿宋_GBK"/>
                <w:b w:val="0"/>
                <w:bCs w:val="0"/>
                <w:szCs w:val="21"/>
                <w:highlight w:val="none"/>
              </w:rPr>
              <w:t>劳动年龄人口平均受教育年限</w:t>
            </w:r>
            <w:r>
              <w:rPr>
                <w:rFonts w:hint="eastAsia" w:ascii="Times New Roman" w:hAnsi="Times New Roman" w:eastAsia="仿宋_GB2312" w:cs="方正仿宋_GBK"/>
                <w:b w:val="0"/>
                <w:bCs w:val="0"/>
                <w:szCs w:val="21"/>
                <w:highlight w:val="none"/>
                <w:lang w:eastAsia="zh-CN"/>
              </w:rPr>
              <w:t>（</w:t>
            </w:r>
            <w:r>
              <w:rPr>
                <w:rFonts w:hint="default" w:ascii="Times New Roman" w:hAnsi="Times New Roman" w:eastAsia="仿宋_GB2312" w:cs="方正仿宋_GBK"/>
                <w:b w:val="0"/>
                <w:bCs w:val="0"/>
                <w:szCs w:val="21"/>
                <w:highlight w:val="none"/>
              </w:rPr>
              <w:t>年</w:t>
            </w:r>
            <w:r>
              <w:rPr>
                <w:rFonts w:hint="eastAsia" w:ascii="Times New Roman" w:hAnsi="Times New Roman" w:eastAsia="仿宋_GB2312" w:cs="方正仿宋_GBK"/>
                <w:b w:val="0"/>
                <w:bCs w:val="0"/>
                <w:szCs w:val="21"/>
                <w:highlight w:val="none"/>
                <w:lang w:eastAsia="zh-CN"/>
              </w:rPr>
              <w:t>）</w:t>
            </w:r>
          </w:p>
        </w:tc>
        <w:tc>
          <w:tcPr>
            <w:tcW w:w="912" w:type="dxa"/>
            <w:shd w:val="clear" w:color="auto" w:fill="auto"/>
            <w:noWrap w:val="0"/>
            <w:vAlign w:val="center"/>
          </w:tcPr>
          <w:p w14:paraId="61857C98">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10.81*</w:t>
            </w:r>
          </w:p>
        </w:tc>
        <w:tc>
          <w:tcPr>
            <w:tcW w:w="1160" w:type="dxa"/>
            <w:shd w:val="clear" w:color="auto" w:fill="auto"/>
            <w:noWrap w:val="0"/>
            <w:vAlign w:val="center"/>
          </w:tcPr>
          <w:p w14:paraId="74CA34C0">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11.7</w:t>
            </w:r>
          </w:p>
        </w:tc>
        <w:tc>
          <w:tcPr>
            <w:tcW w:w="1930" w:type="dxa"/>
            <w:shd w:val="clear" w:color="auto" w:fill="auto"/>
            <w:noWrap w:val="0"/>
            <w:vAlign w:val="center"/>
          </w:tcPr>
          <w:p w14:paraId="7C65B6D2">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013" w:type="dxa"/>
            <w:shd w:val="clear" w:color="auto" w:fill="auto"/>
            <w:noWrap w:val="0"/>
            <w:vAlign w:val="center"/>
          </w:tcPr>
          <w:p w14:paraId="5EA36B73">
            <w:pPr>
              <w:widowControl/>
              <w:shd w:val="clear" w:color="auto" w:fill="auto"/>
              <w:snapToGrid w:val="0"/>
              <w:spacing w:line="240" w:lineRule="atLeast"/>
              <w:jc w:val="center"/>
              <w:rPr>
                <w:rFonts w:hint="eastAsia" w:ascii="Times New Roman" w:hAnsi="Times New Roman" w:eastAsia="方正仿宋_GBK" w:cs="方正仿宋_GBK"/>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rPr>
              <w:t>约束性</w:t>
            </w:r>
          </w:p>
        </w:tc>
      </w:tr>
      <w:tr w14:paraId="54FB9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16" w:type="dxa"/>
            <w:vMerge w:val="continue"/>
            <w:noWrap w:val="0"/>
            <w:vAlign w:val="center"/>
          </w:tcPr>
          <w:p w14:paraId="29C3022D">
            <w:pPr>
              <w:widowControl/>
              <w:shd w:val="clear" w:color="auto" w:fill="auto"/>
              <w:snapToGrid w:val="0"/>
              <w:spacing w:line="240" w:lineRule="atLeast"/>
              <w:jc w:val="center"/>
              <w:rPr>
                <w:rFonts w:hint="default" w:ascii="Times New Roman" w:hAnsi="Times New Roman" w:eastAsia="黑体" w:cs="Times New Roman"/>
                <w:b w:val="0"/>
                <w:bCs w:val="0"/>
                <w:kern w:val="0"/>
                <w:szCs w:val="21"/>
                <w:highlight w:val="none"/>
              </w:rPr>
            </w:pPr>
          </w:p>
        </w:tc>
        <w:tc>
          <w:tcPr>
            <w:tcW w:w="615" w:type="dxa"/>
            <w:vMerge w:val="restart"/>
            <w:shd w:val="clear" w:color="auto" w:fill="auto"/>
            <w:noWrap w:val="0"/>
            <w:tcMar>
              <w:left w:w="28" w:type="dxa"/>
              <w:right w:w="28" w:type="dxa"/>
            </w:tcMar>
            <w:vAlign w:val="center"/>
          </w:tcPr>
          <w:p w14:paraId="4AE01DBB">
            <w:pPr>
              <w:widowControl/>
              <w:shd w:val="clear" w:color="auto" w:fill="auto"/>
              <w:snapToGrid w:val="0"/>
              <w:spacing w:line="240" w:lineRule="atLeast"/>
              <w:jc w:val="center"/>
              <w:rPr>
                <w:rFonts w:hint="default" w:ascii="Times New Roman" w:hAnsi="Times New Roman" w:eastAsia="方正仿宋_GB2312" w:cs="Times New Roman"/>
                <w:b w:val="0"/>
                <w:bCs w:val="0"/>
                <w:kern w:val="0"/>
                <w:szCs w:val="21"/>
                <w:highlight w:val="none"/>
                <w:lang w:val="en-US" w:eastAsia="zh-CN"/>
              </w:rPr>
            </w:pPr>
            <w:r>
              <w:rPr>
                <w:rFonts w:hint="eastAsia" w:ascii="Times New Roman" w:hAnsi="Times New Roman" w:eastAsia="方正仿宋_GB2312" w:cs="Times New Roman"/>
                <w:b w:val="0"/>
                <w:bCs w:val="0"/>
                <w:kern w:val="0"/>
                <w:szCs w:val="21"/>
                <w:highlight w:val="none"/>
                <w:lang w:val="en-US" w:eastAsia="zh-CN"/>
              </w:rPr>
              <w:t>9</w:t>
            </w:r>
          </w:p>
        </w:tc>
        <w:tc>
          <w:tcPr>
            <w:tcW w:w="1359" w:type="dxa"/>
            <w:vMerge w:val="restart"/>
            <w:shd w:val="clear" w:color="auto" w:fill="auto"/>
            <w:noWrap w:val="0"/>
            <w:tcMar>
              <w:left w:w="57" w:type="dxa"/>
              <w:right w:w="57" w:type="dxa"/>
            </w:tcMar>
            <w:vAlign w:val="center"/>
          </w:tcPr>
          <w:p w14:paraId="3836CFAA">
            <w:pPr>
              <w:widowControl/>
              <w:shd w:val="clear" w:color="auto" w:fill="auto"/>
              <w:snapToGrid w:val="0"/>
              <w:spacing w:line="240" w:lineRule="atLeast"/>
              <w:jc w:val="left"/>
              <w:rPr>
                <w:rFonts w:hint="default" w:ascii="Times New Roman" w:hAnsi="Times New Roman" w:eastAsia="仿宋_GB2312" w:cs="方正仿宋_GBK"/>
                <w:b w:val="0"/>
                <w:bCs w:val="0"/>
                <w:szCs w:val="21"/>
                <w:highlight w:val="none"/>
                <w:lang w:val="en-US" w:eastAsia="zh-CN"/>
              </w:rPr>
            </w:pPr>
            <w:r>
              <w:rPr>
                <w:rFonts w:hint="eastAsia" w:ascii="Times New Roman" w:hAnsi="Times New Roman" w:eastAsia="仿宋_GB2312" w:cs="方正仿宋_GBK"/>
                <w:b w:val="0"/>
                <w:bCs w:val="0"/>
                <w:spacing w:val="-6"/>
                <w:szCs w:val="21"/>
                <w:highlight w:val="none"/>
                <w:lang w:val="en-US" w:eastAsia="zh-CN"/>
              </w:rPr>
              <w:t>每千人口拥有医护人员数</w:t>
            </w:r>
          </w:p>
        </w:tc>
        <w:tc>
          <w:tcPr>
            <w:tcW w:w="1560" w:type="dxa"/>
            <w:shd w:val="clear" w:color="auto" w:fill="auto"/>
            <w:noWrap w:val="0"/>
            <w:tcMar>
              <w:left w:w="57" w:type="dxa"/>
              <w:right w:w="57" w:type="dxa"/>
            </w:tcMar>
            <w:vAlign w:val="center"/>
          </w:tcPr>
          <w:p w14:paraId="25D73273">
            <w:pPr>
              <w:widowControl/>
              <w:shd w:val="clear" w:color="auto" w:fill="auto"/>
              <w:snapToGrid w:val="0"/>
              <w:spacing w:line="240" w:lineRule="atLeast"/>
              <w:jc w:val="left"/>
              <w:rPr>
                <w:rFonts w:hint="default" w:ascii="Times New Roman" w:hAnsi="Times New Roman" w:eastAsia="仿宋_GB2312" w:cs="方正仿宋_GBK"/>
                <w:b w:val="0"/>
                <w:bCs w:val="0"/>
                <w:szCs w:val="21"/>
                <w:highlight w:val="none"/>
                <w:lang w:val="en-US" w:eastAsia="zh-CN"/>
              </w:rPr>
            </w:pPr>
            <w:r>
              <w:rPr>
                <w:rFonts w:hint="eastAsia" w:ascii="Times New Roman" w:hAnsi="Times New Roman" w:eastAsia="仿宋_GB2312" w:cs="方正仿宋_GBK"/>
                <w:b w:val="0"/>
                <w:bCs w:val="0"/>
                <w:szCs w:val="21"/>
                <w:highlight w:val="none"/>
                <w:lang w:val="en-US" w:eastAsia="zh-CN"/>
              </w:rPr>
              <w:t>执业医师数</w:t>
            </w:r>
          </w:p>
        </w:tc>
        <w:tc>
          <w:tcPr>
            <w:tcW w:w="1080" w:type="dxa"/>
            <w:shd w:val="clear" w:color="auto" w:fill="auto"/>
            <w:noWrap w:val="0"/>
            <w:vAlign w:val="center"/>
          </w:tcPr>
          <w:p w14:paraId="37273BF9">
            <w:pPr>
              <w:widowControl/>
              <w:shd w:val="clear" w:color="auto" w:fill="auto"/>
              <w:snapToGrid w:val="0"/>
              <w:spacing w:line="240" w:lineRule="atLeast"/>
              <w:jc w:val="center"/>
              <w:rPr>
                <w:rFonts w:hint="eastAsia" w:ascii="Times New Roman" w:hAnsi="Times New Roman" w:eastAsia="仿宋_GB2312" w:cs="方正仿宋_GBK"/>
                <w:b w:val="0"/>
                <w:bCs w:val="0"/>
                <w:szCs w:val="21"/>
                <w:highlight w:val="none"/>
                <w:lang w:val="en-US" w:eastAsia="zh-CN"/>
              </w:rPr>
            </w:pPr>
            <w:r>
              <w:rPr>
                <w:rFonts w:hint="eastAsia" w:ascii="Times New Roman" w:hAnsi="Times New Roman" w:eastAsia="仿宋_GB2312" w:cs="方正仿宋_GBK"/>
                <w:b w:val="0"/>
                <w:bCs w:val="0"/>
                <w:szCs w:val="21"/>
                <w:highlight w:val="none"/>
                <w:lang w:val="en-US" w:eastAsia="zh-CN"/>
              </w:rPr>
              <w:t>人</w:t>
            </w:r>
          </w:p>
        </w:tc>
        <w:tc>
          <w:tcPr>
            <w:tcW w:w="912" w:type="dxa"/>
            <w:shd w:val="clear" w:color="auto" w:fill="auto"/>
            <w:noWrap w:val="0"/>
            <w:vAlign w:val="center"/>
          </w:tcPr>
          <w:p w14:paraId="63193245">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3.72</w:t>
            </w:r>
          </w:p>
        </w:tc>
        <w:tc>
          <w:tcPr>
            <w:tcW w:w="1160" w:type="dxa"/>
            <w:shd w:val="clear" w:color="auto" w:fill="auto"/>
            <w:noWrap w:val="0"/>
            <w:vAlign w:val="center"/>
          </w:tcPr>
          <w:p w14:paraId="7E20AE1B">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4.5</w:t>
            </w:r>
          </w:p>
        </w:tc>
        <w:tc>
          <w:tcPr>
            <w:tcW w:w="1930" w:type="dxa"/>
            <w:shd w:val="clear" w:color="auto" w:fill="auto"/>
            <w:noWrap w:val="0"/>
            <w:vAlign w:val="center"/>
          </w:tcPr>
          <w:p w14:paraId="58B81606">
            <w:pPr>
              <w:widowControl/>
              <w:shd w:val="clear" w:color="auto" w:fill="auto"/>
              <w:snapToGrid w:val="0"/>
              <w:spacing w:line="240" w:lineRule="atLeast"/>
              <w:jc w:val="center"/>
              <w:rPr>
                <w:rFonts w:hint="eastAsia" w:ascii="Times New Roman" w:hAnsi="Times New Roman" w:eastAsia="方正仿宋_GB2312" w:cs="方正仿宋_GB2312"/>
                <w:b w:val="0"/>
                <w:bCs w:val="0"/>
                <w:kern w:val="0"/>
                <w:szCs w:val="21"/>
                <w:highlight w:val="none"/>
                <w:lang w:val="en-US" w:eastAsia="zh-CN"/>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013" w:type="dxa"/>
            <w:shd w:val="clear" w:color="auto" w:fill="auto"/>
            <w:noWrap w:val="0"/>
            <w:vAlign w:val="center"/>
          </w:tcPr>
          <w:p w14:paraId="1AEAFF2D">
            <w:pPr>
              <w:widowControl/>
              <w:shd w:val="clear" w:color="auto" w:fill="auto"/>
              <w:snapToGrid w:val="0"/>
              <w:spacing w:line="240" w:lineRule="atLeast"/>
              <w:jc w:val="center"/>
              <w:rPr>
                <w:rFonts w:hint="eastAsia" w:ascii="Times New Roman" w:hAnsi="Times New Roman" w:eastAsia="仿宋_GB2312" w:cs="方正仿宋_GBK"/>
                <w:b w:val="0"/>
                <w:bCs w:val="0"/>
                <w:szCs w:val="21"/>
                <w:highlight w:val="none"/>
                <w:lang w:val="en-US" w:eastAsia="zh-CN"/>
              </w:rPr>
            </w:pPr>
            <w:r>
              <w:rPr>
                <w:rFonts w:hint="eastAsia" w:ascii="Times New Roman" w:hAnsi="Times New Roman" w:eastAsia="仿宋_GB2312" w:cs="方正仿宋_GBK"/>
                <w:b w:val="0"/>
                <w:bCs w:val="0"/>
                <w:szCs w:val="21"/>
                <w:highlight w:val="none"/>
                <w:lang w:val="en-US" w:eastAsia="zh-CN"/>
              </w:rPr>
              <w:t>预期性</w:t>
            </w:r>
          </w:p>
        </w:tc>
      </w:tr>
      <w:tr w14:paraId="7B4C2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16" w:type="dxa"/>
            <w:vMerge w:val="continue"/>
            <w:noWrap w:val="0"/>
            <w:vAlign w:val="center"/>
          </w:tcPr>
          <w:p w14:paraId="28E577AF">
            <w:pPr>
              <w:widowControl/>
              <w:shd w:val="clear" w:color="auto" w:fill="auto"/>
              <w:snapToGrid w:val="0"/>
              <w:spacing w:line="240" w:lineRule="atLeast"/>
              <w:jc w:val="center"/>
              <w:rPr>
                <w:rFonts w:hint="default" w:ascii="Times New Roman" w:hAnsi="Times New Roman" w:eastAsia="黑体" w:cs="Times New Roman"/>
                <w:b w:val="0"/>
                <w:bCs w:val="0"/>
                <w:kern w:val="0"/>
                <w:szCs w:val="21"/>
                <w:highlight w:val="none"/>
              </w:rPr>
            </w:pPr>
          </w:p>
        </w:tc>
        <w:tc>
          <w:tcPr>
            <w:tcW w:w="615" w:type="dxa"/>
            <w:vMerge w:val="continue"/>
            <w:shd w:val="clear" w:color="auto" w:fill="auto"/>
            <w:noWrap w:val="0"/>
            <w:tcMar>
              <w:left w:w="28" w:type="dxa"/>
              <w:right w:w="28" w:type="dxa"/>
            </w:tcMar>
            <w:vAlign w:val="center"/>
          </w:tcPr>
          <w:p w14:paraId="5C3235E2">
            <w:pPr>
              <w:widowControl/>
              <w:shd w:val="clear" w:color="auto" w:fill="auto"/>
              <w:snapToGrid w:val="0"/>
              <w:spacing w:line="240" w:lineRule="atLeast"/>
              <w:jc w:val="center"/>
              <w:rPr>
                <w:rFonts w:hint="default" w:ascii="Times New Roman" w:hAnsi="Times New Roman" w:eastAsia="方正仿宋_GB2312" w:cs="Times New Roman"/>
                <w:b w:val="0"/>
                <w:bCs w:val="0"/>
                <w:kern w:val="0"/>
                <w:sz w:val="21"/>
                <w:szCs w:val="21"/>
                <w:highlight w:val="none"/>
                <w:lang w:val="en-US" w:eastAsia="zh-CN" w:bidi="ar-SA"/>
              </w:rPr>
            </w:pPr>
          </w:p>
        </w:tc>
        <w:tc>
          <w:tcPr>
            <w:tcW w:w="1359" w:type="dxa"/>
            <w:vMerge w:val="continue"/>
            <w:shd w:val="clear" w:color="auto" w:fill="auto"/>
            <w:noWrap w:val="0"/>
            <w:tcMar>
              <w:left w:w="57" w:type="dxa"/>
              <w:right w:w="57" w:type="dxa"/>
            </w:tcMar>
            <w:vAlign w:val="center"/>
          </w:tcPr>
          <w:p w14:paraId="58069942">
            <w:pPr>
              <w:widowControl/>
              <w:shd w:val="clear" w:color="auto" w:fill="auto"/>
              <w:snapToGrid w:val="0"/>
              <w:spacing w:line="240" w:lineRule="atLeast"/>
              <w:jc w:val="left"/>
              <w:rPr>
                <w:rFonts w:hint="eastAsia" w:ascii="Times New Roman" w:hAnsi="Times New Roman" w:eastAsia="仿宋_GB2312" w:cs="方正仿宋_GBK"/>
                <w:b w:val="0"/>
                <w:bCs w:val="0"/>
                <w:szCs w:val="21"/>
                <w:highlight w:val="none"/>
              </w:rPr>
            </w:pPr>
          </w:p>
        </w:tc>
        <w:tc>
          <w:tcPr>
            <w:tcW w:w="1560" w:type="dxa"/>
            <w:shd w:val="clear" w:color="auto" w:fill="auto"/>
            <w:noWrap w:val="0"/>
            <w:tcMar>
              <w:left w:w="57" w:type="dxa"/>
              <w:right w:w="57" w:type="dxa"/>
            </w:tcMar>
            <w:vAlign w:val="center"/>
          </w:tcPr>
          <w:p w14:paraId="73926EC0">
            <w:pPr>
              <w:widowControl/>
              <w:shd w:val="clear" w:color="auto" w:fill="auto"/>
              <w:snapToGrid w:val="0"/>
              <w:spacing w:line="240" w:lineRule="atLeast"/>
              <w:jc w:val="left"/>
              <w:rPr>
                <w:rFonts w:hint="eastAsia" w:ascii="Times New Roman" w:hAnsi="Times New Roman" w:eastAsia="仿宋_GB2312" w:cs="方正仿宋_GBK"/>
                <w:b w:val="0"/>
                <w:bCs w:val="0"/>
                <w:szCs w:val="21"/>
                <w:highlight w:val="none"/>
                <w:lang w:val="en-US" w:eastAsia="zh-CN"/>
              </w:rPr>
            </w:pPr>
            <w:r>
              <w:rPr>
                <w:rFonts w:hint="eastAsia" w:ascii="Times New Roman" w:hAnsi="Times New Roman" w:eastAsia="仿宋_GB2312" w:cs="方正仿宋_GBK"/>
                <w:b w:val="0"/>
                <w:bCs w:val="0"/>
                <w:szCs w:val="21"/>
                <w:highlight w:val="none"/>
                <w:lang w:val="en-US" w:eastAsia="zh-CN"/>
              </w:rPr>
              <w:t>注册护士数</w:t>
            </w:r>
          </w:p>
        </w:tc>
        <w:tc>
          <w:tcPr>
            <w:tcW w:w="1080" w:type="dxa"/>
            <w:shd w:val="clear" w:color="auto" w:fill="auto"/>
            <w:noWrap w:val="0"/>
            <w:vAlign w:val="center"/>
          </w:tcPr>
          <w:p w14:paraId="09F0BF71">
            <w:pPr>
              <w:widowControl/>
              <w:shd w:val="clear" w:color="auto" w:fill="auto"/>
              <w:snapToGrid w:val="0"/>
              <w:spacing w:line="240" w:lineRule="atLeast"/>
              <w:jc w:val="center"/>
              <w:rPr>
                <w:rFonts w:hint="eastAsia" w:ascii="Times New Roman" w:hAnsi="Times New Roman" w:eastAsia="仿宋_GB2312" w:cs="方正仿宋_GBK"/>
                <w:b w:val="0"/>
                <w:bCs w:val="0"/>
                <w:szCs w:val="21"/>
                <w:highlight w:val="none"/>
                <w:lang w:val="en-US" w:eastAsia="zh-CN"/>
              </w:rPr>
            </w:pPr>
            <w:r>
              <w:rPr>
                <w:rFonts w:hint="eastAsia" w:ascii="Times New Roman" w:hAnsi="Times New Roman" w:eastAsia="仿宋_GB2312" w:cs="方正仿宋_GBK"/>
                <w:b w:val="0"/>
                <w:bCs w:val="0"/>
                <w:szCs w:val="21"/>
                <w:highlight w:val="none"/>
                <w:lang w:val="en-US" w:eastAsia="zh-CN"/>
              </w:rPr>
              <w:t>人</w:t>
            </w:r>
          </w:p>
        </w:tc>
        <w:tc>
          <w:tcPr>
            <w:tcW w:w="912" w:type="dxa"/>
            <w:shd w:val="clear" w:color="auto" w:fill="auto"/>
            <w:noWrap w:val="0"/>
            <w:vAlign w:val="center"/>
          </w:tcPr>
          <w:p w14:paraId="1447294A">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4.24</w:t>
            </w:r>
          </w:p>
        </w:tc>
        <w:tc>
          <w:tcPr>
            <w:tcW w:w="1160" w:type="dxa"/>
            <w:shd w:val="clear" w:color="auto" w:fill="auto"/>
            <w:noWrap w:val="0"/>
            <w:vAlign w:val="center"/>
          </w:tcPr>
          <w:p w14:paraId="1BEA6625">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5.5</w:t>
            </w:r>
          </w:p>
        </w:tc>
        <w:tc>
          <w:tcPr>
            <w:tcW w:w="1930" w:type="dxa"/>
            <w:shd w:val="clear" w:color="auto" w:fill="auto"/>
            <w:noWrap w:val="0"/>
            <w:vAlign w:val="center"/>
          </w:tcPr>
          <w:p w14:paraId="78722B44">
            <w:pPr>
              <w:widowControl/>
              <w:shd w:val="clear" w:color="auto" w:fill="auto"/>
              <w:snapToGrid w:val="0"/>
              <w:spacing w:line="240" w:lineRule="atLeast"/>
              <w:jc w:val="center"/>
              <w:rPr>
                <w:rFonts w:hint="eastAsia" w:ascii="Times New Roman" w:hAnsi="Times New Roman" w:eastAsia="方正仿宋_GB2312" w:cs="方正仿宋_GB2312"/>
                <w:b w:val="0"/>
                <w:bCs w:val="0"/>
                <w:kern w:val="0"/>
                <w:szCs w:val="21"/>
                <w:highlight w:val="none"/>
                <w:lang w:val="en-US" w:eastAsia="zh-CN"/>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013" w:type="dxa"/>
            <w:shd w:val="clear" w:color="auto" w:fill="auto"/>
            <w:noWrap w:val="0"/>
            <w:vAlign w:val="center"/>
          </w:tcPr>
          <w:p w14:paraId="34CB3AE9">
            <w:pPr>
              <w:widowControl/>
              <w:shd w:val="clear" w:color="auto" w:fill="auto"/>
              <w:snapToGrid w:val="0"/>
              <w:spacing w:line="240" w:lineRule="atLeast"/>
              <w:jc w:val="center"/>
              <w:rPr>
                <w:rFonts w:hint="eastAsia" w:ascii="Times New Roman" w:hAnsi="Times New Roman" w:eastAsia="仿宋_GB2312" w:cs="方正仿宋_GBK"/>
                <w:b w:val="0"/>
                <w:bCs w:val="0"/>
                <w:szCs w:val="21"/>
                <w:highlight w:val="none"/>
                <w:lang w:val="en-US" w:eastAsia="zh-CN"/>
              </w:rPr>
            </w:pPr>
            <w:r>
              <w:rPr>
                <w:rFonts w:hint="eastAsia" w:ascii="Times New Roman" w:hAnsi="Times New Roman" w:eastAsia="仿宋_GB2312" w:cs="方正仿宋_GBK"/>
                <w:b w:val="0"/>
                <w:bCs w:val="0"/>
                <w:szCs w:val="21"/>
                <w:highlight w:val="none"/>
                <w:lang w:val="en-US" w:eastAsia="zh-CN"/>
              </w:rPr>
              <w:t>预期性</w:t>
            </w:r>
          </w:p>
        </w:tc>
      </w:tr>
      <w:tr w14:paraId="798E5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6" w:type="dxa"/>
            <w:vMerge w:val="continue"/>
            <w:noWrap w:val="0"/>
            <w:vAlign w:val="center"/>
          </w:tcPr>
          <w:p w14:paraId="2E2DFD41">
            <w:pPr>
              <w:widowControl/>
              <w:shd w:val="clear" w:color="auto" w:fill="auto"/>
              <w:snapToGrid w:val="0"/>
              <w:spacing w:line="240" w:lineRule="atLeast"/>
              <w:jc w:val="center"/>
              <w:rPr>
                <w:rFonts w:hint="default" w:ascii="Times New Roman" w:hAnsi="Times New Roman" w:eastAsia="黑体" w:cs="Times New Roman"/>
                <w:b w:val="0"/>
                <w:bCs w:val="0"/>
                <w:kern w:val="0"/>
                <w:szCs w:val="21"/>
                <w:highlight w:val="none"/>
              </w:rPr>
            </w:pPr>
          </w:p>
        </w:tc>
        <w:tc>
          <w:tcPr>
            <w:tcW w:w="615" w:type="dxa"/>
            <w:shd w:val="clear" w:color="auto" w:fill="auto"/>
            <w:noWrap w:val="0"/>
            <w:tcMar>
              <w:left w:w="28" w:type="dxa"/>
              <w:right w:w="28" w:type="dxa"/>
            </w:tcMar>
            <w:vAlign w:val="center"/>
          </w:tcPr>
          <w:p w14:paraId="651881BD">
            <w:pPr>
              <w:widowControl/>
              <w:shd w:val="clear" w:color="auto" w:fill="auto"/>
              <w:snapToGrid w:val="0"/>
              <w:spacing w:line="240" w:lineRule="atLeast"/>
              <w:jc w:val="center"/>
              <w:rPr>
                <w:rFonts w:hint="default" w:ascii="Times New Roman" w:hAnsi="Times New Roman" w:eastAsia="方正仿宋_GB2312" w:cs="Times New Roman"/>
                <w:b w:val="0"/>
                <w:bCs w:val="0"/>
                <w:kern w:val="0"/>
                <w:sz w:val="21"/>
                <w:szCs w:val="21"/>
                <w:highlight w:val="none"/>
                <w:lang w:val="en-US" w:eastAsia="zh-CN" w:bidi="ar-SA"/>
              </w:rPr>
            </w:pPr>
            <w:r>
              <w:rPr>
                <w:rFonts w:hint="default" w:ascii="Times New Roman" w:hAnsi="Times New Roman" w:eastAsia="方正仿宋_GB2312" w:cs="Times New Roman"/>
                <w:b w:val="0"/>
                <w:bCs w:val="0"/>
                <w:kern w:val="0"/>
                <w:szCs w:val="21"/>
                <w:highlight w:val="none"/>
              </w:rPr>
              <w:t>1</w:t>
            </w:r>
            <w:r>
              <w:rPr>
                <w:rFonts w:hint="eastAsia" w:ascii="Times New Roman" w:hAnsi="Times New Roman" w:eastAsia="方正仿宋_GB2312" w:cs="Times New Roman"/>
                <w:b w:val="0"/>
                <w:bCs w:val="0"/>
                <w:kern w:val="0"/>
                <w:szCs w:val="21"/>
                <w:highlight w:val="none"/>
                <w:lang w:val="en-US" w:eastAsia="zh-CN"/>
              </w:rPr>
              <w:t>0</w:t>
            </w:r>
          </w:p>
        </w:tc>
        <w:tc>
          <w:tcPr>
            <w:tcW w:w="3999" w:type="dxa"/>
            <w:gridSpan w:val="3"/>
            <w:shd w:val="clear" w:color="auto" w:fill="auto"/>
            <w:noWrap w:val="0"/>
            <w:tcMar>
              <w:left w:w="57" w:type="dxa"/>
              <w:right w:w="57" w:type="dxa"/>
            </w:tcMar>
            <w:vAlign w:val="center"/>
          </w:tcPr>
          <w:p w14:paraId="71E0D77B">
            <w:pPr>
              <w:widowControl/>
              <w:shd w:val="clear" w:color="auto" w:fill="auto"/>
              <w:snapToGrid w:val="0"/>
              <w:spacing w:line="240" w:lineRule="atLeast"/>
              <w:jc w:val="left"/>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lang w:val="en-US" w:eastAsia="zh-CN"/>
              </w:rPr>
              <w:t>养老机构护理型床位占比（</w:t>
            </w:r>
            <w:r>
              <w:rPr>
                <w:rFonts w:hint="eastAsia" w:ascii="Times New Roman" w:hAnsi="Times New Roman" w:eastAsia="方正仿宋_GB2312" w:cs="Times New Roman"/>
                <w:b w:val="0"/>
                <w:bCs w:val="0"/>
                <w:szCs w:val="21"/>
                <w:highlight w:val="none"/>
                <w:lang w:val="en-US" w:eastAsia="zh-CN"/>
              </w:rPr>
              <w:t>%）</w:t>
            </w:r>
          </w:p>
        </w:tc>
        <w:tc>
          <w:tcPr>
            <w:tcW w:w="912" w:type="dxa"/>
            <w:shd w:val="clear" w:color="auto" w:fill="auto"/>
            <w:noWrap w:val="0"/>
            <w:vAlign w:val="center"/>
          </w:tcPr>
          <w:p w14:paraId="12B6E0AB">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70</w:t>
            </w:r>
          </w:p>
        </w:tc>
        <w:tc>
          <w:tcPr>
            <w:tcW w:w="1160" w:type="dxa"/>
            <w:shd w:val="clear" w:color="auto" w:fill="auto"/>
            <w:noWrap w:val="0"/>
            <w:vAlign w:val="center"/>
          </w:tcPr>
          <w:p w14:paraId="7BB5A760">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75</w:t>
            </w:r>
          </w:p>
        </w:tc>
        <w:tc>
          <w:tcPr>
            <w:tcW w:w="1930" w:type="dxa"/>
            <w:shd w:val="clear" w:color="auto" w:fill="auto"/>
            <w:noWrap w:val="0"/>
            <w:vAlign w:val="center"/>
          </w:tcPr>
          <w:p w14:paraId="7FF0DB8E">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013" w:type="dxa"/>
            <w:shd w:val="clear" w:color="auto" w:fill="auto"/>
            <w:noWrap w:val="0"/>
            <w:vAlign w:val="center"/>
          </w:tcPr>
          <w:p w14:paraId="56AC7DA5">
            <w:pPr>
              <w:widowControl/>
              <w:shd w:val="clear" w:color="auto" w:fill="auto"/>
              <w:snapToGrid w:val="0"/>
              <w:spacing w:line="240" w:lineRule="atLeast"/>
              <w:jc w:val="center"/>
              <w:rPr>
                <w:rFonts w:hint="eastAsia" w:ascii="Times New Roman" w:hAnsi="Times New Roman" w:eastAsia="方正仿宋_GBK" w:cs="方正仿宋_GBK"/>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rPr>
              <w:t>预期性</w:t>
            </w:r>
          </w:p>
        </w:tc>
      </w:tr>
      <w:tr w14:paraId="72842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6" w:type="dxa"/>
            <w:vMerge w:val="continue"/>
            <w:noWrap w:val="0"/>
            <w:vAlign w:val="center"/>
          </w:tcPr>
          <w:p w14:paraId="03860D9B">
            <w:pPr>
              <w:widowControl/>
              <w:shd w:val="clear" w:color="auto" w:fill="auto"/>
              <w:snapToGrid w:val="0"/>
              <w:spacing w:line="240" w:lineRule="atLeast"/>
              <w:jc w:val="center"/>
              <w:rPr>
                <w:rFonts w:hint="default" w:ascii="Times New Roman" w:hAnsi="Times New Roman" w:eastAsia="黑体" w:cs="Times New Roman"/>
                <w:b w:val="0"/>
                <w:bCs w:val="0"/>
                <w:kern w:val="0"/>
                <w:szCs w:val="21"/>
                <w:highlight w:val="none"/>
              </w:rPr>
            </w:pPr>
          </w:p>
        </w:tc>
        <w:tc>
          <w:tcPr>
            <w:tcW w:w="615" w:type="dxa"/>
            <w:shd w:val="clear" w:color="auto" w:fill="auto"/>
            <w:noWrap w:val="0"/>
            <w:tcMar>
              <w:left w:w="28" w:type="dxa"/>
              <w:right w:w="28" w:type="dxa"/>
            </w:tcMar>
            <w:vAlign w:val="center"/>
          </w:tcPr>
          <w:p w14:paraId="565AFF98">
            <w:pPr>
              <w:widowControl/>
              <w:shd w:val="clear" w:color="auto" w:fill="auto"/>
              <w:snapToGrid w:val="0"/>
              <w:spacing w:line="240" w:lineRule="atLeast"/>
              <w:jc w:val="center"/>
              <w:rPr>
                <w:rFonts w:hint="default" w:ascii="Times New Roman" w:hAnsi="Times New Roman" w:eastAsia="方正仿宋_GB2312" w:cs="Times New Roman"/>
                <w:b w:val="0"/>
                <w:bCs w:val="0"/>
                <w:kern w:val="0"/>
                <w:sz w:val="21"/>
                <w:szCs w:val="21"/>
                <w:highlight w:val="none"/>
                <w:lang w:val="en-US" w:eastAsia="zh-CN" w:bidi="ar-SA"/>
              </w:rPr>
            </w:pPr>
            <w:r>
              <w:rPr>
                <w:rFonts w:hint="default" w:ascii="Times New Roman" w:hAnsi="Times New Roman" w:eastAsia="方正仿宋_GB2312" w:cs="Times New Roman"/>
                <w:b w:val="0"/>
                <w:bCs w:val="0"/>
                <w:kern w:val="0"/>
                <w:szCs w:val="21"/>
                <w:highlight w:val="none"/>
              </w:rPr>
              <w:t>1</w:t>
            </w:r>
            <w:r>
              <w:rPr>
                <w:rFonts w:hint="eastAsia" w:ascii="Times New Roman" w:hAnsi="Times New Roman" w:eastAsia="方正仿宋_GB2312" w:cs="Times New Roman"/>
                <w:b w:val="0"/>
                <w:bCs w:val="0"/>
                <w:kern w:val="0"/>
                <w:szCs w:val="21"/>
                <w:highlight w:val="none"/>
                <w:lang w:val="en-US" w:eastAsia="zh-CN"/>
              </w:rPr>
              <w:t>1</w:t>
            </w:r>
          </w:p>
        </w:tc>
        <w:tc>
          <w:tcPr>
            <w:tcW w:w="3999" w:type="dxa"/>
            <w:gridSpan w:val="3"/>
            <w:shd w:val="clear" w:color="auto" w:fill="auto"/>
            <w:noWrap w:val="0"/>
            <w:tcMar>
              <w:left w:w="57" w:type="dxa"/>
              <w:right w:w="57" w:type="dxa"/>
            </w:tcMar>
            <w:vAlign w:val="center"/>
          </w:tcPr>
          <w:p w14:paraId="7307C977">
            <w:pPr>
              <w:widowControl/>
              <w:shd w:val="clear" w:color="auto" w:fill="auto"/>
              <w:snapToGrid w:val="0"/>
              <w:spacing w:line="240" w:lineRule="atLeast"/>
              <w:jc w:val="left"/>
              <w:rPr>
                <w:rFonts w:hint="eastAsia"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lang w:val="en-US" w:eastAsia="zh-CN"/>
              </w:rPr>
              <w:t>三</w:t>
            </w:r>
            <w:r>
              <w:rPr>
                <w:rFonts w:hint="default" w:ascii="Times New Roman" w:hAnsi="Times New Roman" w:eastAsia="仿宋_GB2312" w:cs="方正仿宋_GBK"/>
                <w:b w:val="0"/>
                <w:bCs w:val="0"/>
                <w:szCs w:val="21"/>
                <w:highlight w:val="none"/>
                <w:lang w:val="en-US" w:eastAsia="zh-CN"/>
              </w:rPr>
              <w:t>岁以下婴幼儿入托率提高</w:t>
            </w:r>
            <w:r>
              <w:rPr>
                <w:rFonts w:hint="eastAsia" w:ascii="Times New Roman" w:hAnsi="Times New Roman" w:eastAsia="仿宋_GB2312" w:cs="方正仿宋_GBK"/>
                <w:b w:val="0"/>
                <w:bCs w:val="0"/>
                <w:szCs w:val="21"/>
                <w:highlight w:val="none"/>
                <w:lang w:val="en-US" w:eastAsia="zh-CN"/>
              </w:rPr>
              <w:t>（百分点）</w:t>
            </w:r>
          </w:p>
        </w:tc>
        <w:tc>
          <w:tcPr>
            <w:tcW w:w="912" w:type="dxa"/>
            <w:shd w:val="clear" w:color="auto" w:fill="auto"/>
            <w:noWrap w:val="0"/>
            <w:vAlign w:val="center"/>
          </w:tcPr>
          <w:p w14:paraId="6B581BCE">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160" w:type="dxa"/>
            <w:shd w:val="clear" w:color="auto" w:fill="auto"/>
            <w:noWrap w:val="0"/>
            <w:vAlign w:val="center"/>
          </w:tcPr>
          <w:p w14:paraId="2610B407">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930" w:type="dxa"/>
            <w:shd w:val="clear" w:color="auto" w:fill="auto"/>
            <w:noWrap w:val="0"/>
            <w:vAlign w:val="center"/>
          </w:tcPr>
          <w:p w14:paraId="5960AF55">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微软雅黑" w:hAnsi="微软雅黑" w:eastAsia="微软雅黑" w:cs="微软雅黑"/>
                <w:b w:val="0"/>
                <w:bCs w:val="0"/>
                <w:szCs w:val="21"/>
                <w:highlight w:val="none"/>
                <w:lang w:val="en-US" w:eastAsia="zh-CN"/>
              </w:rPr>
              <w:t>〔</w:t>
            </w:r>
            <w:r>
              <w:rPr>
                <w:rFonts w:hint="eastAsia" w:ascii="Times New Roman" w:hAnsi="Times New Roman" w:eastAsia="方正仿宋_GB2312" w:cs="方正仿宋_GB2312"/>
                <w:b w:val="0"/>
                <w:bCs w:val="0"/>
                <w:kern w:val="0"/>
                <w:szCs w:val="21"/>
                <w:highlight w:val="none"/>
                <w:lang w:val="en-US" w:eastAsia="zh-CN"/>
              </w:rPr>
              <w:t>5.5</w:t>
            </w:r>
            <w:r>
              <w:rPr>
                <w:rFonts w:hint="eastAsia" w:ascii="微软雅黑" w:hAnsi="微软雅黑" w:eastAsia="微软雅黑" w:cs="微软雅黑"/>
                <w:b w:val="0"/>
                <w:bCs w:val="0"/>
                <w:szCs w:val="21"/>
                <w:highlight w:val="none"/>
                <w:lang w:val="en-US" w:eastAsia="zh-CN"/>
              </w:rPr>
              <w:t>〕</w:t>
            </w:r>
          </w:p>
        </w:tc>
        <w:tc>
          <w:tcPr>
            <w:tcW w:w="1013" w:type="dxa"/>
            <w:shd w:val="clear" w:color="auto" w:fill="auto"/>
            <w:noWrap w:val="0"/>
            <w:vAlign w:val="center"/>
          </w:tcPr>
          <w:p w14:paraId="20549A7D">
            <w:pPr>
              <w:widowControl/>
              <w:shd w:val="clear" w:color="auto" w:fill="auto"/>
              <w:snapToGrid w:val="0"/>
              <w:spacing w:line="240" w:lineRule="atLeast"/>
              <w:jc w:val="center"/>
              <w:rPr>
                <w:rFonts w:hint="eastAsia" w:ascii="Times New Roman" w:hAnsi="Times New Roman" w:eastAsia="方正仿宋_GBK" w:cs="方正仿宋_GBK"/>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rPr>
              <w:t>预期性</w:t>
            </w:r>
          </w:p>
        </w:tc>
      </w:tr>
      <w:tr w14:paraId="08EE4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6" w:type="dxa"/>
            <w:vMerge w:val="continue"/>
            <w:noWrap w:val="0"/>
            <w:vAlign w:val="center"/>
          </w:tcPr>
          <w:p w14:paraId="6D7C1335">
            <w:pPr>
              <w:widowControl/>
              <w:shd w:val="clear" w:color="auto" w:fill="auto"/>
              <w:snapToGrid w:val="0"/>
              <w:spacing w:line="240" w:lineRule="atLeast"/>
              <w:jc w:val="center"/>
              <w:rPr>
                <w:rFonts w:hint="default" w:ascii="Times New Roman" w:hAnsi="Times New Roman" w:eastAsia="黑体" w:cs="Times New Roman"/>
                <w:b w:val="0"/>
                <w:bCs w:val="0"/>
                <w:kern w:val="0"/>
                <w:szCs w:val="21"/>
                <w:highlight w:val="none"/>
              </w:rPr>
            </w:pPr>
          </w:p>
        </w:tc>
        <w:tc>
          <w:tcPr>
            <w:tcW w:w="615" w:type="dxa"/>
            <w:shd w:val="clear" w:color="auto" w:fill="auto"/>
            <w:noWrap w:val="0"/>
            <w:tcMar>
              <w:left w:w="28" w:type="dxa"/>
              <w:right w:w="28" w:type="dxa"/>
            </w:tcMar>
            <w:vAlign w:val="center"/>
          </w:tcPr>
          <w:p w14:paraId="2515008E">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default" w:ascii="Times New Roman" w:hAnsi="Times New Roman" w:eastAsia="方正仿宋_GB2312" w:cs="Times New Roman"/>
                <w:b w:val="0"/>
                <w:bCs w:val="0"/>
                <w:szCs w:val="21"/>
                <w:highlight w:val="none"/>
                <w:lang w:val="en-US" w:eastAsia="zh-CN"/>
              </w:rPr>
              <w:t>1</w:t>
            </w:r>
            <w:r>
              <w:rPr>
                <w:rFonts w:hint="eastAsia" w:ascii="Times New Roman" w:hAnsi="Times New Roman" w:eastAsia="方正仿宋_GB2312" w:cs="Times New Roman"/>
                <w:b w:val="0"/>
                <w:bCs w:val="0"/>
                <w:szCs w:val="21"/>
                <w:highlight w:val="none"/>
                <w:lang w:val="en-US" w:eastAsia="zh-CN"/>
              </w:rPr>
              <w:t>2</w:t>
            </w:r>
          </w:p>
        </w:tc>
        <w:tc>
          <w:tcPr>
            <w:tcW w:w="3999" w:type="dxa"/>
            <w:gridSpan w:val="3"/>
            <w:shd w:val="clear" w:color="auto" w:fill="auto"/>
            <w:noWrap w:val="0"/>
            <w:tcMar>
              <w:left w:w="57" w:type="dxa"/>
              <w:right w:w="57" w:type="dxa"/>
            </w:tcMar>
            <w:vAlign w:val="center"/>
          </w:tcPr>
          <w:p w14:paraId="60F10396">
            <w:pPr>
              <w:widowControl/>
              <w:shd w:val="clear" w:color="auto" w:fill="auto"/>
              <w:snapToGrid w:val="0"/>
              <w:spacing w:line="240" w:lineRule="atLeast"/>
              <w:jc w:val="left"/>
              <w:rPr>
                <w:rFonts w:hint="eastAsia" w:ascii="Times New Roman" w:hAnsi="Times New Roman" w:eastAsia="仿宋_GB2312" w:cs="Times New Roman"/>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rPr>
              <w:t>人均预期寿命</w:t>
            </w:r>
            <w:r>
              <w:rPr>
                <w:rFonts w:hint="eastAsia" w:ascii="Times New Roman" w:hAnsi="Times New Roman" w:eastAsia="仿宋_GB2312" w:cs="方正仿宋_GBK"/>
                <w:b w:val="0"/>
                <w:bCs w:val="0"/>
                <w:szCs w:val="21"/>
                <w:highlight w:val="none"/>
                <w:lang w:eastAsia="zh-CN"/>
              </w:rPr>
              <w:t>（</w:t>
            </w:r>
            <w:r>
              <w:rPr>
                <w:rFonts w:hint="default" w:ascii="Times New Roman" w:hAnsi="Times New Roman" w:eastAsia="仿宋_GB2312" w:cs="方正仿宋_GBK"/>
                <w:b w:val="0"/>
                <w:bCs w:val="0"/>
                <w:szCs w:val="21"/>
                <w:highlight w:val="none"/>
              </w:rPr>
              <w:t>岁</w:t>
            </w:r>
            <w:r>
              <w:rPr>
                <w:rFonts w:hint="eastAsia" w:ascii="Times New Roman" w:hAnsi="Times New Roman" w:eastAsia="仿宋_GB2312" w:cs="方正仿宋_GBK"/>
                <w:b w:val="0"/>
                <w:bCs w:val="0"/>
                <w:szCs w:val="21"/>
                <w:highlight w:val="none"/>
                <w:lang w:eastAsia="zh-CN"/>
              </w:rPr>
              <w:t>）</w:t>
            </w:r>
          </w:p>
        </w:tc>
        <w:tc>
          <w:tcPr>
            <w:tcW w:w="912" w:type="dxa"/>
            <w:shd w:val="clear" w:color="auto" w:fill="auto"/>
            <w:noWrap w:val="0"/>
            <w:vAlign w:val="center"/>
          </w:tcPr>
          <w:p w14:paraId="209185F4">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79.62</w:t>
            </w:r>
          </w:p>
        </w:tc>
        <w:tc>
          <w:tcPr>
            <w:tcW w:w="1160" w:type="dxa"/>
            <w:shd w:val="clear" w:color="auto" w:fill="auto"/>
            <w:noWrap w:val="0"/>
            <w:vAlign w:val="center"/>
          </w:tcPr>
          <w:p w14:paraId="1E740E33">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80.73</w:t>
            </w:r>
          </w:p>
        </w:tc>
        <w:tc>
          <w:tcPr>
            <w:tcW w:w="1930" w:type="dxa"/>
            <w:shd w:val="clear" w:color="auto" w:fill="auto"/>
            <w:noWrap w:val="0"/>
            <w:vAlign w:val="center"/>
          </w:tcPr>
          <w:p w14:paraId="0FA9A02A">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013" w:type="dxa"/>
            <w:shd w:val="clear" w:color="auto" w:fill="auto"/>
            <w:noWrap w:val="0"/>
            <w:vAlign w:val="center"/>
          </w:tcPr>
          <w:p w14:paraId="54939B62">
            <w:pPr>
              <w:widowControl/>
              <w:shd w:val="clear" w:color="auto" w:fill="auto"/>
              <w:snapToGrid w:val="0"/>
              <w:spacing w:line="240" w:lineRule="atLeast"/>
              <w:jc w:val="center"/>
              <w:rPr>
                <w:rFonts w:hint="eastAsia" w:ascii="Times New Roman" w:hAnsi="Times New Roman" w:eastAsia="方正仿宋_GBK" w:cs="方正仿宋_GBK"/>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rPr>
              <w:t>预期性</w:t>
            </w:r>
          </w:p>
        </w:tc>
      </w:tr>
      <w:tr w14:paraId="37228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6" w:type="dxa"/>
            <w:vMerge w:val="restart"/>
            <w:shd w:val="clear" w:color="auto" w:fill="auto"/>
            <w:noWrap w:val="0"/>
            <w:vAlign w:val="center"/>
          </w:tcPr>
          <w:p w14:paraId="40603DCD">
            <w:pPr>
              <w:shd w:val="clear" w:color="auto" w:fill="auto"/>
              <w:snapToGrid w:val="0"/>
              <w:spacing w:line="240" w:lineRule="atLeast"/>
              <w:jc w:val="center"/>
              <w:rPr>
                <w:rFonts w:hint="default" w:ascii="Times New Roman" w:hAnsi="Times New Roman" w:eastAsia="等线" w:cs="Times New Roman"/>
                <w:b w:val="0"/>
                <w:bCs w:val="0"/>
                <w:highlight w:val="none"/>
                <w:lang w:val="en-US" w:eastAsia="zh-CN"/>
              </w:rPr>
            </w:pPr>
            <w:r>
              <w:rPr>
                <w:rFonts w:hint="default" w:ascii="Times New Roman" w:hAnsi="Times New Roman" w:eastAsia="黑体" w:cs="Times New Roman"/>
                <w:b w:val="0"/>
                <w:bCs w:val="0"/>
                <w:kern w:val="0"/>
                <w:szCs w:val="21"/>
                <w:highlight w:val="none"/>
                <w:lang w:val="en-US" w:eastAsia="zh-CN"/>
              </w:rPr>
              <w:t>绿色低碳</w:t>
            </w:r>
          </w:p>
        </w:tc>
        <w:tc>
          <w:tcPr>
            <w:tcW w:w="615" w:type="dxa"/>
            <w:shd w:val="clear" w:color="auto" w:fill="auto"/>
            <w:noWrap w:val="0"/>
            <w:tcMar>
              <w:left w:w="28" w:type="dxa"/>
              <w:right w:w="28" w:type="dxa"/>
            </w:tcMar>
            <w:vAlign w:val="center"/>
          </w:tcPr>
          <w:p w14:paraId="55EE0FBD">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default" w:ascii="Times New Roman" w:hAnsi="Times New Roman" w:eastAsia="方正仿宋_GB2312" w:cs="Times New Roman"/>
                <w:b w:val="0"/>
                <w:bCs w:val="0"/>
                <w:szCs w:val="21"/>
                <w:highlight w:val="none"/>
                <w:lang w:val="en-US" w:eastAsia="zh-CN"/>
              </w:rPr>
              <w:t>1</w:t>
            </w:r>
            <w:r>
              <w:rPr>
                <w:rFonts w:hint="eastAsia" w:ascii="Times New Roman" w:hAnsi="Times New Roman" w:eastAsia="方正仿宋_GB2312" w:cs="Times New Roman"/>
                <w:b w:val="0"/>
                <w:bCs w:val="0"/>
                <w:szCs w:val="21"/>
                <w:highlight w:val="none"/>
                <w:lang w:val="en-US" w:eastAsia="zh-CN"/>
              </w:rPr>
              <w:t>3</w:t>
            </w:r>
          </w:p>
        </w:tc>
        <w:tc>
          <w:tcPr>
            <w:tcW w:w="3999" w:type="dxa"/>
            <w:gridSpan w:val="3"/>
            <w:shd w:val="clear" w:color="auto" w:fill="auto"/>
            <w:noWrap w:val="0"/>
            <w:tcMar>
              <w:left w:w="57" w:type="dxa"/>
              <w:right w:w="57" w:type="dxa"/>
            </w:tcMar>
            <w:vAlign w:val="center"/>
          </w:tcPr>
          <w:p w14:paraId="4BD0C859">
            <w:pPr>
              <w:widowControl/>
              <w:shd w:val="clear" w:color="auto" w:fill="auto"/>
              <w:snapToGrid w:val="0"/>
              <w:spacing w:line="240" w:lineRule="atLeast"/>
              <w:jc w:val="left"/>
              <w:rPr>
                <w:rFonts w:hint="eastAsia" w:ascii="Times New Roman" w:hAnsi="Times New Roman" w:eastAsia="方正仿宋_GB2312" w:cs="Times New Roman"/>
                <w:b w:val="0"/>
                <w:bCs w:val="0"/>
                <w:kern w:val="0"/>
                <w:sz w:val="21"/>
                <w:szCs w:val="21"/>
                <w:highlight w:val="none"/>
                <w:lang w:val="en-US" w:eastAsia="zh-CN" w:bidi="ar-SA"/>
              </w:rPr>
            </w:pPr>
            <w:r>
              <w:rPr>
                <w:rFonts w:hint="eastAsia" w:ascii="Times New Roman" w:hAnsi="Times New Roman" w:eastAsia="仿宋_GB2312" w:cs="方正仿宋_GBK"/>
                <w:b w:val="0"/>
                <w:bCs w:val="0"/>
                <w:szCs w:val="21"/>
                <w:highlight w:val="none"/>
              </w:rPr>
              <w:t>单位地区生产总值二氧化碳排放降低</w:t>
            </w:r>
            <w:r>
              <w:rPr>
                <w:rFonts w:hint="eastAsia" w:ascii="Times New Roman" w:hAnsi="Times New Roman" w:eastAsia="仿宋_GB2312" w:cs="方正仿宋_GBK"/>
                <w:b w:val="0"/>
                <w:bCs w:val="0"/>
                <w:szCs w:val="21"/>
                <w:highlight w:val="none"/>
                <w:lang w:eastAsia="zh-CN"/>
              </w:rPr>
              <w:t>（</w:t>
            </w:r>
            <w:r>
              <w:rPr>
                <w:rFonts w:hint="default" w:ascii="Times New Roman" w:hAnsi="Times New Roman" w:eastAsia="方正仿宋_GB2312" w:cs="Times New Roman"/>
                <w:b w:val="0"/>
                <w:bCs w:val="0"/>
                <w:szCs w:val="21"/>
                <w:highlight w:val="none"/>
              </w:rPr>
              <w:t>%</w:t>
            </w:r>
            <w:r>
              <w:rPr>
                <w:rFonts w:hint="eastAsia" w:ascii="Times New Roman" w:hAnsi="Times New Roman" w:eastAsia="方正仿宋_GB2312" w:cs="Times New Roman"/>
                <w:b w:val="0"/>
                <w:bCs w:val="0"/>
                <w:szCs w:val="21"/>
                <w:highlight w:val="none"/>
                <w:lang w:eastAsia="zh-CN"/>
              </w:rPr>
              <w:t>）</w:t>
            </w:r>
          </w:p>
        </w:tc>
        <w:tc>
          <w:tcPr>
            <w:tcW w:w="912" w:type="dxa"/>
            <w:shd w:val="clear" w:color="auto" w:fill="auto"/>
            <w:noWrap w:val="0"/>
            <w:vAlign w:val="center"/>
          </w:tcPr>
          <w:p w14:paraId="1B6A7FB3">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160" w:type="dxa"/>
            <w:shd w:val="clear" w:color="auto" w:fill="auto"/>
            <w:noWrap w:val="0"/>
            <w:vAlign w:val="center"/>
          </w:tcPr>
          <w:p w14:paraId="2965FDB8">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930" w:type="dxa"/>
            <w:shd w:val="clear" w:color="auto" w:fill="auto"/>
            <w:noWrap w:val="0"/>
            <w:vAlign w:val="center"/>
          </w:tcPr>
          <w:p w14:paraId="7ED14A1F">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仿宋_GB2312" w:hAnsi="仿宋_GB2312" w:eastAsia="仿宋_GB2312" w:cs="仿宋_GB2312"/>
                <w:b w:val="0"/>
                <w:bCs w:val="0"/>
                <w:kern w:val="2"/>
                <w:sz w:val="21"/>
                <w:szCs w:val="21"/>
                <w:highlight w:val="none"/>
                <w:lang w:val="en-US" w:eastAsia="zh-CN" w:bidi="ar-SA"/>
              </w:rPr>
              <w:t>完成经自治区审核衔接后确定的目标</w:t>
            </w:r>
          </w:p>
        </w:tc>
        <w:tc>
          <w:tcPr>
            <w:tcW w:w="1013" w:type="dxa"/>
            <w:shd w:val="clear" w:color="auto" w:fill="auto"/>
            <w:noWrap w:val="0"/>
            <w:vAlign w:val="center"/>
          </w:tcPr>
          <w:p w14:paraId="028E839D">
            <w:pPr>
              <w:widowControl/>
              <w:shd w:val="clear" w:color="auto" w:fill="auto"/>
              <w:snapToGrid w:val="0"/>
              <w:spacing w:line="240" w:lineRule="atLeast"/>
              <w:jc w:val="center"/>
              <w:rPr>
                <w:rFonts w:hint="eastAsia" w:ascii="Times New Roman" w:hAnsi="Times New Roman" w:eastAsia="方正仿宋_GBK" w:cs="方正仿宋_GBK"/>
                <w:b w:val="0"/>
                <w:bCs w:val="0"/>
                <w:kern w:val="0"/>
                <w:sz w:val="21"/>
                <w:szCs w:val="21"/>
                <w:highlight w:val="none"/>
                <w:lang w:val="en-US" w:eastAsia="zh-CN" w:bidi="ar-SA"/>
              </w:rPr>
            </w:pPr>
            <w:r>
              <w:rPr>
                <w:rFonts w:hint="eastAsia" w:ascii="Times New Roman" w:hAnsi="Times New Roman" w:eastAsia="仿宋_GB2312" w:cs="方正仿宋_GBK"/>
                <w:b w:val="0"/>
                <w:bCs w:val="0"/>
                <w:szCs w:val="21"/>
                <w:highlight w:val="none"/>
              </w:rPr>
              <w:t>约束性</w:t>
            </w:r>
          </w:p>
        </w:tc>
      </w:tr>
      <w:tr w14:paraId="653AA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6" w:type="dxa"/>
            <w:vMerge w:val="continue"/>
            <w:noWrap w:val="0"/>
            <w:vAlign w:val="center"/>
          </w:tcPr>
          <w:p w14:paraId="50C07220">
            <w:pPr>
              <w:widowControl/>
              <w:shd w:val="clear" w:color="auto" w:fill="auto"/>
              <w:snapToGrid w:val="0"/>
              <w:spacing w:line="240" w:lineRule="atLeast"/>
              <w:jc w:val="both"/>
              <w:rPr>
                <w:rFonts w:hint="default" w:ascii="Times New Roman" w:hAnsi="Times New Roman" w:eastAsia="黑体" w:cs="Times New Roman"/>
                <w:b w:val="0"/>
                <w:bCs w:val="0"/>
                <w:kern w:val="0"/>
                <w:szCs w:val="21"/>
                <w:highlight w:val="none"/>
                <w:lang w:val="en-US" w:eastAsia="zh-CN"/>
              </w:rPr>
            </w:pPr>
            <w:r>
              <w:rPr>
                <w:rFonts w:hint="default" w:ascii="Times New Roman" w:hAnsi="Times New Roman" w:eastAsia="黑体" w:cs="Times New Roman"/>
                <w:b w:val="0"/>
                <w:bCs w:val="0"/>
                <w:kern w:val="0"/>
                <w:szCs w:val="21"/>
                <w:highlight w:val="none"/>
                <w:lang w:val="en-US" w:eastAsia="zh-CN"/>
              </w:rPr>
              <w:t>绿色</w:t>
            </w:r>
          </w:p>
        </w:tc>
        <w:tc>
          <w:tcPr>
            <w:tcW w:w="615" w:type="dxa"/>
            <w:shd w:val="clear" w:color="auto" w:fill="auto"/>
            <w:noWrap w:val="0"/>
            <w:tcMar>
              <w:left w:w="28" w:type="dxa"/>
              <w:right w:w="28" w:type="dxa"/>
            </w:tcMar>
            <w:vAlign w:val="center"/>
          </w:tcPr>
          <w:p w14:paraId="72E3288D">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default" w:ascii="Times New Roman" w:hAnsi="Times New Roman" w:eastAsia="方正仿宋_GB2312" w:cs="Times New Roman"/>
                <w:b w:val="0"/>
                <w:bCs w:val="0"/>
                <w:szCs w:val="21"/>
                <w:highlight w:val="none"/>
                <w:lang w:val="en-US" w:eastAsia="zh-CN"/>
              </w:rPr>
              <w:t>1</w:t>
            </w:r>
            <w:r>
              <w:rPr>
                <w:rFonts w:hint="eastAsia" w:ascii="Times New Roman" w:hAnsi="Times New Roman" w:eastAsia="方正仿宋_GB2312" w:cs="Times New Roman"/>
                <w:b w:val="0"/>
                <w:bCs w:val="0"/>
                <w:szCs w:val="21"/>
                <w:highlight w:val="none"/>
                <w:lang w:val="en-US" w:eastAsia="zh-CN"/>
              </w:rPr>
              <w:t>4</w:t>
            </w:r>
          </w:p>
        </w:tc>
        <w:tc>
          <w:tcPr>
            <w:tcW w:w="3999" w:type="dxa"/>
            <w:gridSpan w:val="3"/>
            <w:shd w:val="clear" w:color="auto" w:fill="auto"/>
            <w:noWrap w:val="0"/>
            <w:tcMar>
              <w:left w:w="57" w:type="dxa"/>
              <w:right w:w="57" w:type="dxa"/>
            </w:tcMar>
            <w:vAlign w:val="center"/>
          </w:tcPr>
          <w:p w14:paraId="5D6CF28D">
            <w:pPr>
              <w:widowControl/>
              <w:shd w:val="clear" w:color="auto" w:fill="auto"/>
              <w:snapToGrid w:val="0"/>
              <w:spacing w:line="240" w:lineRule="atLeast"/>
              <w:jc w:val="left"/>
              <w:rPr>
                <w:rFonts w:hint="eastAsia"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lang w:val="en-US" w:eastAsia="zh-CN"/>
              </w:rPr>
              <w:t>非</w:t>
            </w:r>
            <w:r>
              <w:rPr>
                <w:rFonts w:hint="eastAsia" w:ascii="Times New Roman" w:hAnsi="Times New Roman" w:eastAsia="仿宋_GB2312" w:cs="方正仿宋_GBK"/>
                <w:b w:val="0"/>
                <w:bCs w:val="0"/>
                <w:szCs w:val="21"/>
                <w:highlight w:val="none"/>
              </w:rPr>
              <w:t>化石能源占能源消费</w:t>
            </w:r>
            <w:r>
              <w:rPr>
                <w:rFonts w:hint="eastAsia" w:ascii="Times New Roman" w:hAnsi="Times New Roman" w:eastAsia="仿宋_GB2312" w:cs="方正仿宋_GBK"/>
                <w:b w:val="0"/>
                <w:bCs w:val="0"/>
                <w:szCs w:val="21"/>
                <w:highlight w:val="none"/>
                <w:lang w:val="en-US" w:eastAsia="zh-CN"/>
              </w:rPr>
              <w:t>总量比重（</w:t>
            </w:r>
            <w:r>
              <w:rPr>
                <w:rFonts w:hint="default" w:ascii="Times New Roman" w:hAnsi="Times New Roman" w:eastAsia="方正仿宋_GB2312" w:cs="Times New Roman"/>
                <w:b w:val="0"/>
                <w:bCs w:val="0"/>
                <w:szCs w:val="21"/>
                <w:highlight w:val="none"/>
              </w:rPr>
              <w:t>%</w:t>
            </w:r>
            <w:r>
              <w:rPr>
                <w:rFonts w:hint="eastAsia" w:ascii="Times New Roman" w:hAnsi="Times New Roman" w:eastAsia="方正仿宋_GB2312" w:cs="Times New Roman"/>
                <w:b w:val="0"/>
                <w:bCs w:val="0"/>
                <w:szCs w:val="21"/>
                <w:highlight w:val="none"/>
                <w:lang w:eastAsia="zh-CN"/>
              </w:rPr>
              <w:t>）</w:t>
            </w:r>
          </w:p>
        </w:tc>
        <w:tc>
          <w:tcPr>
            <w:tcW w:w="912" w:type="dxa"/>
            <w:shd w:val="clear" w:color="auto" w:fill="auto"/>
            <w:noWrap w:val="0"/>
            <w:vAlign w:val="center"/>
          </w:tcPr>
          <w:p w14:paraId="12257DF6">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160" w:type="dxa"/>
            <w:shd w:val="clear" w:color="auto" w:fill="auto"/>
            <w:noWrap w:val="0"/>
            <w:vAlign w:val="center"/>
          </w:tcPr>
          <w:p w14:paraId="697A214B">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930" w:type="dxa"/>
            <w:shd w:val="clear" w:color="auto" w:fill="auto"/>
            <w:noWrap w:val="0"/>
            <w:vAlign w:val="center"/>
          </w:tcPr>
          <w:p w14:paraId="6E1B6D39">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仿宋_GB2312" w:hAnsi="仿宋_GB2312" w:eastAsia="仿宋_GB2312" w:cs="仿宋_GB2312"/>
                <w:b w:val="0"/>
                <w:bCs w:val="0"/>
                <w:kern w:val="2"/>
                <w:sz w:val="21"/>
                <w:szCs w:val="21"/>
                <w:highlight w:val="none"/>
                <w:lang w:val="en-US" w:eastAsia="zh-CN" w:bidi="ar-SA"/>
              </w:rPr>
              <w:t>完成经自治区审核衔接后确定的目标</w:t>
            </w:r>
          </w:p>
        </w:tc>
        <w:tc>
          <w:tcPr>
            <w:tcW w:w="1013" w:type="dxa"/>
            <w:shd w:val="clear" w:color="auto" w:fill="auto"/>
            <w:noWrap w:val="0"/>
            <w:vAlign w:val="center"/>
          </w:tcPr>
          <w:p w14:paraId="26A5E50F">
            <w:pPr>
              <w:widowControl/>
              <w:shd w:val="clear" w:color="auto" w:fill="auto"/>
              <w:snapToGrid w:val="0"/>
              <w:spacing w:line="240" w:lineRule="atLeast"/>
              <w:jc w:val="center"/>
              <w:rPr>
                <w:rFonts w:hint="eastAsia" w:ascii="Times New Roman" w:hAnsi="Times New Roman" w:eastAsia="方正仿宋_GBK" w:cs="方正仿宋_GBK"/>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rPr>
              <w:t>约束性</w:t>
            </w:r>
          </w:p>
        </w:tc>
      </w:tr>
      <w:tr w14:paraId="2D7D5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6" w:type="dxa"/>
            <w:vMerge w:val="continue"/>
            <w:noWrap w:val="0"/>
            <w:vAlign w:val="center"/>
          </w:tcPr>
          <w:p w14:paraId="0E57FF22">
            <w:pPr>
              <w:widowControl/>
              <w:shd w:val="clear" w:color="auto" w:fill="auto"/>
              <w:snapToGrid w:val="0"/>
              <w:spacing w:line="240" w:lineRule="atLeast"/>
              <w:jc w:val="center"/>
              <w:rPr>
                <w:rFonts w:hint="default" w:ascii="Times New Roman" w:hAnsi="Times New Roman" w:eastAsia="黑体" w:cs="Times New Roman"/>
                <w:b w:val="0"/>
                <w:bCs w:val="0"/>
                <w:kern w:val="0"/>
                <w:szCs w:val="21"/>
                <w:highlight w:val="none"/>
              </w:rPr>
            </w:pPr>
          </w:p>
        </w:tc>
        <w:tc>
          <w:tcPr>
            <w:tcW w:w="615" w:type="dxa"/>
            <w:shd w:val="clear" w:color="auto" w:fill="auto"/>
            <w:noWrap w:val="0"/>
            <w:tcMar>
              <w:left w:w="28" w:type="dxa"/>
              <w:right w:w="28" w:type="dxa"/>
            </w:tcMar>
            <w:vAlign w:val="center"/>
          </w:tcPr>
          <w:p w14:paraId="2A3F4CCD">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default" w:ascii="Times New Roman" w:hAnsi="Times New Roman" w:eastAsia="方正仿宋_GB2312" w:cs="Times New Roman"/>
                <w:b w:val="0"/>
                <w:bCs w:val="0"/>
                <w:szCs w:val="21"/>
                <w:highlight w:val="none"/>
                <w:lang w:val="en-US" w:eastAsia="zh-CN"/>
              </w:rPr>
              <w:t>1</w:t>
            </w:r>
            <w:r>
              <w:rPr>
                <w:rFonts w:hint="eastAsia" w:ascii="Times New Roman" w:hAnsi="Times New Roman" w:eastAsia="方正仿宋_GB2312" w:cs="Times New Roman"/>
                <w:b w:val="0"/>
                <w:bCs w:val="0"/>
                <w:szCs w:val="21"/>
                <w:highlight w:val="none"/>
                <w:lang w:val="en-US" w:eastAsia="zh-CN"/>
              </w:rPr>
              <w:t>5</w:t>
            </w:r>
          </w:p>
        </w:tc>
        <w:tc>
          <w:tcPr>
            <w:tcW w:w="3999" w:type="dxa"/>
            <w:gridSpan w:val="3"/>
            <w:shd w:val="clear" w:color="auto" w:fill="auto"/>
            <w:noWrap w:val="0"/>
            <w:tcMar>
              <w:left w:w="57" w:type="dxa"/>
              <w:right w:w="57" w:type="dxa"/>
            </w:tcMar>
            <w:vAlign w:val="center"/>
          </w:tcPr>
          <w:p w14:paraId="4C6C9A4A">
            <w:pPr>
              <w:widowControl/>
              <w:shd w:val="clear" w:color="auto" w:fill="auto"/>
              <w:snapToGrid w:val="0"/>
              <w:spacing w:line="240" w:lineRule="atLeast"/>
              <w:jc w:val="left"/>
              <w:rPr>
                <w:rFonts w:hint="default" w:ascii="Times New Roman" w:hAnsi="Times New Roman" w:eastAsia="方正仿宋_GB2312" w:cs="Times New Roman"/>
                <w:b w:val="0"/>
                <w:bCs w:val="0"/>
                <w:kern w:val="0"/>
                <w:sz w:val="21"/>
                <w:szCs w:val="21"/>
                <w:highlight w:val="none"/>
                <w:lang w:val="en-US" w:eastAsia="zh-CN" w:bidi="ar-SA"/>
              </w:rPr>
            </w:pPr>
            <w:r>
              <w:rPr>
                <w:rFonts w:hint="eastAsia" w:ascii="Times New Roman" w:hAnsi="Times New Roman" w:eastAsia="仿宋_GB2312" w:cs="方正仿宋_GBK"/>
                <w:b w:val="0"/>
                <w:bCs w:val="0"/>
                <w:szCs w:val="21"/>
                <w:highlight w:val="none"/>
                <w:lang w:val="en-US" w:eastAsia="zh-CN"/>
              </w:rPr>
              <w:t>城市细颗粒物（PM</w:t>
            </w:r>
            <w:r>
              <w:rPr>
                <w:rFonts w:hint="eastAsia" w:ascii="Times New Roman" w:hAnsi="Times New Roman" w:eastAsia="仿宋_GB2312" w:cs="方正仿宋_GBK"/>
                <w:b w:val="0"/>
                <w:bCs w:val="0"/>
                <w:szCs w:val="21"/>
                <w:highlight w:val="none"/>
                <w:vertAlign w:val="subscript"/>
                <w:lang w:val="en-US" w:eastAsia="zh-CN"/>
              </w:rPr>
              <w:t>2.5</w:t>
            </w:r>
            <w:r>
              <w:rPr>
                <w:rFonts w:hint="eastAsia" w:ascii="Times New Roman" w:hAnsi="Times New Roman" w:eastAsia="仿宋_GB2312" w:cs="方正仿宋_GBK"/>
                <w:b w:val="0"/>
                <w:bCs w:val="0"/>
                <w:szCs w:val="21"/>
                <w:highlight w:val="none"/>
                <w:lang w:val="en-US" w:eastAsia="zh-CN"/>
              </w:rPr>
              <w:t>）浓度</w:t>
            </w:r>
            <w:r>
              <w:rPr>
                <w:rFonts w:hint="eastAsia" w:ascii="楷体_GB2312" w:hAnsi="楷体_GB2312" w:eastAsia="楷体_GB2312" w:cs="楷体_GB2312"/>
                <w:b w:val="0"/>
                <w:bCs w:val="0"/>
                <w:szCs w:val="21"/>
                <w:highlight w:val="none"/>
                <w:lang w:val="en-US" w:eastAsia="zh-CN"/>
              </w:rPr>
              <w:t>（微克/立方米）</w:t>
            </w:r>
          </w:p>
        </w:tc>
        <w:tc>
          <w:tcPr>
            <w:tcW w:w="912" w:type="dxa"/>
            <w:shd w:val="clear" w:color="auto" w:fill="auto"/>
            <w:noWrap w:val="0"/>
            <w:vAlign w:val="center"/>
          </w:tcPr>
          <w:p w14:paraId="2810FB74">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20</w:t>
            </w:r>
          </w:p>
        </w:tc>
        <w:tc>
          <w:tcPr>
            <w:tcW w:w="1160" w:type="dxa"/>
            <w:shd w:val="clear" w:color="auto" w:fill="auto"/>
            <w:noWrap w:val="0"/>
            <w:vAlign w:val="center"/>
          </w:tcPr>
          <w:p w14:paraId="44686BE2">
            <w:pPr>
              <w:widowControl/>
              <w:shd w:val="clear" w:color="auto" w:fill="auto"/>
              <w:snapToGrid w:val="0"/>
              <w:spacing w:line="240" w:lineRule="atLeast"/>
              <w:jc w:val="center"/>
              <w:rPr>
                <w:rFonts w:hint="eastAsia" w:ascii="仿宋_GB2312" w:hAnsi="仿宋_GB2312" w:eastAsia="仿宋_GB2312" w:cs="仿宋_GB2312"/>
                <w:b w:val="0"/>
                <w:bCs w:val="0"/>
                <w:kern w:val="2"/>
                <w:sz w:val="21"/>
                <w:szCs w:val="21"/>
                <w:highlight w:val="none"/>
                <w:lang w:val="en-US" w:eastAsia="zh-CN" w:bidi="ar-SA"/>
              </w:rPr>
            </w:pPr>
            <w:r>
              <w:rPr>
                <w:rFonts w:hint="eastAsia" w:ascii="仿宋_GB2312" w:hAnsi="仿宋_GB2312" w:eastAsia="仿宋_GB2312" w:cs="仿宋_GB2312"/>
                <w:b w:val="0"/>
                <w:bCs w:val="0"/>
                <w:kern w:val="2"/>
                <w:sz w:val="21"/>
                <w:szCs w:val="21"/>
                <w:highlight w:val="none"/>
                <w:lang w:val="en-US" w:eastAsia="zh-CN" w:bidi="ar-SA"/>
              </w:rPr>
              <w:t>达到自治区要求</w:t>
            </w:r>
          </w:p>
        </w:tc>
        <w:tc>
          <w:tcPr>
            <w:tcW w:w="1930" w:type="dxa"/>
            <w:shd w:val="clear" w:color="auto" w:fill="auto"/>
            <w:noWrap w:val="0"/>
            <w:vAlign w:val="center"/>
          </w:tcPr>
          <w:p w14:paraId="0D8AAD6F">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013" w:type="dxa"/>
            <w:shd w:val="clear" w:color="auto" w:fill="auto"/>
            <w:noWrap w:val="0"/>
            <w:vAlign w:val="center"/>
          </w:tcPr>
          <w:p w14:paraId="5DF76499">
            <w:pPr>
              <w:widowControl/>
              <w:shd w:val="clear" w:color="auto" w:fill="auto"/>
              <w:snapToGrid w:val="0"/>
              <w:spacing w:line="240" w:lineRule="atLeast"/>
              <w:jc w:val="center"/>
              <w:rPr>
                <w:rFonts w:hint="eastAsia" w:ascii="Times New Roman" w:hAnsi="Times New Roman" w:eastAsia="方正仿宋_GBK" w:cs="方正仿宋_GBK"/>
                <w:b w:val="0"/>
                <w:bCs w:val="0"/>
                <w:kern w:val="0"/>
                <w:sz w:val="21"/>
                <w:szCs w:val="21"/>
                <w:highlight w:val="none"/>
                <w:lang w:val="en-US" w:eastAsia="zh-CN" w:bidi="ar-SA"/>
              </w:rPr>
            </w:pPr>
            <w:r>
              <w:rPr>
                <w:rFonts w:hint="eastAsia" w:ascii="Times New Roman" w:hAnsi="Times New Roman" w:eastAsia="仿宋_GB2312" w:cs="方正仿宋_GBK"/>
                <w:b w:val="0"/>
                <w:bCs w:val="0"/>
                <w:szCs w:val="21"/>
                <w:highlight w:val="none"/>
              </w:rPr>
              <w:t>约束性</w:t>
            </w:r>
          </w:p>
        </w:tc>
      </w:tr>
      <w:tr w14:paraId="06C75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6" w:type="dxa"/>
            <w:vMerge w:val="continue"/>
            <w:noWrap w:val="0"/>
            <w:vAlign w:val="center"/>
          </w:tcPr>
          <w:p w14:paraId="743077AA">
            <w:pPr>
              <w:widowControl/>
              <w:shd w:val="clear" w:color="auto" w:fill="auto"/>
              <w:snapToGrid w:val="0"/>
              <w:spacing w:line="240" w:lineRule="atLeast"/>
              <w:jc w:val="center"/>
              <w:rPr>
                <w:rFonts w:hint="default" w:ascii="Times New Roman" w:hAnsi="Times New Roman" w:eastAsia="黑体" w:cs="Times New Roman"/>
                <w:b w:val="0"/>
                <w:bCs w:val="0"/>
                <w:kern w:val="0"/>
                <w:szCs w:val="21"/>
                <w:highlight w:val="none"/>
              </w:rPr>
            </w:pPr>
          </w:p>
        </w:tc>
        <w:tc>
          <w:tcPr>
            <w:tcW w:w="615" w:type="dxa"/>
            <w:shd w:val="clear" w:color="auto" w:fill="auto"/>
            <w:noWrap w:val="0"/>
            <w:tcMar>
              <w:left w:w="28" w:type="dxa"/>
              <w:right w:w="28" w:type="dxa"/>
            </w:tcMar>
            <w:vAlign w:val="center"/>
          </w:tcPr>
          <w:p w14:paraId="0123AE3E">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default" w:ascii="Times New Roman" w:hAnsi="Times New Roman" w:eastAsia="方正仿宋_GB2312" w:cs="Times New Roman"/>
                <w:b w:val="0"/>
                <w:bCs w:val="0"/>
                <w:kern w:val="2"/>
                <w:sz w:val="21"/>
                <w:szCs w:val="21"/>
                <w:highlight w:val="none"/>
                <w:lang w:val="en-US" w:eastAsia="zh-CN" w:bidi="ar-SA"/>
              </w:rPr>
              <w:t>1</w:t>
            </w:r>
            <w:r>
              <w:rPr>
                <w:rFonts w:hint="eastAsia" w:ascii="Times New Roman" w:hAnsi="Times New Roman" w:eastAsia="方正仿宋_GB2312" w:cs="Times New Roman"/>
                <w:b w:val="0"/>
                <w:bCs w:val="0"/>
                <w:kern w:val="2"/>
                <w:sz w:val="21"/>
                <w:szCs w:val="21"/>
                <w:highlight w:val="none"/>
                <w:lang w:val="en-US" w:eastAsia="zh-CN" w:bidi="ar-SA"/>
              </w:rPr>
              <w:t>6</w:t>
            </w:r>
          </w:p>
        </w:tc>
        <w:tc>
          <w:tcPr>
            <w:tcW w:w="3999" w:type="dxa"/>
            <w:gridSpan w:val="3"/>
            <w:shd w:val="clear" w:color="auto" w:fill="auto"/>
            <w:noWrap w:val="0"/>
            <w:tcMar>
              <w:left w:w="57" w:type="dxa"/>
              <w:right w:w="57" w:type="dxa"/>
            </w:tcMar>
            <w:vAlign w:val="center"/>
          </w:tcPr>
          <w:p w14:paraId="6E96987F">
            <w:pPr>
              <w:widowControl/>
              <w:shd w:val="clear" w:color="auto" w:fill="auto"/>
              <w:snapToGrid w:val="0"/>
              <w:spacing w:line="240" w:lineRule="atLeast"/>
              <w:jc w:val="left"/>
              <w:rPr>
                <w:rFonts w:hint="eastAsia"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lang w:val="en-US" w:eastAsia="zh-CN"/>
              </w:rPr>
              <w:t>优良</w:t>
            </w:r>
            <w:r>
              <w:rPr>
                <w:rFonts w:hint="eastAsia" w:ascii="Times New Roman" w:hAnsi="Times New Roman" w:eastAsia="仿宋_GB2312" w:cs="方正仿宋_GBK"/>
                <w:b w:val="0"/>
                <w:bCs w:val="0"/>
                <w:szCs w:val="21"/>
                <w:highlight w:val="none"/>
              </w:rPr>
              <w:t>水体比例</w:t>
            </w:r>
            <w:r>
              <w:rPr>
                <w:rFonts w:hint="eastAsia" w:ascii="Times New Roman" w:hAnsi="Times New Roman" w:eastAsia="仿宋_GB2312" w:cs="方正仿宋_GBK"/>
                <w:b w:val="0"/>
                <w:bCs w:val="0"/>
                <w:szCs w:val="21"/>
                <w:highlight w:val="none"/>
                <w:lang w:eastAsia="zh-CN"/>
              </w:rPr>
              <w:t>（</w:t>
            </w:r>
            <w:r>
              <w:rPr>
                <w:rFonts w:hint="default" w:ascii="Times New Roman" w:hAnsi="Times New Roman" w:eastAsia="方正仿宋_GB2312" w:cs="Times New Roman"/>
                <w:b w:val="0"/>
                <w:bCs w:val="0"/>
                <w:szCs w:val="21"/>
                <w:highlight w:val="none"/>
              </w:rPr>
              <w:t>%</w:t>
            </w:r>
            <w:r>
              <w:rPr>
                <w:rFonts w:hint="eastAsia" w:ascii="Times New Roman" w:hAnsi="Times New Roman" w:eastAsia="方正仿宋_GB2312" w:cs="Times New Roman"/>
                <w:b w:val="0"/>
                <w:bCs w:val="0"/>
                <w:szCs w:val="21"/>
                <w:highlight w:val="none"/>
                <w:lang w:eastAsia="zh-CN"/>
              </w:rPr>
              <w:t>）</w:t>
            </w:r>
          </w:p>
        </w:tc>
        <w:tc>
          <w:tcPr>
            <w:tcW w:w="912" w:type="dxa"/>
            <w:shd w:val="clear" w:color="auto" w:fill="auto"/>
            <w:noWrap w:val="0"/>
            <w:vAlign w:val="center"/>
          </w:tcPr>
          <w:p w14:paraId="619BB46D">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87</w:t>
            </w:r>
          </w:p>
        </w:tc>
        <w:tc>
          <w:tcPr>
            <w:tcW w:w="1160" w:type="dxa"/>
            <w:shd w:val="clear" w:color="auto" w:fill="auto"/>
            <w:noWrap w:val="0"/>
            <w:vAlign w:val="center"/>
          </w:tcPr>
          <w:p w14:paraId="1EB9F3C0">
            <w:pPr>
              <w:widowControl/>
              <w:shd w:val="clear" w:color="auto" w:fill="auto"/>
              <w:snapToGrid w:val="0"/>
              <w:spacing w:line="240" w:lineRule="atLeast"/>
              <w:jc w:val="center"/>
              <w:rPr>
                <w:rFonts w:hint="eastAsia" w:ascii="仿宋_GB2312" w:hAnsi="仿宋_GB2312" w:eastAsia="仿宋_GB2312" w:cs="仿宋_GB2312"/>
                <w:b w:val="0"/>
                <w:bCs w:val="0"/>
                <w:kern w:val="2"/>
                <w:sz w:val="21"/>
                <w:szCs w:val="21"/>
                <w:highlight w:val="none"/>
                <w:lang w:val="en-US" w:eastAsia="zh-CN" w:bidi="ar-SA"/>
              </w:rPr>
            </w:pPr>
            <w:r>
              <w:rPr>
                <w:rFonts w:hint="eastAsia" w:ascii="仿宋_GB2312" w:hAnsi="仿宋_GB2312" w:eastAsia="仿宋_GB2312" w:cs="仿宋_GB2312"/>
                <w:b w:val="0"/>
                <w:bCs w:val="0"/>
                <w:kern w:val="2"/>
                <w:sz w:val="21"/>
                <w:szCs w:val="21"/>
                <w:highlight w:val="none"/>
                <w:lang w:val="en-US" w:eastAsia="zh-CN" w:bidi="ar-SA"/>
              </w:rPr>
              <w:t>达到自治区要求</w:t>
            </w:r>
          </w:p>
        </w:tc>
        <w:tc>
          <w:tcPr>
            <w:tcW w:w="1930" w:type="dxa"/>
            <w:shd w:val="clear" w:color="auto" w:fill="auto"/>
            <w:noWrap w:val="0"/>
            <w:vAlign w:val="center"/>
          </w:tcPr>
          <w:p w14:paraId="661A70B2">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013" w:type="dxa"/>
            <w:shd w:val="clear" w:color="auto" w:fill="auto"/>
            <w:noWrap w:val="0"/>
            <w:vAlign w:val="center"/>
          </w:tcPr>
          <w:p w14:paraId="04E42A7D">
            <w:pPr>
              <w:widowControl/>
              <w:shd w:val="clear" w:color="auto" w:fill="auto"/>
              <w:snapToGrid w:val="0"/>
              <w:spacing w:line="240" w:lineRule="atLeast"/>
              <w:jc w:val="center"/>
              <w:rPr>
                <w:rFonts w:hint="eastAsia" w:ascii="Times New Roman" w:hAnsi="Times New Roman" w:eastAsia="方正仿宋_GBK" w:cs="方正仿宋_GBK"/>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rPr>
              <w:t>约束性</w:t>
            </w:r>
          </w:p>
        </w:tc>
      </w:tr>
      <w:tr w14:paraId="4F9BE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6" w:type="dxa"/>
            <w:vMerge w:val="continue"/>
            <w:noWrap w:val="0"/>
            <w:vAlign w:val="center"/>
          </w:tcPr>
          <w:p w14:paraId="5BE440BE">
            <w:pPr>
              <w:widowControl/>
              <w:shd w:val="clear" w:color="auto" w:fill="auto"/>
              <w:snapToGrid w:val="0"/>
              <w:spacing w:line="240" w:lineRule="atLeast"/>
              <w:jc w:val="center"/>
              <w:rPr>
                <w:rFonts w:hint="default" w:ascii="Times New Roman" w:hAnsi="Times New Roman" w:eastAsia="黑体" w:cs="Times New Roman"/>
                <w:b w:val="0"/>
                <w:bCs w:val="0"/>
                <w:kern w:val="0"/>
                <w:szCs w:val="21"/>
                <w:highlight w:val="none"/>
              </w:rPr>
            </w:pPr>
          </w:p>
        </w:tc>
        <w:tc>
          <w:tcPr>
            <w:tcW w:w="615" w:type="dxa"/>
            <w:shd w:val="clear" w:color="auto" w:fill="auto"/>
            <w:noWrap w:val="0"/>
            <w:tcMar>
              <w:left w:w="28" w:type="dxa"/>
              <w:right w:w="28" w:type="dxa"/>
            </w:tcMar>
            <w:vAlign w:val="center"/>
          </w:tcPr>
          <w:p w14:paraId="2F8E75AF">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szCs w:val="21"/>
                <w:highlight w:val="none"/>
                <w:lang w:val="en-US" w:eastAsia="zh-CN"/>
              </w:rPr>
              <w:t>17</w:t>
            </w:r>
          </w:p>
        </w:tc>
        <w:tc>
          <w:tcPr>
            <w:tcW w:w="3999" w:type="dxa"/>
            <w:gridSpan w:val="3"/>
            <w:shd w:val="clear" w:color="auto" w:fill="auto"/>
            <w:noWrap w:val="0"/>
            <w:tcMar>
              <w:left w:w="57" w:type="dxa"/>
              <w:right w:w="57" w:type="dxa"/>
            </w:tcMar>
            <w:vAlign w:val="center"/>
          </w:tcPr>
          <w:p w14:paraId="2707EFCB">
            <w:pPr>
              <w:widowControl/>
              <w:shd w:val="clear" w:color="auto" w:fill="auto"/>
              <w:snapToGrid w:val="0"/>
              <w:spacing w:line="240" w:lineRule="atLeast"/>
              <w:jc w:val="left"/>
              <w:rPr>
                <w:rFonts w:hint="eastAsia" w:ascii="Times New Roman" w:hAnsi="Times New Roman" w:eastAsia="方正仿宋_GB2312" w:cs="Times New Roman"/>
                <w:b w:val="0"/>
                <w:bCs w:val="0"/>
                <w:kern w:val="0"/>
                <w:sz w:val="21"/>
                <w:szCs w:val="21"/>
                <w:highlight w:val="none"/>
                <w:lang w:val="en-US" w:eastAsia="zh-CN" w:bidi="ar-SA"/>
              </w:rPr>
            </w:pPr>
            <w:r>
              <w:rPr>
                <w:rFonts w:hint="eastAsia" w:ascii="Times New Roman" w:hAnsi="Times New Roman" w:eastAsia="仿宋_GB2312" w:cs="方正仿宋_GBK"/>
                <w:b w:val="0"/>
                <w:bCs w:val="0"/>
                <w:szCs w:val="21"/>
                <w:highlight w:val="none"/>
              </w:rPr>
              <w:t>森林</w:t>
            </w:r>
            <w:r>
              <w:rPr>
                <w:rFonts w:hint="eastAsia" w:ascii="Times New Roman" w:hAnsi="Times New Roman" w:eastAsia="仿宋_GB2312" w:cs="方正仿宋_GBK"/>
                <w:b w:val="0"/>
                <w:bCs w:val="0"/>
                <w:szCs w:val="21"/>
                <w:highlight w:val="none"/>
                <w:lang w:val="en-US" w:eastAsia="zh-CN"/>
              </w:rPr>
              <w:t>覆盖率（</w:t>
            </w:r>
            <w:r>
              <w:rPr>
                <w:rFonts w:hint="default" w:ascii="Times New Roman" w:hAnsi="Times New Roman" w:eastAsia="方正仿宋_GB2312" w:cs="Times New Roman"/>
                <w:b w:val="0"/>
                <w:bCs w:val="0"/>
                <w:szCs w:val="21"/>
                <w:highlight w:val="none"/>
              </w:rPr>
              <w:t>%</w:t>
            </w:r>
            <w:r>
              <w:rPr>
                <w:rFonts w:hint="eastAsia" w:ascii="Times New Roman" w:hAnsi="Times New Roman" w:eastAsia="方正仿宋_GB2312" w:cs="Times New Roman"/>
                <w:b w:val="0"/>
                <w:bCs w:val="0"/>
                <w:szCs w:val="21"/>
                <w:highlight w:val="none"/>
                <w:lang w:eastAsia="zh-CN"/>
              </w:rPr>
              <w:t>）</w:t>
            </w:r>
          </w:p>
        </w:tc>
        <w:tc>
          <w:tcPr>
            <w:tcW w:w="912" w:type="dxa"/>
            <w:shd w:val="clear" w:color="auto" w:fill="auto"/>
            <w:noWrap w:val="0"/>
            <w:vAlign w:val="center"/>
          </w:tcPr>
          <w:p w14:paraId="223E2DB3">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34.22*</w:t>
            </w:r>
          </w:p>
        </w:tc>
        <w:tc>
          <w:tcPr>
            <w:tcW w:w="1160" w:type="dxa"/>
            <w:shd w:val="clear" w:color="auto" w:fill="auto"/>
            <w:noWrap w:val="0"/>
            <w:vAlign w:val="center"/>
          </w:tcPr>
          <w:p w14:paraId="48A7C61A">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szCs w:val="21"/>
                <w:highlight w:val="none"/>
                <w:lang w:val="en-US" w:eastAsia="zh-CN"/>
              </w:rPr>
              <w:t>34.5</w:t>
            </w:r>
          </w:p>
        </w:tc>
        <w:tc>
          <w:tcPr>
            <w:tcW w:w="1930" w:type="dxa"/>
            <w:shd w:val="clear" w:color="auto" w:fill="auto"/>
            <w:noWrap w:val="0"/>
            <w:vAlign w:val="center"/>
          </w:tcPr>
          <w:p w14:paraId="6E919096">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013" w:type="dxa"/>
            <w:shd w:val="clear" w:color="auto" w:fill="auto"/>
            <w:noWrap w:val="0"/>
            <w:vAlign w:val="center"/>
          </w:tcPr>
          <w:p w14:paraId="56BB40DF">
            <w:pPr>
              <w:widowControl/>
              <w:shd w:val="clear" w:color="auto" w:fill="auto"/>
              <w:snapToGrid w:val="0"/>
              <w:spacing w:line="240" w:lineRule="atLeast"/>
              <w:jc w:val="center"/>
              <w:rPr>
                <w:rFonts w:hint="eastAsia" w:ascii="Times New Roman" w:hAnsi="Times New Roman" w:eastAsia="方正仿宋_GBK" w:cs="方正仿宋_GBK"/>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rPr>
              <w:t>约束性</w:t>
            </w:r>
          </w:p>
        </w:tc>
      </w:tr>
      <w:tr w14:paraId="4D612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6" w:type="dxa"/>
            <w:vMerge w:val="restart"/>
            <w:shd w:val="clear" w:color="auto" w:fill="auto"/>
            <w:noWrap w:val="0"/>
            <w:vAlign w:val="center"/>
          </w:tcPr>
          <w:p w14:paraId="071D3498">
            <w:pPr>
              <w:widowControl/>
              <w:shd w:val="clear" w:color="auto" w:fill="auto"/>
              <w:snapToGrid w:val="0"/>
              <w:spacing w:line="240" w:lineRule="atLeast"/>
              <w:jc w:val="center"/>
              <w:rPr>
                <w:rFonts w:hint="default" w:ascii="Times New Roman" w:hAnsi="Times New Roman" w:eastAsia="黑体" w:cs="Times New Roman"/>
                <w:b w:val="0"/>
                <w:bCs w:val="0"/>
                <w:kern w:val="0"/>
                <w:szCs w:val="21"/>
                <w:highlight w:val="none"/>
              </w:rPr>
            </w:pPr>
            <w:r>
              <w:rPr>
                <w:rFonts w:hint="default" w:ascii="Times New Roman" w:hAnsi="Times New Roman" w:eastAsia="黑体" w:cs="Times New Roman"/>
                <w:b w:val="0"/>
                <w:bCs w:val="0"/>
                <w:kern w:val="0"/>
                <w:szCs w:val="21"/>
                <w:highlight w:val="none"/>
              </w:rPr>
              <w:t>安全保障</w:t>
            </w:r>
          </w:p>
        </w:tc>
        <w:tc>
          <w:tcPr>
            <w:tcW w:w="615" w:type="dxa"/>
            <w:shd w:val="clear" w:color="auto" w:fill="auto"/>
            <w:noWrap w:val="0"/>
            <w:tcMar>
              <w:left w:w="28" w:type="dxa"/>
              <w:right w:w="28" w:type="dxa"/>
            </w:tcMar>
            <w:vAlign w:val="center"/>
          </w:tcPr>
          <w:p w14:paraId="670DF48D">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szCs w:val="21"/>
                <w:highlight w:val="none"/>
                <w:lang w:val="en-US" w:eastAsia="zh-CN"/>
              </w:rPr>
              <w:t>18</w:t>
            </w:r>
          </w:p>
        </w:tc>
        <w:tc>
          <w:tcPr>
            <w:tcW w:w="3999" w:type="dxa"/>
            <w:gridSpan w:val="3"/>
            <w:shd w:val="clear" w:color="auto" w:fill="auto"/>
            <w:noWrap w:val="0"/>
            <w:tcMar>
              <w:left w:w="57" w:type="dxa"/>
              <w:right w:w="57" w:type="dxa"/>
            </w:tcMar>
            <w:vAlign w:val="center"/>
          </w:tcPr>
          <w:p w14:paraId="272CCCD8">
            <w:pPr>
              <w:widowControl/>
              <w:shd w:val="clear" w:color="auto" w:fill="auto"/>
              <w:snapToGrid w:val="0"/>
              <w:spacing w:line="240" w:lineRule="atLeast"/>
              <w:jc w:val="left"/>
              <w:rPr>
                <w:rFonts w:hint="eastAsia" w:ascii="Times New Roman" w:hAnsi="Times New Roman" w:eastAsia="仿宋_GB2312" w:cs="方正仿宋_GBK"/>
                <w:b w:val="0"/>
                <w:bCs w:val="0"/>
                <w:szCs w:val="21"/>
                <w:highlight w:val="none"/>
                <w:lang w:val="en-US" w:eastAsia="zh-CN"/>
              </w:rPr>
            </w:pPr>
            <w:r>
              <w:rPr>
                <w:rFonts w:hint="eastAsia" w:ascii="Times New Roman" w:hAnsi="Times New Roman" w:eastAsia="仿宋_GB2312" w:cs="方正仿宋_GBK"/>
                <w:b w:val="0"/>
                <w:bCs w:val="0"/>
                <w:szCs w:val="21"/>
                <w:highlight w:val="none"/>
              </w:rPr>
              <w:t>粮食综合生产能力</w:t>
            </w:r>
            <w:r>
              <w:rPr>
                <w:rFonts w:hint="eastAsia" w:ascii="Times New Roman" w:hAnsi="Times New Roman" w:eastAsia="仿宋_GB2312" w:cs="方正仿宋_GBK"/>
                <w:b w:val="0"/>
                <w:bCs w:val="0"/>
                <w:szCs w:val="21"/>
                <w:highlight w:val="none"/>
                <w:lang w:eastAsia="zh-CN"/>
              </w:rPr>
              <w:t>（</w:t>
            </w:r>
            <w:r>
              <w:rPr>
                <w:rFonts w:hint="default" w:ascii="Times New Roman" w:hAnsi="Times New Roman" w:eastAsia="仿宋_GB2312" w:cs="方正仿宋_GBK"/>
                <w:b w:val="0"/>
                <w:bCs w:val="0"/>
                <w:szCs w:val="21"/>
                <w:highlight w:val="none"/>
              </w:rPr>
              <w:t>万吨</w:t>
            </w:r>
            <w:r>
              <w:rPr>
                <w:rFonts w:hint="eastAsia" w:ascii="Times New Roman" w:hAnsi="Times New Roman" w:eastAsia="仿宋_GB2312" w:cs="方正仿宋_GBK"/>
                <w:b w:val="0"/>
                <w:bCs w:val="0"/>
                <w:szCs w:val="21"/>
                <w:highlight w:val="none"/>
                <w:lang w:eastAsia="zh-CN"/>
              </w:rPr>
              <w:t>）</w:t>
            </w:r>
          </w:p>
        </w:tc>
        <w:tc>
          <w:tcPr>
            <w:tcW w:w="912" w:type="dxa"/>
            <w:shd w:val="clear" w:color="auto" w:fill="auto"/>
            <w:noWrap w:val="0"/>
            <w:vAlign w:val="center"/>
          </w:tcPr>
          <w:p w14:paraId="457981EC">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704.5</w:t>
            </w:r>
          </w:p>
        </w:tc>
        <w:tc>
          <w:tcPr>
            <w:tcW w:w="1160" w:type="dxa"/>
            <w:shd w:val="clear" w:color="auto" w:fill="auto"/>
            <w:noWrap w:val="0"/>
            <w:vAlign w:val="center"/>
          </w:tcPr>
          <w:p w14:paraId="07734A82">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930" w:type="dxa"/>
            <w:shd w:val="clear" w:color="auto" w:fill="auto"/>
            <w:noWrap w:val="0"/>
            <w:vAlign w:val="center"/>
          </w:tcPr>
          <w:p w14:paraId="1AF2188A">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仿宋_GB2312" w:hAnsi="仿宋_GB2312" w:eastAsia="仿宋_GB2312" w:cs="仿宋_GB2312"/>
                <w:b w:val="0"/>
                <w:bCs w:val="0"/>
                <w:kern w:val="2"/>
                <w:sz w:val="21"/>
                <w:szCs w:val="21"/>
                <w:highlight w:val="none"/>
                <w:lang w:val="en-US" w:eastAsia="zh-CN" w:bidi="ar-SA"/>
              </w:rPr>
              <w:t>达到自治区要求</w:t>
            </w:r>
          </w:p>
        </w:tc>
        <w:tc>
          <w:tcPr>
            <w:tcW w:w="1013" w:type="dxa"/>
            <w:shd w:val="clear" w:color="auto" w:fill="auto"/>
            <w:noWrap w:val="0"/>
            <w:vAlign w:val="center"/>
          </w:tcPr>
          <w:p w14:paraId="059065A6">
            <w:pPr>
              <w:widowControl/>
              <w:shd w:val="clear" w:color="auto" w:fill="auto"/>
              <w:snapToGrid w:val="0"/>
              <w:spacing w:line="240" w:lineRule="atLeast"/>
              <w:jc w:val="center"/>
              <w:rPr>
                <w:rFonts w:hint="eastAsia" w:ascii="Times New Roman" w:hAnsi="Times New Roman" w:eastAsia="方正仿宋_GBK" w:cs="方正仿宋_GBK"/>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rPr>
              <w:t>约束性</w:t>
            </w:r>
          </w:p>
        </w:tc>
      </w:tr>
      <w:tr w14:paraId="605B7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6" w:type="dxa"/>
            <w:vMerge w:val="continue"/>
            <w:noWrap w:val="0"/>
            <w:vAlign w:val="center"/>
          </w:tcPr>
          <w:p w14:paraId="5E683968">
            <w:pPr>
              <w:widowControl/>
              <w:shd w:val="clear" w:color="auto" w:fill="auto"/>
              <w:snapToGrid w:val="0"/>
              <w:spacing w:line="240" w:lineRule="atLeast"/>
              <w:jc w:val="center"/>
              <w:rPr>
                <w:rFonts w:hint="default" w:ascii="Times New Roman" w:hAnsi="Times New Roman" w:eastAsia="方正仿宋_GB2312" w:cs="Times New Roman"/>
                <w:b w:val="0"/>
                <w:bCs w:val="0"/>
                <w:kern w:val="0"/>
                <w:szCs w:val="21"/>
                <w:highlight w:val="none"/>
              </w:rPr>
            </w:pPr>
          </w:p>
        </w:tc>
        <w:tc>
          <w:tcPr>
            <w:tcW w:w="615" w:type="dxa"/>
            <w:shd w:val="clear" w:color="auto" w:fill="auto"/>
            <w:noWrap w:val="0"/>
            <w:tcMar>
              <w:left w:w="28" w:type="dxa"/>
              <w:right w:w="28" w:type="dxa"/>
            </w:tcMar>
            <w:vAlign w:val="center"/>
          </w:tcPr>
          <w:p w14:paraId="073193AD">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19</w:t>
            </w:r>
          </w:p>
        </w:tc>
        <w:tc>
          <w:tcPr>
            <w:tcW w:w="3999" w:type="dxa"/>
            <w:gridSpan w:val="3"/>
            <w:shd w:val="clear" w:color="auto" w:fill="auto"/>
            <w:noWrap w:val="0"/>
            <w:tcMar>
              <w:left w:w="57" w:type="dxa"/>
              <w:right w:w="57" w:type="dxa"/>
            </w:tcMar>
            <w:vAlign w:val="center"/>
          </w:tcPr>
          <w:p w14:paraId="3FFAB691">
            <w:pPr>
              <w:widowControl/>
              <w:shd w:val="clear" w:color="auto" w:fill="auto"/>
              <w:snapToGrid w:val="0"/>
              <w:spacing w:line="240" w:lineRule="atLeast"/>
              <w:jc w:val="left"/>
              <w:rPr>
                <w:rFonts w:hint="eastAsia" w:ascii="Times New Roman" w:hAnsi="Times New Roman" w:eastAsia="仿宋_GB2312" w:cs="方正仿宋_GBK"/>
                <w:b w:val="0"/>
                <w:bCs w:val="0"/>
                <w:szCs w:val="21"/>
                <w:highlight w:val="none"/>
                <w:lang w:val="en-US" w:eastAsia="zh-CN"/>
              </w:rPr>
            </w:pPr>
            <w:r>
              <w:rPr>
                <w:rFonts w:hint="eastAsia" w:ascii="Times New Roman" w:hAnsi="Times New Roman" w:eastAsia="仿宋_GB2312" w:cs="方正仿宋_GBK"/>
                <w:b w:val="0"/>
                <w:bCs w:val="0"/>
                <w:szCs w:val="21"/>
                <w:highlight w:val="none"/>
              </w:rPr>
              <w:t>能源综合生产能力</w:t>
            </w:r>
            <w:r>
              <w:rPr>
                <w:rFonts w:hint="eastAsia" w:ascii="Times New Roman" w:hAnsi="Times New Roman" w:eastAsia="仿宋_GB2312" w:cs="方正仿宋_GBK"/>
                <w:b w:val="0"/>
                <w:bCs w:val="0"/>
                <w:szCs w:val="21"/>
                <w:highlight w:val="none"/>
                <w:lang w:eastAsia="zh-CN"/>
              </w:rPr>
              <w:t>（</w:t>
            </w:r>
            <w:r>
              <w:rPr>
                <w:rFonts w:hint="default" w:ascii="Times New Roman" w:hAnsi="Times New Roman" w:eastAsia="仿宋_GB2312" w:cs="方正仿宋_GBK"/>
                <w:b w:val="0"/>
                <w:bCs w:val="0"/>
                <w:szCs w:val="21"/>
                <w:highlight w:val="none"/>
              </w:rPr>
              <w:t>亿吨标煤</w:t>
            </w:r>
            <w:r>
              <w:rPr>
                <w:rFonts w:hint="eastAsia" w:ascii="Times New Roman" w:hAnsi="Times New Roman" w:eastAsia="仿宋_GB2312" w:cs="方正仿宋_GBK"/>
                <w:b w:val="0"/>
                <w:bCs w:val="0"/>
                <w:szCs w:val="21"/>
                <w:highlight w:val="none"/>
                <w:lang w:eastAsia="zh-CN"/>
              </w:rPr>
              <w:t>）</w:t>
            </w:r>
          </w:p>
        </w:tc>
        <w:tc>
          <w:tcPr>
            <w:tcW w:w="912" w:type="dxa"/>
            <w:shd w:val="clear" w:color="auto" w:fill="auto"/>
            <w:noWrap w:val="0"/>
            <w:vAlign w:val="center"/>
          </w:tcPr>
          <w:p w14:paraId="094426AA">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0.23</w:t>
            </w:r>
          </w:p>
        </w:tc>
        <w:tc>
          <w:tcPr>
            <w:tcW w:w="1160" w:type="dxa"/>
            <w:shd w:val="clear" w:color="auto" w:fill="auto"/>
            <w:noWrap w:val="0"/>
            <w:vAlign w:val="center"/>
          </w:tcPr>
          <w:p w14:paraId="35E562E3">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仿宋_GB2312" w:hAnsi="仿宋_GB2312" w:eastAsia="仿宋_GB2312" w:cs="仿宋_GB2312"/>
                <w:b w:val="0"/>
                <w:bCs w:val="0"/>
                <w:kern w:val="2"/>
                <w:sz w:val="21"/>
                <w:szCs w:val="21"/>
                <w:highlight w:val="none"/>
                <w:lang w:val="en-US" w:eastAsia="zh-CN" w:bidi="ar-SA"/>
              </w:rPr>
              <w:t>达到自治区要求</w:t>
            </w:r>
          </w:p>
        </w:tc>
        <w:tc>
          <w:tcPr>
            <w:tcW w:w="1930" w:type="dxa"/>
            <w:shd w:val="clear" w:color="auto" w:fill="auto"/>
            <w:noWrap w:val="0"/>
            <w:vAlign w:val="center"/>
          </w:tcPr>
          <w:p w14:paraId="47B90392">
            <w:pPr>
              <w:widowControl/>
              <w:shd w:val="clear" w:color="auto" w:fill="auto"/>
              <w:snapToGrid w:val="0"/>
              <w:spacing w:line="240" w:lineRule="atLeast"/>
              <w:jc w:val="center"/>
              <w:rPr>
                <w:rFonts w:hint="default" w:ascii="Times New Roman" w:hAnsi="Times New Roman" w:eastAsia="方正仿宋_GB2312" w:cs="Times New Roman"/>
                <w:b w:val="0"/>
                <w:bCs w:val="0"/>
                <w:kern w:val="2"/>
                <w:sz w:val="21"/>
                <w:szCs w:val="21"/>
                <w:highlight w:val="none"/>
                <w:lang w:val="en-US" w:eastAsia="zh-CN" w:bidi="ar-SA"/>
              </w:rPr>
            </w:pPr>
            <w:r>
              <w:rPr>
                <w:rFonts w:hint="eastAsia" w:ascii="Times New Roman" w:hAnsi="Times New Roman" w:eastAsia="方正仿宋_GB2312" w:cs="Times New Roman"/>
                <w:b w:val="0"/>
                <w:bCs w:val="0"/>
                <w:kern w:val="2"/>
                <w:sz w:val="21"/>
                <w:szCs w:val="21"/>
                <w:highlight w:val="none"/>
                <w:lang w:val="en-US" w:eastAsia="zh-CN" w:bidi="ar-SA"/>
              </w:rPr>
              <w:t>—</w:t>
            </w:r>
          </w:p>
        </w:tc>
        <w:tc>
          <w:tcPr>
            <w:tcW w:w="1013" w:type="dxa"/>
            <w:shd w:val="clear" w:color="auto" w:fill="auto"/>
            <w:noWrap w:val="0"/>
            <w:vAlign w:val="center"/>
          </w:tcPr>
          <w:p w14:paraId="7790527B">
            <w:pPr>
              <w:widowControl/>
              <w:shd w:val="clear" w:color="auto" w:fill="auto"/>
              <w:snapToGrid w:val="0"/>
              <w:spacing w:line="240" w:lineRule="atLeast"/>
              <w:jc w:val="center"/>
              <w:rPr>
                <w:rFonts w:hint="eastAsia" w:ascii="Times New Roman" w:hAnsi="Times New Roman" w:eastAsia="方正仿宋_GBK" w:cs="方正仿宋_GBK"/>
                <w:b w:val="0"/>
                <w:bCs w:val="0"/>
                <w:kern w:val="2"/>
                <w:sz w:val="21"/>
                <w:szCs w:val="21"/>
                <w:highlight w:val="none"/>
                <w:lang w:val="en-US" w:eastAsia="zh-CN" w:bidi="ar-SA"/>
              </w:rPr>
            </w:pPr>
            <w:r>
              <w:rPr>
                <w:rFonts w:hint="eastAsia" w:ascii="Times New Roman" w:hAnsi="Times New Roman" w:eastAsia="仿宋_GB2312" w:cs="方正仿宋_GBK"/>
                <w:b w:val="0"/>
                <w:bCs w:val="0"/>
                <w:szCs w:val="21"/>
                <w:highlight w:val="none"/>
              </w:rPr>
              <w:t>约束性</w:t>
            </w:r>
          </w:p>
        </w:tc>
      </w:tr>
      <w:tr w14:paraId="6F1BD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45" w:type="dxa"/>
            <w:gridSpan w:val="9"/>
            <w:noWrap w:val="0"/>
            <w:vAlign w:val="center"/>
          </w:tcPr>
          <w:p w14:paraId="0BA79225">
            <w:pPr>
              <w:widowControl/>
              <w:shd w:val="clear" w:color="auto" w:fill="auto"/>
              <w:snapToGrid w:val="0"/>
              <w:spacing w:line="240" w:lineRule="atLeast"/>
              <w:ind w:firstLine="420" w:firstLineChars="200"/>
              <w:jc w:val="both"/>
              <w:rPr>
                <w:rFonts w:hint="default" w:ascii="Times New Roman" w:hAnsi="Times New Roman" w:eastAsia="仿宋_GB2312" w:cs="方正仿宋_GBK"/>
                <w:b w:val="0"/>
                <w:bCs w:val="0"/>
                <w:szCs w:val="21"/>
                <w:highlight w:val="none"/>
                <w:lang w:val="en-US" w:eastAsia="zh-CN"/>
              </w:rPr>
            </w:pPr>
            <w:r>
              <w:rPr>
                <w:rFonts w:hint="eastAsia" w:ascii="Times New Roman" w:hAnsi="Times New Roman" w:eastAsia="仿宋_GB2312" w:cs="方正仿宋_GBK"/>
                <w:b w:val="0"/>
                <w:bCs w:val="0"/>
                <w:szCs w:val="21"/>
                <w:highlight w:val="none"/>
                <w:lang w:val="en-US" w:eastAsia="zh-CN"/>
              </w:rPr>
              <w:t>注：</w:t>
            </w:r>
            <w:r>
              <w:rPr>
                <w:rFonts w:hint="default" w:ascii="Calibri" w:hAnsi="Calibri" w:eastAsia="仿宋_GB2312" w:cs="Calibri"/>
                <w:b w:val="0"/>
                <w:bCs w:val="0"/>
                <w:szCs w:val="21"/>
                <w:highlight w:val="none"/>
                <w:lang w:val="en-US" w:eastAsia="zh-CN"/>
              </w:rPr>
              <w:t>①</w:t>
            </w:r>
            <w:r>
              <w:rPr>
                <w:rFonts w:hint="eastAsia" w:ascii="微软雅黑" w:hAnsi="微软雅黑" w:eastAsia="微软雅黑" w:cs="微软雅黑"/>
                <w:b w:val="0"/>
                <w:bCs w:val="0"/>
                <w:szCs w:val="21"/>
                <w:highlight w:val="none"/>
                <w:lang w:val="en-US" w:eastAsia="zh-CN"/>
              </w:rPr>
              <w:t>〔〕</w:t>
            </w:r>
            <w:r>
              <w:rPr>
                <w:rFonts w:hint="eastAsia" w:ascii="Times New Roman" w:hAnsi="Times New Roman" w:eastAsia="仿宋_GB2312" w:cs="方正仿宋_GBK"/>
                <w:b w:val="0"/>
                <w:bCs w:val="0"/>
                <w:szCs w:val="21"/>
                <w:highlight w:val="none"/>
                <w:lang w:val="en-US" w:eastAsia="zh-CN"/>
              </w:rPr>
              <w:t>内为5年累计数。</w:t>
            </w:r>
            <w:r>
              <w:rPr>
                <w:rFonts w:hint="default" w:ascii="Calibri" w:hAnsi="Calibri" w:eastAsia="仿宋_GB2312" w:cs="Calibri"/>
                <w:b w:val="0"/>
                <w:bCs w:val="0"/>
                <w:szCs w:val="21"/>
                <w:highlight w:val="none"/>
                <w:lang w:val="en-US" w:eastAsia="zh-CN"/>
              </w:rPr>
              <w:t>②</w:t>
            </w:r>
            <w:r>
              <w:rPr>
                <w:rFonts w:hint="eastAsia" w:ascii="Times New Roman" w:hAnsi="Times New Roman" w:eastAsia="仿宋_GB2312" w:cs="方正仿宋_GBK"/>
                <w:b w:val="0"/>
                <w:bCs w:val="0"/>
                <w:szCs w:val="21"/>
                <w:highlight w:val="none"/>
                <w:lang w:val="en-US" w:eastAsia="zh-CN"/>
              </w:rPr>
              <w:t>*为2024年数据。</w:t>
            </w:r>
            <w:r>
              <w:rPr>
                <w:rFonts w:hint="default" w:ascii="Calibri" w:hAnsi="Calibri" w:eastAsia="仿宋_GB2312" w:cs="Calibri"/>
                <w:b w:val="0"/>
                <w:bCs w:val="0"/>
                <w:szCs w:val="21"/>
                <w:highlight w:val="none"/>
                <w:lang w:val="en-US" w:eastAsia="zh-CN"/>
              </w:rPr>
              <w:t>③</w:t>
            </w:r>
            <w:r>
              <w:rPr>
                <w:rFonts w:hint="eastAsia" w:ascii="Times New Roman" w:hAnsi="Times New Roman" w:eastAsia="仿宋_GB2312" w:cs="方正仿宋_GBK"/>
                <w:b w:val="0"/>
                <w:bCs w:val="0"/>
                <w:szCs w:val="21"/>
                <w:highlight w:val="none"/>
                <w:lang w:val="en-US" w:eastAsia="zh-CN"/>
              </w:rPr>
              <w:t>2025年数据中“—”为待自治区正式发布的数据。</w:t>
            </w:r>
          </w:p>
        </w:tc>
      </w:tr>
    </w:tbl>
    <w:p w14:paraId="12A3FF19">
      <w:pPr>
        <w:keepNext w:val="0"/>
        <w:keepLines w:val="0"/>
        <w:pageBreakBefore w:val="0"/>
        <w:widowControl/>
        <w:numPr>
          <w:ilvl w:val="-1"/>
          <w:numId w:val="0"/>
        </w:numPr>
        <w:kinsoku/>
        <w:wordWrap/>
        <w:overflowPunct/>
        <w:topLinePunct w:val="0"/>
        <w:autoSpaceDE/>
        <w:autoSpaceDN/>
        <w:bidi w:val="0"/>
        <w:adjustRightInd/>
        <w:snapToGrid/>
        <w:spacing w:before="0" w:beforeLines="-2147483648" w:after="0" w:afterLines="-2147483648"/>
        <w:jc w:val="left"/>
        <w:textAlignment w:val="auto"/>
        <w:outlineLvl w:val="9"/>
        <w:rPr>
          <w:rFonts w:hint="eastAsia" w:ascii="Times New Roman" w:hAnsi="Times New Roman"/>
          <w:b w:val="0"/>
          <w:bCs w:val="0"/>
          <w:highlight w:val="none"/>
          <w:lang w:val="en-US" w:eastAsia="zh-CN"/>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14:paraId="45D6467B">
      <w:pPr>
        <w:numPr>
          <w:ilvl w:val="0"/>
          <w:numId w:val="1"/>
        </w:numPr>
        <w:shd w:val="clear" w:color="auto" w:fill="auto"/>
        <w:spacing w:before="157" w:beforeLines="50" w:after="157" w:afterLines="50" w:line="360" w:lineRule="auto"/>
        <w:jc w:val="center"/>
        <w:outlineLvl w:val="0"/>
        <w:rPr>
          <w:rFonts w:hint="eastAsia" w:ascii="Times New Roman" w:hAnsi="Times New Roman" w:eastAsia="方正黑体_GBK" w:cs="方正黑体_GBK"/>
          <w:b w:val="0"/>
          <w:bCs w:val="0"/>
          <w:sz w:val="32"/>
          <w:szCs w:val="32"/>
          <w:highlight w:val="none"/>
          <w:u w:val="none"/>
          <w:lang w:val="en-US" w:eastAsia="zh-CN"/>
        </w:rPr>
        <w:sectPr>
          <w:footerReference r:id="rId16" w:type="default"/>
          <w:pgSz w:w="11906" w:h="16838"/>
          <w:pgMar w:top="2098" w:right="1474" w:bottom="1984" w:left="1587" w:header="851" w:footer="992" w:gutter="0"/>
          <w:pgNumType w:fmt="numberInDash"/>
          <w:cols w:space="720" w:num="1"/>
          <w:docGrid w:type="lines" w:linePitch="312" w:charSpace="0"/>
        </w:sectPr>
      </w:pPr>
      <w:bookmarkStart w:id="35" w:name="_Toc21669"/>
      <w:bookmarkStart w:id="36" w:name="_Toc9698"/>
      <w:bookmarkStart w:id="37" w:name="_Toc20772"/>
      <w:bookmarkStart w:id="38" w:name="_Toc10352"/>
      <w:bookmarkStart w:id="39" w:name="_Toc26494"/>
      <w:bookmarkStart w:id="40" w:name="_Toc5273"/>
      <w:bookmarkStart w:id="41" w:name="_Toc8816"/>
      <w:bookmarkStart w:id="42" w:name="_Toc4957"/>
      <w:bookmarkStart w:id="43" w:name="_Toc17998"/>
      <w:bookmarkStart w:id="44" w:name="_Toc1379"/>
    </w:p>
    <w:p w14:paraId="3DACE639">
      <w:pPr>
        <w:keepNext w:val="0"/>
        <w:keepLines w:val="0"/>
        <w:pageBreakBefore w:val="0"/>
        <w:numPr>
          <w:ilvl w:val="0"/>
          <w:numId w:val="1"/>
        </w:numPr>
        <w:shd w:val="clear" w:color="auto" w:fill="auto"/>
        <w:kinsoku/>
        <w:wordWrap/>
        <w:topLinePunct w:val="0"/>
        <w:autoSpaceDE/>
        <w:autoSpaceDN/>
        <w:bidi w:val="0"/>
        <w:adjustRightInd/>
        <w:spacing w:before="157" w:beforeLines="50" w:after="157" w:afterLines="50" w:line="540" w:lineRule="exact"/>
        <w:jc w:val="center"/>
        <w:textAlignment w:val="auto"/>
        <w:outlineLvl w:val="0"/>
        <w:rPr>
          <w:rFonts w:hint="eastAsia" w:ascii="方正小标宋简体" w:hAnsi="方正小标宋简体" w:eastAsia="方正小标宋简体" w:cs="方正小标宋简体"/>
          <w:b w:val="0"/>
          <w:bCs w:val="0"/>
          <w:sz w:val="32"/>
          <w:szCs w:val="32"/>
          <w:highlight w:val="none"/>
          <w:u w:val="none"/>
          <w:lang w:val="en-US" w:eastAsia="zh-CN"/>
        </w:rPr>
      </w:pPr>
      <w:bookmarkStart w:id="45" w:name="_Toc27514"/>
      <w:bookmarkStart w:id="46" w:name="_Toc20097"/>
      <w:bookmarkStart w:id="47" w:name="_Toc5743"/>
      <w:bookmarkStart w:id="48" w:name="_Toc18073"/>
      <w:r>
        <w:rPr>
          <w:rFonts w:hint="eastAsia" w:ascii="方正小标宋简体" w:hAnsi="方正小标宋简体" w:eastAsia="方正小标宋简体" w:cs="方正小标宋简体"/>
          <w:b w:val="0"/>
          <w:bCs w:val="0"/>
          <w:sz w:val="32"/>
          <w:szCs w:val="32"/>
          <w:highlight w:val="none"/>
          <w:u w:val="none"/>
          <w:lang w:val="en-US" w:eastAsia="zh-CN"/>
        </w:rPr>
        <w:t>聚焦重点，践行中国式现代化赤峰实践新路径</w:t>
      </w:r>
      <w:bookmarkEnd w:id="35"/>
      <w:bookmarkEnd w:id="36"/>
      <w:bookmarkEnd w:id="37"/>
      <w:bookmarkEnd w:id="38"/>
      <w:bookmarkEnd w:id="39"/>
      <w:bookmarkEnd w:id="40"/>
      <w:bookmarkEnd w:id="41"/>
      <w:bookmarkEnd w:id="42"/>
      <w:bookmarkEnd w:id="43"/>
      <w:bookmarkEnd w:id="45"/>
      <w:bookmarkEnd w:id="46"/>
      <w:bookmarkEnd w:id="47"/>
      <w:bookmarkEnd w:id="48"/>
    </w:p>
    <w:p w14:paraId="05B670EE">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szCs w:val="36"/>
          <w:highlight w:val="none"/>
        </w:rPr>
      </w:pPr>
      <w:r>
        <w:rPr>
          <w:rFonts w:hint="eastAsia" w:ascii="Times New Roman" w:hAnsi="Times New Roman" w:eastAsia="仿宋_GB2312" w:cs="方正仿宋_GBK"/>
          <w:b w:val="0"/>
          <w:bCs w:val="0"/>
          <w:szCs w:val="36"/>
          <w:highlight w:val="none"/>
          <w:lang w:val="en-US" w:eastAsia="zh-CN"/>
        </w:rPr>
        <w:t>锚定基本实现现代化取得决定性进展目标，按照高质量发展要求，把握好速度与质量、经济与社会、环境和安全的关系，把中国式现代化宏伟事业</w:t>
      </w:r>
      <w:r>
        <w:rPr>
          <w:rFonts w:hint="eastAsia" w:eastAsia="仿宋_GB2312" w:cs="方正仿宋_GBK"/>
          <w:b w:val="0"/>
          <w:bCs w:val="0"/>
          <w:szCs w:val="36"/>
          <w:highlight w:val="none"/>
          <w:lang w:val="en-US" w:eastAsia="zh-CN"/>
        </w:rPr>
        <w:t>赤峰实践</w:t>
      </w:r>
      <w:r>
        <w:rPr>
          <w:rFonts w:hint="eastAsia" w:ascii="Times New Roman" w:hAnsi="Times New Roman" w:eastAsia="仿宋_GB2312" w:cs="方正仿宋_GBK"/>
          <w:b w:val="0"/>
          <w:bCs w:val="0"/>
          <w:szCs w:val="36"/>
          <w:highlight w:val="none"/>
          <w:lang w:val="en-US" w:eastAsia="zh-CN"/>
        </w:rPr>
        <w:t>不断向前推进。</w:t>
      </w:r>
    </w:p>
    <w:bookmarkEnd w:id="44"/>
    <w:p w14:paraId="21AE82BD">
      <w:pPr>
        <w:keepNext w:val="0"/>
        <w:keepLines w:val="0"/>
        <w:pageBreakBefore w:val="0"/>
        <w:widowControl/>
        <w:numPr>
          <w:ilvl w:val="0"/>
          <w:numId w:val="2"/>
        </w:numPr>
        <w:kinsoku/>
        <w:wordWrap/>
        <w:overflowPunct/>
        <w:topLinePunct w:val="0"/>
        <w:autoSpaceDE/>
        <w:autoSpaceDN/>
        <w:bidi w:val="0"/>
        <w:adjustRightInd/>
        <w:snapToGrid/>
        <w:spacing w:before="157" w:beforeLines="50" w:after="157" w:afterLines="50" w:line="540" w:lineRule="exact"/>
        <w:jc w:val="center"/>
        <w:textAlignment w:val="auto"/>
        <w:outlineLvl w:val="1"/>
        <w:rPr>
          <w:rFonts w:hint="eastAsia" w:ascii="黑体" w:hAnsi="黑体" w:eastAsia="黑体" w:cs="黑体"/>
          <w:b w:val="0"/>
          <w:bCs w:val="0"/>
          <w:sz w:val="32"/>
          <w:szCs w:val="32"/>
          <w:highlight w:val="none"/>
          <w:lang w:val="en-US" w:eastAsia="zh-CN"/>
        </w:rPr>
      </w:pPr>
      <w:bookmarkStart w:id="49" w:name="_Toc9340"/>
      <w:bookmarkStart w:id="50" w:name="_Toc28823"/>
      <w:bookmarkStart w:id="51" w:name="_Toc26519"/>
      <w:bookmarkStart w:id="52" w:name="_Toc17096"/>
      <w:bookmarkStart w:id="53" w:name="_Toc18787"/>
      <w:bookmarkStart w:id="54" w:name="_Toc10628"/>
      <w:bookmarkStart w:id="55" w:name="_Toc4663"/>
      <w:bookmarkStart w:id="56" w:name="_Toc30344"/>
      <w:bookmarkStart w:id="57" w:name="_Toc15520"/>
      <w:bookmarkStart w:id="58" w:name="_Toc14239"/>
      <w:bookmarkStart w:id="59" w:name="_Toc13816"/>
      <w:bookmarkStart w:id="60" w:name="_Toc14959"/>
      <w:bookmarkStart w:id="61" w:name="_Toc30953"/>
      <w:bookmarkStart w:id="62" w:name="_Toc21658"/>
      <w:bookmarkStart w:id="63" w:name="_Toc4926"/>
      <w:bookmarkStart w:id="64" w:name="_Toc18264"/>
      <w:bookmarkStart w:id="65" w:name="_Toc14189"/>
      <w:bookmarkStart w:id="66" w:name="_Toc29553"/>
      <w:bookmarkStart w:id="67" w:name="_Toc2036"/>
      <w:bookmarkStart w:id="68" w:name="_Toc13664"/>
      <w:bookmarkStart w:id="69" w:name="_Toc5720"/>
      <w:bookmarkStart w:id="70" w:name="_Toc8516"/>
      <w:bookmarkStart w:id="71" w:name="_Toc2916"/>
      <w:r>
        <w:rPr>
          <w:rFonts w:hint="eastAsia" w:ascii="黑体" w:hAnsi="黑体" w:eastAsia="黑体" w:cs="黑体"/>
          <w:b w:val="0"/>
          <w:bCs w:val="0"/>
          <w:sz w:val="32"/>
          <w:szCs w:val="32"/>
          <w:highlight w:val="none"/>
          <w:lang w:eastAsia="zh-CN"/>
        </w:rPr>
        <w:t>铸牢中华民族共同体意识，</w:t>
      </w:r>
      <w:bookmarkEnd w:id="49"/>
      <w:r>
        <w:rPr>
          <w:rFonts w:hint="eastAsia" w:ascii="黑体" w:hAnsi="黑体" w:eastAsia="黑体" w:cs="黑体"/>
          <w:b w:val="0"/>
          <w:bCs w:val="0"/>
          <w:sz w:val="32"/>
          <w:szCs w:val="32"/>
          <w:highlight w:val="none"/>
          <w:lang w:val="en-US" w:eastAsia="zh-CN"/>
        </w:rPr>
        <w:t>推进民族工作高质量发展</w:t>
      </w:r>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57F97B5C">
      <w:pPr>
        <w:pStyle w:val="43"/>
        <w:keepNext w:val="0"/>
        <w:keepLines w:val="0"/>
        <w:pageBreakBefore w:val="0"/>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sz w:val="32"/>
          <w:szCs w:val="32"/>
          <w:highlight w:val="none"/>
        </w:rPr>
      </w:pPr>
      <w:r>
        <w:rPr>
          <w:rFonts w:hint="eastAsia" w:ascii="Times New Roman" w:hAnsi="Times New Roman" w:eastAsia="仿宋_GB2312" w:cs="方正仿宋_GBK"/>
          <w:b w:val="0"/>
          <w:bCs w:val="0"/>
          <w:color w:val="auto"/>
          <w:sz w:val="32"/>
          <w:szCs w:val="32"/>
          <w:highlight w:val="none"/>
        </w:rPr>
        <w:t>牢牢把握铸牢中华民族共同体意识这一新时代党的民族工作和民族地区各项工作的主线，</w:t>
      </w:r>
      <w:r>
        <w:rPr>
          <w:rFonts w:hint="eastAsia" w:eastAsia="仿宋_GB2312" w:cs="方正仿宋_GBK"/>
          <w:b w:val="0"/>
          <w:bCs w:val="0"/>
          <w:color w:val="auto"/>
          <w:sz w:val="32"/>
          <w:szCs w:val="32"/>
          <w:highlight w:val="none"/>
          <w:lang w:val="en-US" w:eastAsia="zh-CN"/>
        </w:rPr>
        <w:t>把主线要求具体深入地贯彻落实到全市</w:t>
      </w:r>
      <w:r>
        <w:rPr>
          <w:rFonts w:hint="eastAsia" w:ascii="Times New Roman" w:hAnsi="Times New Roman" w:eastAsia="仿宋_GB2312" w:cs="方正仿宋_GBK"/>
          <w:b w:val="0"/>
          <w:bCs w:val="0"/>
          <w:color w:val="auto"/>
          <w:sz w:val="32"/>
          <w:szCs w:val="32"/>
          <w:highlight w:val="none"/>
        </w:rPr>
        <w:t>经济建设、政治建设</w:t>
      </w:r>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文化建设、社会建设、生态文明建设和党的建设等工作中</w:t>
      </w:r>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有形有感有效推进中华民族</w:t>
      </w:r>
      <w:r>
        <w:rPr>
          <w:rFonts w:hint="eastAsia" w:eastAsia="仿宋_GB2312" w:cs="方正仿宋_GBK"/>
          <w:b w:val="0"/>
          <w:bCs w:val="0"/>
          <w:color w:val="auto"/>
          <w:sz w:val="32"/>
          <w:szCs w:val="32"/>
          <w:highlight w:val="none"/>
          <w:lang w:val="en-US" w:eastAsia="zh-CN"/>
        </w:rPr>
        <w:t>共同体</w:t>
      </w:r>
      <w:r>
        <w:rPr>
          <w:rFonts w:hint="eastAsia" w:ascii="Times New Roman" w:hAnsi="Times New Roman" w:eastAsia="仿宋_GB2312" w:cs="方正仿宋_GBK"/>
          <w:b w:val="0"/>
          <w:bCs w:val="0"/>
          <w:color w:val="auto"/>
          <w:sz w:val="32"/>
          <w:szCs w:val="32"/>
          <w:highlight w:val="none"/>
        </w:rPr>
        <w:t>建设。</w:t>
      </w:r>
    </w:p>
    <w:p w14:paraId="782C7145">
      <w:pPr>
        <w:keepNext w:val="0"/>
        <w:keepLines w:val="0"/>
        <w:pageBreakBefore w:val="0"/>
        <w:widowControl/>
        <w:numPr>
          <w:ilvl w:val="0"/>
          <w:numId w:val="3"/>
        </w:numPr>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72" w:name="_Toc13720"/>
      <w:bookmarkStart w:id="73" w:name="_Toc15005"/>
      <w:bookmarkStart w:id="74" w:name="_Toc24184"/>
      <w:bookmarkStart w:id="75" w:name="_Toc12832"/>
      <w:bookmarkStart w:id="76" w:name="_Toc361"/>
      <w:bookmarkStart w:id="77" w:name="_Toc30852"/>
      <w:bookmarkStart w:id="78" w:name="_Toc10540"/>
      <w:bookmarkStart w:id="79" w:name="_Toc30390"/>
      <w:bookmarkStart w:id="80" w:name="_Toc21558"/>
      <w:bookmarkStart w:id="81" w:name="_Toc24789"/>
      <w:bookmarkStart w:id="82" w:name="_Toc9904"/>
      <w:bookmarkStart w:id="83" w:name="_Toc19974"/>
      <w:bookmarkStart w:id="84" w:name="_Toc12287"/>
      <w:bookmarkStart w:id="85" w:name="_Toc7264"/>
      <w:bookmarkStart w:id="86" w:name="_Toc3819"/>
      <w:r>
        <w:rPr>
          <w:rFonts w:hint="eastAsia" w:ascii="楷体_GB2312" w:hAnsi="楷体_GB2312" w:eastAsia="楷体_GB2312" w:cs="楷体_GB2312"/>
          <w:b w:val="0"/>
          <w:bCs w:val="0"/>
          <w:color w:val="auto"/>
          <w:sz w:val="32"/>
          <w:szCs w:val="40"/>
          <w:highlight w:val="none"/>
          <w:lang w:val="en-US" w:eastAsia="zh-CN"/>
        </w:rPr>
        <w:t>构筑中华民族共有精神家园</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63C4229F">
      <w:pPr>
        <w:pStyle w:val="43"/>
        <w:keepNext w:val="0"/>
        <w:keepLines w:val="0"/>
        <w:pageBreakBefore w:val="0"/>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u w:val="none" w:color="auto"/>
          <w:lang w:val="en-US" w:eastAsia="zh-CN"/>
        </w:rPr>
        <w:t>深刻理解把握中华文明的突出特性，健全贯彻主线落实机制，深化铸牢中华民族共同体意识理论研究和宣传教育，</w:t>
      </w:r>
      <w:r>
        <w:rPr>
          <w:rFonts w:hint="eastAsia" w:ascii="Times New Roman" w:hAnsi="Times New Roman" w:eastAsia="仿宋_GB2312" w:cs="方正仿宋_GBK"/>
          <w:b w:val="0"/>
          <w:bCs w:val="0"/>
          <w:color w:val="auto"/>
          <w:sz w:val="32"/>
          <w:szCs w:val="32"/>
          <w:highlight w:val="none"/>
        </w:rPr>
        <w:t>把建设中华民族共有精神家园作为战略任务，引导全市各族人民牢固树立休戚与共、荣辱与共、生死与共、命运与共的共同体理念，不断增强对伟大祖国、中华民族、中华文化、中国共产党、中国特色社会主义的认同，为推进中华民族共同体建设提供强大精神文化支撑。</w:t>
      </w:r>
    </w:p>
    <w:p w14:paraId="3284ACDB">
      <w:pPr>
        <w:pStyle w:val="43"/>
        <w:keepNext w:val="0"/>
        <w:keepLines w:val="0"/>
        <w:pageBreakBefore w:val="0"/>
        <w:kinsoku/>
        <w:wordWrap/>
        <w:topLinePunct w:val="0"/>
        <w:autoSpaceDE/>
        <w:autoSpaceDN/>
        <w:bidi w:val="0"/>
        <w:adjustRightInd/>
        <w:spacing w:line="540" w:lineRule="exact"/>
        <w:textAlignment w:val="auto"/>
        <w:outlineLvl w:val="3"/>
        <w:rPr>
          <w:rFonts w:hint="eastAsia" w:ascii="Times New Roman" w:hAnsi="Times New Roman" w:eastAsia="仿宋_GB2312" w:cs="方正仿宋_GBK"/>
          <w:b w:val="0"/>
          <w:bCs w:val="0"/>
          <w:color w:val="auto"/>
          <w:sz w:val="32"/>
          <w:szCs w:val="32"/>
          <w:highlight w:val="none"/>
          <w:lang w:val="en-US" w:eastAsia="zh-CN"/>
        </w:rPr>
      </w:pPr>
      <w:bookmarkStart w:id="87" w:name="_Toc8714"/>
      <w:r>
        <w:rPr>
          <w:rFonts w:hint="eastAsia" w:ascii="Times New Roman" w:hAnsi="Times New Roman" w:eastAsia="仿宋_GB2312" w:cs="方正仿宋_GBK"/>
          <w:b w:val="0"/>
          <w:bCs w:val="0"/>
          <w:color w:val="auto"/>
          <w:sz w:val="32"/>
          <w:szCs w:val="32"/>
          <w:highlight w:val="none"/>
        </w:rPr>
        <w:t>健全贯彻主线要求机制</w:t>
      </w:r>
      <w:bookmarkEnd w:id="87"/>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强化各级党委</w:t>
      </w:r>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党组</w:t>
      </w:r>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和领导干部的主线意识，严格落实铸牢中华民族共同体意识工作责任制和工作协调机制。</w:t>
      </w:r>
      <w:r>
        <w:rPr>
          <w:rFonts w:hint="eastAsia" w:ascii="Times New Roman" w:hAnsi="Times New Roman" w:eastAsia="仿宋_GB2312" w:cs="方正仿宋_GBK"/>
          <w:b w:val="0"/>
          <w:bCs w:val="0"/>
          <w:color w:val="auto"/>
          <w:sz w:val="32"/>
          <w:szCs w:val="32"/>
          <w:highlight w:val="none"/>
          <w:lang w:val="en-US" w:eastAsia="zh-CN"/>
        </w:rPr>
        <w:t>完善贯彻主线要求审核评估备案机制，制定地方性法规、政府规章、发展规划以铸牢中华民族共同体意识为基本前提。健全各族群众共享资源开发、产业发展、项目建设等收益机制。将主线要求融入历史文化宣传、公共基础设施、城市标志性建筑、旅游景观陈列等各个方面，突出各民族共有共享的中华文化符号和中华民族形象。</w:t>
      </w:r>
    </w:p>
    <w:p w14:paraId="13919F0A">
      <w:pPr>
        <w:pStyle w:val="43"/>
        <w:keepNext w:val="0"/>
        <w:keepLines w:val="0"/>
        <w:pageBreakBefore w:val="0"/>
        <w:kinsoku/>
        <w:wordWrap/>
        <w:topLinePunct w:val="0"/>
        <w:autoSpaceDE/>
        <w:autoSpaceDN/>
        <w:bidi w:val="0"/>
        <w:adjustRightInd/>
        <w:spacing w:line="540" w:lineRule="exact"/>
        <w:textAlignment w:val="auto"/>
        <w:outlineLvl w:val="3"/>
        <w:rPr>
          <w:rFonts w:hint="eastAsia" w:ascii="Times New Roman" w:hAnsi="Times New Roman" w:eastAsia="仿宋_GB2312" w:cs="方正仿宋_GBK"/>
          <w:b w:val="0"/>
          <w:bCs w:val="0"/>
          <w:color w:val="auto"/>
          <w:sz w:val="32"/>
          <w:szCs w:val="32"/>
          <w:highlight w:val="none"/>
        </w:rPr>
      </w:pPr>
      <w:r>
        <w:rPr>
          <w:rFonts w:hint="eastAsia" w:eastAsia="仿宋_GB2312" w:cs="方正仿宋_GBK"/>
          <w:b w:val="0"/>
          <w:bCs w:val="0"/>
          <w:color w:val="auto"/>
          <w:sz w:val="32"/>
          <w:szCs w:val="32"/>
          <w:highlight w:val="none"/>
          <w:lang w:val="en-US" w:eastAsia="zh-CN"/>
        </w:rPr>
        <w:t>厚植中华民族共有文化根基。</w:t>
      </w:r>
      <w:r>
        <w:rPr>
          <w:rFonts w:hint="eastAsia" w:ascii="Times New Roman" w:hAnsi="Times New Roman" w:eastAsia="仿宋_GB2312" w:cs="方正仿宋_GBK"/>
          <w:b w:val="0"/>
          <w:bCs w:val="0"/>
          <w:color w:val="auto"/>
          <w:sz w:val="32"/>
          <w:szCs w:val="32"/>
          <w:highlight w:val="none"/>
          <w:lang w:val="en-US" w:eastAsia="zh-CN"/>
        </w:rPr>
        <w:t>以社会主义核心价值观为引领，加强铸牢中华民族共同体意识理论研究和宣传教育，引导各族干部群众牢固树立共同体理念。实施党员干部教育培训计划，</w:t>
      </w:r>
      <w:r>
        <w:rPr>
          <w:rFonts w:hint="eastAsia" w:ascii="Times New Roman" w:hAnsi="Times New Roman" w:eastAsia="仿宋_GB2312" w:cs="方正仿宋_GBK"/>
          <w:b w:val="0"/>
          <w:bCs w:val="0"/>
          <w:color w:val="auto"/>
          <w:sz w:val="32"/>
          <w:szCs w:val="32"/>
          <w:highlight w:val="none"/>
        </w:rPr>
        <w:t>深入开展“</w:t>
      </w:r>
      <w:r>
        <w:rPr>
          <w:rFonts w:hint="eastAsia" w:eastAsia="仿宋_GB2312" w:cs="方正仿宋_GBK"/>
          <w:b w:val="0"/>
          <w:bCs w:val="0"/>
          <w:color w:val="auto"/>
          <w:sz w:val="32"/>
          <w:szCs w:val="32"/>
          <w:highlight w:val="none"/>
          <w:lang w:eastAsia="zh-CN"/>
        </w:rPr>
        <w:t>感党恩、听党话、跟党走</w:t>
      </w:r>
      <w:r>
        <w:rPr>
          <w:rFonts w:hint="eastAsia" w:ascii="Times New Roman" w:hAnsi="Times New Roman" w:eastAsia="仿宋_GB2312" w:cs="方正仿宋_GBK"/>
          <w:b w:val="0"/>
          <w:bCs w:val="0"/>
          <w:color w:val="auto"/>
          <w:sz w:val="32"/>
          <w:szCs w:val="32"/>
          <w:highlight w:val="none"/>
        </w:rPr>
        <w:t>”群众教育，树牢正确</w:t>
      </w:r>
      <w:r>
        <w:rPr>
          <w:rFonts w:hint="eastAsia" w:eastAsia="仿宋_GB2312" w:cs="方正仿宋_GBK"/>
          <w:b w:val="0"/>
          <w:bCs w:val="0"/>
          <w:color w:val="auto"/>
          <w:sz w:val="32"/>
          <w:szCs w:val="32"/>
          <w:highlight w:val="none"/>
          <w:lang w:val="en-US" w:eastAsia="zh-CN"/>
        </w:rPr>
        <w:t>的</w:t>
      </w:r>
      <w:r>
        <w:rPr>
          <w:rFonts w:hint="eastAsia" w:ascii="Times New Roman" w:hAnsi="Times New Roman" w:eastAsia="仿宋_GB2312" w:cs="方正仿宋_GBK"/>
          <w:b w:val="0"/>
          <w:bCs w:val="0"/>
          <w:color w:val="auto"/>
          <w:sz w:val="32"/>
          <w:szCs w:val="32"/>
          <w:highlight w:val="none"/>
        </w:rPr>
        <w:t>中华民族历史观。深入挖掘</w:t>
      </w:r>
      <w:r>
        <w:rPr>
          <w:rFonts w:hint="eastAsia" w:ascii="Times New Roman" w:hAnsi="Times New Roman" w:eastAsia="仿宋_GB2312" w:cs="方正仿宋_GBK"/>
          <w:b w:val="0"/>
          <w:bCs w:val="0"/>
          <w:color w:val="auto"/>
          <w:sz w:val="32"/>
          <w:szCs w:val="32"/>
          <w:highlight w:val="none"/>
          <w:lang w:val="en-US" w:eastAsia="zh-CN"/>
        </w:rPr>
        <w:t>中华优秀传统文化</w:t>
      </w:r>
      <w:r>
        <w:rPr>
          <w:rFonts w:hint="eastAsia" w:ascii="Times New Roman" w:hAnsi="Times New Roman" w:eastAsia="仿宋_GB2312" w:cs="方正仿宋_GBK"/>
          <w:b w:val="0"/>
          <w:bCs w:val="0"/>
          <w:color w:val="auto"/>
          <w:sz w:val="32"/>
          <w:szCs w:val="32"/>
          <w:highlight w:val="none"/>
        </w:rPr>
        <w:t>中的民族团结进步思想内涵和守望相助理念，精心打造一批具有中华文化底蕴、充分汲取各民族文化营养、</w:t>
      </w:r>
      <w:r>
        <w:rPr>
          <w:rFonts w:hint="eastAsia" w:ascii="仿宋_GB2312" w:hAnsi="黑体" w:eastAsia="仿宋_GB2312" w:cs="Times New Roman"/>
          <w:b w:val="0"/>
          <w:bCs w:val="0"/>
          <w:color w:val="auto"/>
          <w:sz w:val="32"/>
          <w:szCs w:val="32"/>
          <w:highlight w:val="none"/>
          <w:u w:val="none" w:color="auto"/>
          <w:lang w:val="en-US" w:eastAsia="zh-CN"/>
        </w:rPr>
        <w:t>彰显中华民族共同体意识、体现赤峰特色的文化精品力作</w:t>
      </w:r>
      <w:r>
        <w:rPr>
          <w:rFonts w:hint="eastAsia" w:ascii="Times New Roman" w:hAnsi="Times New Roman" w:eastAsia="仿宋_GB2312" w:cs="方正仿宋_GBK"/>
          <w:b w:val="0"/>
          <w:bCs w:val="0"/>
          <w:color w:val="auto"/>
          <w:sz w:val="32"/>
          <w:szCs w:val="32"/>
          <w:highlight w:val="none"/>
        </w:rPr>
        <w:t>，推动各民族优秀传统文化创造性转化、创新性发展</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实现个人、社会、民族、国家价值观的内在统一。</w:t>
      </w:r>
    </w:p>
    <w:p w14:paraId="630B7FD4">
      <w:pPr>
        <w:pStyle w:val="43"/>
        <w:keepNext w:val="0"/>
        <w:keepLines w:val="0"/>
        <w:pageBreakBefore w:val="0"/>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spacing w:val="-6"/>
          <w:sz w:val="32"/>
          <w:szCs w:val="32"/>
          <w:highlight w:val="none"/>
        </w:rPr>
      </w:pPr>
      <w:bookmarkStart w:id="88" w:name="_Toc12516"/>
      <w:r>
        <w:rPr>
          <w:rFonts w:hint="eastAsia" w:ascii="Times New Roman" w:hAnsi="Times New Roman" w:eastAsia="仿宋_GB2312" w:cs="方正仿宋_GBK"/>
          <w:b w:val="0"/>
          <w:bCs w:val="0"/>
          <w:color w:val="auto"/>
          <w:sz w:val="32"/>
          <w:szCs w:val="32"/>
          <w:highlight w:val="none"/>
        </w:rPr>
        <w:t>健全完善宣传教育常态化机制</w:t>
      </w:r>
      <w:bookmarkEnd w:id="88"/>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推进铸牢中华民族共同体意识宣传教育常</w:t>
      </w:r>
      <w:r>
        <w:rPr>
          <w:rFonts w:hint="eastAsia" w:eastAsia="仿宋_GB2312" w:cs="方正仿宋_GBK"/>
          <w:b w:val="0"/>
          <w:bCs w:val="0"/>
          <w:color w:val="auto"/>
          <w:sz w:val="32"/>
          <w:szCs w:val="32"/>
          <w:highlight w:val="none"/>
          <w:lang w:eastAsia="zh-CN"/>
        </w:rPr>
        <w:t>态化、</w:t>
      </w:r>
      <w:r>
        <w:rPr>
          <w:rFonts w:hint="eastAsia" w:ascii="Times New Roman" w:hAnsi="Times New Roman" w:eastAsia="仿宋_GB2312" w:cs="方正仿宋_GBK"/>
          <w:b w:val="0"/>
          <w:bCs w:val="0"/>
          <w:color w:val="auto"/>
          <w:sz w:val="32"/>
          <w:szCs w:val="32"/>
          <w:highlight w:val="none"/>
        </w:rPr>
        <w:t>长效化，把铸牢中华民族共同体意识教育纳入党员教育、干部教育、国民教</w:t>
      </w:r>
      <w:r>
        <w:rPr>
          <w:rFonts w:hint="eastAsia" w:ascii="Times New Roman" w:hAnsi="Times New Roman" w:eastAsia="仿宋_GB2312" w:cs="方正仿宋_GBK"/>
          <w:b w:val="0"/>
          <w:bCs w:val="0"/>
          <w:color w:val="auto"/>
          <w:spacing w:val="-6"/>
          <w:sz w:val="32"/>
          <w:szCs w:val="32"/>
          <w:highlight w:val="none"/>
        </w:rPr>
        <w:t>育、社会</w:t>
      </w:r>
      <w:r>
        <w:rPr>
          <w:rFonts w:hint="eastAsia" w:ascii="Times New Roman" w:hAnsi="Times New Roman" w:eastAsia="仿宋_GB2312" w:cs="方正仿宋_GBK"/>
          <w:b w:val="0"/>
          <w:bCs w:val="0"/>
          <w:color w:val="auto"/>
          <w:spacing w:val="-6"/>
          <w:sz w:val="32"/>
          <w:szCs w:val="32"/>
          <w:highlight w:val="none"/>
          <w:lang w:val="en-US" w:eastAsia="zh-CN"/>
        </w:rPr>
        <w:t>宣传</w:t>
      </w:r>
      <w:r>
        <w:rPr>
          <w:rFonts w:hint="eastAsia" w:ascii="Times New Roman" w:hAnsi="Times New Roman" w:eastAsia="仿宋_GB2312" w:cs="方正仿宋_GBK"/>
          <w:b w:val="0"/>
          <w:bCs w:val="0"/>
          <w:color w:val="auto"/>
          <w:spacing w:val="-6"/>
          <w:sz w:val="32"/>
          <w:szCs w:val="32"/>
          <w:highlight w:val="none"/>
        </w:rPr>
        <w:t>教育全过程，贯穿于学校、单位、家庭、社会各方</w:t>
      </w:r>
      <w:r>
        <w:rPr>
          <w:rFonts w:hint="eastAsia" w:ascii="Times New Roman" w:hAnsi="Times New Roman" w:eastAsia="仿宋_GB2312" w:cs="方正仿宋_GBK"/>
          <w:b w:val="0"/>
          <w:bCs w:val="0"/>
          <w:color w:val="auto"/>
          <w:sz w:val="32"/>
          <w:szCs w:val="32"/>
          <w:highlight w:val="none"/>
        </w:rPr>
        <w:t>面，</w:t>
      </w:r>
      <w:r>
        <w:rPr>
          <w:rFonts w:hint="eastAsia" w:ascii="Times New Roman" w:hAnsi="Times New Roman" w:eastAsia="仿宋_GB2312" w:cs="方正仿宋_GBK"/>
          <w:b w:val="0"/>
          <w:bCs w:val="0"/>
          <w:color w:val="auto"/>
          <w:spacing w:val="-6"/>
          <w:sz w:val="32"/>
          <w:szCs w:val="32"/>
          <w:highlight w:val="none"/>
        </w:rPr>
        <w:t>有计划、分批次、持续性开展铸牢中华民族共同体意识</w:t>
      </w:r>
      <w:r>
        <w:rPr>
          <w:rFonts w:hint="eastAsia" w:ascii="Times New Roman" w:hAnsi="Times New Roman" w:eastAsia="仿宋_GB2312" w:cs="方正仿宋_GBK"/>
          <w:b w:val="0"/>
          <w:bCs w:val="0"/>
          <w:color w:val="auto"/>
          <w:spacing w:val="-6"/>
          <w:sz w:val="32"/>
          <w:szCs w:val="32"/>
          <w:highlight w:val="none"/>
          <w:lang w:val="en-US" w:eastAsia="zh-CN"/>
        </w:rPr>
        <w:t>宣传</w:t>
      </w:r>
      <w:r>
        <w:rPr>
          <w:rFonts w:hint="eastAsia" w:ascii="Times New Roman" w:hAnsi="Times New Roman" w:eastAsia="仿宋_GB2312" w:cs="方正仿宋_GBK"/>
          <w:b w:val="0"/>
          <w:bCs w:val="0"/>
          <w:color w:val="auto"/>
          <w:spacing w:val="-6"/>
          <w:sz w:val="32"/>
          <w:szCs w:val="32"/>
          <w:highlight w:val="none"/>
        </w:rPr>
        <w:t>教育活动</w:t>
      </w:r>
      <w:r>
        <w:rPr>
          <w:rFonts w:hint="eastAsia" w:eastAsia="仿宋_GB2312" w:cs="方正仿宋_GBK"/>
          <w:b w:val="0"/>
          <w:bCs w:val="0"/>
          <w:color w:val="auto"/>
          <w:spacing w:val="-6"/>
          <w:sz w:val="32"/>
          <w:szCs w:val="32"/>
          <w:highlight w:val="none"/>
          <w:lang w:eastAsia="zh-CN"/>
        </w:rPr>
        <w:t>。</w:t>
      </w:r>
      <w:r>
        <w:rPr>
          <w:rFonts w:hint="eastAsia" w:ascii="Times New Roman" w:hAnsi="Times New Roman" w:eastAsia="仿宋_GB2312" w:cs="方正仿宋_GBK"/>
          <w:b w:val="0"/>
          <w:bCs w:val="0"/>
          <w:color w:val="auto"/>
          <w:spacing w:val="-6"/>
          <w:sz w:val="32"/>
          <w:szCs w:val="32"/>
          <w:highlight w:val="none"/>
        </w:rPr>
        <w:t>充分发挥各级党校（行政学院）、</w:t>
      </w:r>
      <w:r>
        <w:rPr>
          <w:rFonts w:hint="eastAsia" w:ascii="Times New Roman" w:hAnsi="Times New Roman" w:eastAsia="仿宋_GB2312" w:cs="方正仿宋_GBK"/>
          <w:b w:val="0"/>
          <w:bCs w:val="0"/>
          <w:color w:val="auto"/>
          <w:spacing w:val="-6"/>
          <w:sz w:val="32"/>
          <w:szCs w:val="32"/>
          <w:highlight w:val="none"/>
          <w:lang w:val="en-US" w:eastAsia="zh-CN"/>
        </w:rPr>
        <w:t>敖汉干部学院</w:t>
      </w:r>
      <w:r>
        <w:rPr>
          <w:rFonts w:hint="eastAsia" w:eastAsia="仿宋_GB2312" w:cs="方正仿宋_GBK"/>
          <w:b w:val="0"/>
          <w:bCs w:val="0"/>
          <w:color w:val="auto"/>
          <w:spacing w:val="-6"/>
          <w:sz w:val="32"/>
          <w:szCs w:val="32"/>
          <w:highlight w:val="none"/>
          <w:lang w:val="en-US" w:eastAsia="zh-CN"/>
        </w:rPr>
        <w:t>、</w:t>
      </w:r>
      <w:r>
        <w:rPr>
          <w:rFonts w:hint="eastAsia" w:ascii="Times New Roman" w:hAnsi="Times New Roman" w:eastAsia="仿宋_GB2312" w:cs="方正仿宋_GBK"/>
          <w:b w:val="0"/>
          <w:bCs w:val="0"/>
          <w:color w:val="auto"/>
          <w:spacing w:val="-6"/>
          <w:sz w:val="32"/>
          <w:szCs w:val="32"/>
          <w:highlight w:val="none"/>
        </w:rPr>
        <w:t>社会主</w:t>
      </w:r>
      <w:r>
        <w:rPr>
          <w:rFonts w:hint="eastAsia" w:ascii="Times New Roman" w:hAnsi="Times New Roman" w:eastAsia="仿宋_GB2312" w:cs="方正仿宋_GBK"/>
          <w:b w:val="0"/>
          <w:bCs w:val="0"/>
          <w:color w:val="auto"/>
          <w:sz w:val="32"/>
          <w:szCs w:val="32"/>
          <w:highlight w:val="none"/>
        </w:rPr>
        <w:t>义学院</w:t>
      </w:r>
      <w:r>
        <w:rPr>
          <w:rFonts w:hint="eastAsia" w:eastAsia="仿宋_GB2312" w:cs="方正仿宋_GBK"/>
          <w:b w:val="0"/>
          <w:bCs w:val="0"/>
          <w:color w:val="auto"/>
          <w:sz w:val="32"/>
          <w:szCs w:val="32"/>
          <w:highlight w:val="none"/>
          <w:lang w:val="en-US" w:eastAsia="zh-CN"/>
        </w:rPr>
        <w:t>等</w:t>
      </w:r>
      <w:r>
        <w:rPr>
          <w:rFonts w:hint="eastAsia" w:ascii="Times New Roman" w:hAnsi="Times New Roman" w:eastAsia="仿宋_GB2312" w:cs="方正仿宋_GBK"/>
          <w:b w:val="0"/>
          <w:bCs w:val="0"/>
          <w:color w:val="auto"/>
          <w:sz w:val="32"/>
          <w:szCs w:val="32"/>
          <w:highlight w:val="none"/>
        </w:rPr>
        <w:t>重要阵地作用，着力提升教育实效。推动政策语言、</w:t>
      </w:r>
      <w:r>
        <w:rPr>
          <w:rFonts w:hint="eastAsia" w:ascii="Times New Roman" w:hAnsi="Times New Roman" w:eastAsia="仿宋_GB2312" w:cs="方正仿宋_GBK"/>
          <w:b w:val="0"/>
          <w:bCs w:val="0"/>
          <w:color w:val="auto"/>
          <w:spacing w:val="-6"/>
          <w:sz w:val="32"/>
          <w:szCs w:val="32"/>
          <w:highlight w:val="none"/>
        </w:rPr>
        <w:t>学术语言转化为群众语言、外宣语言，</w:t>
      </w:r>
      <w:r>
        <w:rPr>
          <w:rFonts w:hint="eastAsia" w:eastAsia="仿宋_GB2312" w:cs="方正仿宋_GBK"/>
          <w:b w:val="0"/>
          <w:bCs w:val="0"/>
          <w:color w:val="auto"/>
          <w:spacing w:val="-6"/>
          <w:sz w:val="32"/>
          <w:szCs w:val="32"/>
          <w:highlight w:val="none"/>
          <w:lang w:val="en-US" w:eastAsia="zh-CN"/>
        </w:rPr>
        <w:t>做好铸牢中华民族共同体意识宣传教育基地展陈更新工作，</w:t>
      </w:r>
      <w:r>
        <w:rPr>
          <w:rFonts w:hint="eastAsia" w:ascii="Times New Roman" w:hAnsi="Times New Roman" w:eastAsia="仿宋_GB2312" w:cs="方正仿宋_GBK"/>
          <w:b w:val="0"/>
          <w:bCs w:val="0"/>
          <w:color w:val="auto"/>
          <w:spacing w:val="-6"/>
          <w:sz w:val="32"/>
          <w:szCs w:val="32"/>
          <w:highlight w:val="none"/>
        </w:rPr>
        <w:t>优化铸牢中华民族共同体意识文物古籍展展陈。加大“请进来”和“走出去”力度，针对专家学者、媒体记者、文化人士</w:t>
      </w:r>
      <w:r>
        <w:rPr>
          <w:rFonts w:hint="eastAsia" w:eastAsia="仿宋_GB2312" w:cs="方正仿宋_GBK"/>
          <w:b w:val="0"/>
          <w:bCs w:val="0"/>
          <w:color w:val="auto"/>
          <w:spacing w:val="-6"/>
          <w:sz w:val="32"/>
          <w:szCs w:val="32"/>
          <w:highlight w:val="none"/>
          <w:lang w:val="en-US" w:eastAsia="zh-CN"/>
        </w:rPr>
        <w:t>等</w:t>
      </w:r>
      <w:r>
        <w:rPr>
          <w:rFonts w:hint="eastAsia" w:ascii="Times New Roman" w:hAnsi="Times New Roman" w:eastAsia="仿宋_GB2312" w:cs="方正仿宋_GBK"/>
          <w:b w:val="0"/>
          <w:bCs w:val="0"/>
          <w:color w:val="auto"/>
          <w:spacing w:val="-6"/>
          <w:sz w:val="32"/>
          <w:szCs w:val="32"/>
          <w:highlight w:val="none"/>
        </w:rPr>
        <w:t>开展</w:t>
      </w:r>
      <w:r>
        <w:rPr>
          <w:rFonts w:hint="eastAsia" w:eastAsia="仿宋_GB2312" w:cs="方正仿宋_GBK"/>
          <w:b w:val="0"/>
          <w:bCs w:val="0"/>
          <w:color w:val="auto"/>
          <w:spacing w:val="-6"/>
          <w:sz w:val="32"/>
          <w:szCs w:val="32"/>
          <w:highlight w:val="none"/>
          <w:lang w:eastAsia="zh-CN"/>
        </w:rPr>
        <w:t>多种</w:t>
      </w:r>
      <w:r>
        <w:rPr>
          <w:rFonts w:hint="eastAsia" w:ascii="Times New Roman" w:hAnsi="Times New Roman" w:eastAsia="仿宋_GB2312" w:cs="方正仿宋_GBK"/>
          <w:b w:val="0"/>
          <w:bCs w:val="0"/>
          <w:color w:val="auto"/>
          <w:spacing w:val="-6"/>
          <w:sz w:val="32"/>
          <w:szCs w:val="32"/>
          <w:highlight w:val="none"/>
        </w:rPr>
        <w:t>形式的交往交流，积极构建上下联动、左右互动、整体推动的铸牢中华民族共同体意识宣传教育工作新格局。</w:t>
      </w:r>
    </w:p>
    <w:p w14:paraId="506AFBBE">
      <w:pPr>
        <w:keepNext w:val="0"/>
        <w:keepLines w:val="0"/>
        <w:pageBreakBefore w:val="0"/>
        <w:widowControl/>
        <w:numPr>
          <w:ilvl w:val="0"/>
          <w:numId w:val="3"/>
        </w:numPr>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89" w:name="_Toc4809"/>
      <w:bookmarkStart w:id="90" w:name="_Toc9247"/>
      <w:bookmarkStart w:id="91" w:name="_Toc20696"/>
      <w:bookmarkStart w:id="92" w:name="_Toc13426"/>
      <w:bookmarkStart w:id="93" w:name="_Toc26617"/>
      <w:bookmarkStart w:id="94" w:name="_Toc26041"/>
      <w:bookmarkStart w:id="95" w:name="_Toc29921"/>
      <w:bookmarkStart w:id="96" w:name="_Toc850"/>
      <w:bookmarkStart w:id="97" w:name="_Toc9735"/>
      <w:bookmarkStart w:id="98" w:name="_Toc5908"/>
      <w:bookmarkStart w:id="99" w:name="_Toc25607"/>
      <w:bookmarkStart w:id="100" w:name="_Toc14681"/>
      <w:bookmarkStart w:id="101" w:name="_Toc25957"/>
      <w:bookmarkStart w:id="102" w:name="_Toc10215"/>
      <w:bookmarkStart w:id="103" w:name="_Toc32414"/>
      <w:r>
        <w:rPr>
          <w:rFonts w:hint="eastAsia" w:ascii="楷体_GB2312" w:hAnsi="楷体_GB2312" w:eastAsia="楷体_GB2312" w:cs="楷体_GB2312"/>
          <w:b w:val="0"/>
          <w:bCs w:val="0"/>
          <w:color w:val="auto"/>
          <w:sz w:val="32"/>
          <w:szCs w:val="40"/>
          <w:highlight w:val="none"/>
          <w:lang w:val="en-US" w:eastAsia="zh-CN"/>
        </w:rPr>
        <w:t>促进各民族交往交流交融</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14:paraId="0047772E">
      <w:pPr>
        <w:pStyle w:val="43"/>
        <w:keepNext w:val="0"/>
        <w:keepLines w:val="0"/>
        <w:pageBreakBefore w:val="0"/>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sz w:val="32"/>
          <w:szCs w:val="32"/>
          <w:highlight w:val="none"/>
        </w:rPr>
      </w:pPr>
      <w:r>
        <w:rPr>
          <w:rFonts w:hint="eastAsia" w:ascii="Times New Roman" w:hAnsi="Times New Roman" w:eastAsia="仿宋_GB2312" w:cs="方正仿宋_GBK"/>
          <w:b w:val="0"/>
          <w:bCs w:val="0"/>
          <w:color w:val="auto"/>
          <w:sz w:val="32"/>
          <w:szCs w:val="32"/>
          <w:highlight w:val="none"/>
        </w:rPr>
        <w:t>深化民族团结进步创建，推动各民族全方位嵌入，</w:t>
      </w:r>
      <w:r>
        <w:rPr>
          <w:rFonts w:hint="eastAsia" w:ascii="Times New Roman" w:hAnsi="Times New Roman" w:eastAsia="仿宋_GB2312" w:cs="方正仿宋_GBK"/>
          <w:b w:val="0"/>
          <w:bCs w:val="0"/>
          <w:color w:val="auto"/>
          <w:sz w:val="32"/>
          <w:szCs w:val="32"/>
          <w:highlight w:val="none"/>
          <w:lang w:val="en-US" w:eastAsia="zh-CN"/>
        </w:rPr>
        <w:t>努力</w:t>
      </w:r>
      <w:r>
        <w:rPr>
          <w:rFonts w:hint="eastAsia" w:ascii="Times New Roman" w:hAnsi="Times New Roman" w:eastAsia="仿宋_GB2312" w:cs="方正仿宋_GBK"/>
          <w:b w:val="0"/>
          <w:bCs w:val="0"/>
          <w:color w:val="auto"/>
          <w:sz w:val="32"/>
          <w:szCs w:val="32"/>
          <w:highlight w:val="none"/>
        </w:rPr>
        <w:t>创造各族群众共居、共学、共事、共乐的社会条件，促进各民族广泛交往、全面交流、深度交融，巩固和发展好</w:t>
      </w:r>
      <w:r>
        <w:rPr>
          <w:rFonts w:hint="eastAsia" w:eastAsia="仿宋_GB2312" w:cs="方正仿宋_GBK"/>
          <w:b w:val="0"/>
          <w:bCs w:val="0"/>
          <w:color w:val="auto"/>
          <w:sz w:val="32"/>
          <w:szCs w:val="32"/>
          <w:highlight w:val="none"/>
          <w:lang w:val="en-US" w:eastAsia="zh-CN"/>
        </w:rPr>
        <w:t>全市</w:t>
      </w:r>
      <w:r>
        <w:rPr>
          <w:rFonts w:hint="eastAsia" w:ascii="Times New Roman" w:hAnsi="Times New Roman" w:eastAsia="仿宋_GB2312" w:cs="方正仿宋_GBK"/>
          <w:b w:val="0"/>
          <w:bCs w:val="0"/>
          <w:color w:val="auto"/>
          <w:sz w:val="32"/>
          <w:szCs w:val="32"/>
          <w:highlight w:val="none"/>
        </w:rPr>
        <w:t>民族团结大局。</w:t>
      </w:r>
    </w:p>
    <w:p w14:paraId="7526EF3A">
      <w:pPr>
        <w:pStyle w:val="43"/>
        <w:keepNext w:val="0"/>
        <w:keepLines w:val="0"/>
        <w:pageBreakBefore w:val="0"/>
        <w:shd w:val="clear"/>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sz w:val="32"/>
          <w:szCs w:val="32"/>
          <w:highlight w:val="none"/>
          <w:lang w:eastAsia="zh-CN"/>
        </w:rPr>
      </w:pPr>
      <w:bookmarkStart w:id="104" w:name="_Toc17251"/>
      <w:r>
        <w:rPr>
          <w:rFonts w:hint="eastAsia" w:eastAsia="仿宋_GB2312" w:cs="方正仿宋_GBK"/>
          <w:b w:val="0"/>
          <w:bCs w:val="0"/>
          <w:color w:val="auto"/>
          <w:sz w:val="32"/>
          <w:szCs w:val="32"/>
          <w:highlight w:val="none"/>
          <w:lang w:val="en-US" w:eastAsia="zh-CN"/>
        </w:rPr>
        <w:t>持续深化开展</w:t>
      </w:r>
      <w:r>
        <w:rPr>
          <w:rFonts w:hint="eastAsia" w:ascii="Times New Roman" w:hAnsi="Times New Roman" w:eastAsia="仿宋_GB2312" w:cs="方正仿宋_GBK"/>
          <w:b w:val="0"/>
          <w:bCs w:val="0"/>
          <w:color w:val="auto"/>
          <w:sz w:val="32"/>
          <w:szCs w:val="32"/>
          <w:highlight w:val="none"/>
        </w:rPr>
        <w:t>民族团结进步创建</w:t>
      </w:r>
      <w:bookmarkEnd w:id="104"/>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深入开展民族团结进步创建</w:t>
      </w:r>
      <w:r>
        <w:rPr>
          <w:rFonts w:hint="eastAsia" w:eastAsia="仿宋_GB2312" w:cs="方正仿宋_GBK"/>
          <w:b w:val="0"/>
          <w:bCs w:val="0"/>
          <w:color w:val="auto"/>
          <w:sz w:val="32"/>
          <w:szCs w:val="32"/>
          <w:highlight w:val="none"/>
          <w:lang w:val="en-US" w:eastAsia="zh-CN"/>
        </w:rPr>
        <w:t>工作</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鼓励支持各地区各部门各单位创建全国民族团结进步示范区（单位）</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树立抓基层、强基础的导向，坚持以基层为重点，推进各级示范嘎查村、示范苏木乡镇、示范旗县（区）创建，选树一批可复制的区域类、行业类示范典型，形成各具特色的创建工作群体。</w:t>
      </w:r>
      <w:r>
        <w:rPr>
          <w:rFonts w:hint="eastAsia" w:ascii="Times New Roman" w:hAnsi="Times New Roman" w:eastAsia="仿宋_GB2312" w:cs="方正仿宋_GBK"/>
          <w:b w:val="0"/>
          <w:bCs w:val="0"/>
          <w:color w:val="auto"/>
          <w:sz w:val="32"/>
          <w:szCs w:val="32"/>
          <w:highlight w:val="none"/>
          <w:lang w:eastAsia="zh-CN"/>
        </w:rPr>
        <w:t>进一步深化内涵、丰富形式、创新方法，拓展民族团结进步宣传教育网络空间，讲好新时代内蒙古民族团结进步故事。推动民族团结进步创建工作进机关、进企业、进社区、进苏木乡镇、进学校、进连队、进宗教活动场所、进网络，覆盖各行业各领域，在全社会营造关心支持民族工作的良好氛围。</w:t>
      </w:r>
    </w:p>
    <w:p w14:paraId="199137B9">
      <w:pPr>
        <w:pStyle w:val="43"/>
        <w:keepNext w:val="0"/>
        <w:keepLines w:val="0"/>
        <w:pageBreakBefore w:val="0"/>
        <w:kinsoku/>
        <w:wordWrap/>
        <w:topLinePunct w:val="0"/>
        <w:autoSpaceDE/>
        <w:autoSpaceDN/>
        <w:bidi w:val="0"/>
        <w:adjustRightInd/>
        <w:spacing w:line="540" w:lineRule="exact"/>
        <w:textAlignment w:val="auto"/>
        <w:outlineLvl w:val="3"/>
        <w:rPr>
          <w:rFonts w:hint="eastAsia" w:ascii="Times New Roman" w:hAnsi="Times New Roman" w:eastAsia="仿宋_GB2312" w:cs="方正仿宋_GBK"/>
          <w:b w:val="0"/>
          <w:bCs w:val="0"/>
          <w:color w:val="auto"/>
          <w:sz w:val="32"/>
          <w:szCs w:val="32"/>
          <w:highlight w:val="none"/>
        </w:rPr>
      </w:pPr>
      <w:bookmarkStart w:id="105" w:name="_Toc6063"/>
      <w:r>
        <w:rPr>
          <w:rFonts w:hint="eastAsia" w:ascii="Times New Roman" w:hAnsi="Times New Roman" w:eastAsia="仿宋_GB2312" w:cs="方正仿宋_GBK"/>
          <w:b w:val="0"/>
          <w:bCs w:val="0"/>
          <w:color w:val="auto"/>
          <w:sz w:val="32"/>
          <w:szCs w:val="32"/>
          <w:highlight w:val="none"/>
          <w:lang w:eastAsia="zh-CN"/>
        </w:rPr>
        <w:t>积极搭建促进各民族交往交流交融平台</w:t>
      </w:r>
      <w:bookmarkEnd w:id="105"/>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以“互嵌”为导向，</w:t>
      </w:r>
      <w:r>
        <w:rPr>
          <w:rFonts w:hint="eastAsia" w:ascii="Times New Roman" w:hAnsi="Times New Roman" w:eastAsia="仿宋_GB2312" w:cs="方正仿宋_GBK"/>
          <w:b w:val="0"/>
          <w:bCs w:val="0"/>
          <w:color w:val="auto"/>
          <w:sz w:val="32"/>
          <w:szCs w:val="32"/>
          <w:highlight w:val="none"/>
          <w:lang w:eastAsia="zh-CN"/>
        </w:rPr>
        <w:t>统筹城乡规划建设布局和公共服务配置，加快构建互嵌式社会结构和社区环境，营造各族群众共居共学、共建共享、共事共乐的社会条件。创新城市民族工作，</w:t>
      </w:r>
      <w:r>
        <w:rPr>
          <w:rFonts w:hint="eastAsia" w:ascii="Times New Roman" w:hAnsi="Times New Roman" w:eastAsia="仿宋_GB2312" w:cs="方正仿宋_GBK"/>
          <w:b w:val="0"/>
          <w:bCs w:val="0"/>
          <w:color w:val="auto"/>
          <w:sz w:val="32"/>
          <w:szCs w:val="32"/>
          <w:highlight w:val="none"/>
        </w:rPr>
        <w:t>全面推广“城市民族工作综合服务体”工作模式，</w:t>
      </w:r>
      <w:r>
        <w:rPr>
          <w:rFonts w:hint="eastAsia" w:ascii="Times New Roman" w:hAnsi="Times New Roman" w:eastAsia="仿宋_GB2312" w:cs="方正仿宋_GBK"/>
          <w:b w:val="0"/>
          <w:bCs w:val="0"/>
          <w:color w:val="auto"/>
          <w:sz w:val="32"/>
          <w:szCs w:val="32"/>
          <w:highlight w:val="none"/>
          <w:lang w:eastAsia="zh-CN"/>
        </w:rPr>
        <w:t>支持各族群众联合创业、扶弱帮困，有序推动</w:t>
      </w:r>
      <w:r>
        <w:rPr>
          <w:rFonts w:hint="eastAsia" w:eastAsia="仿宋_GB2312" w:cs="方正仿宋_GBK"/>
          <w:b w:val="0"/>
          <w:bCs w:val="0"/>
          <w:color w:val="auto"/>
          <w:sz w:val="32"/>
          <w:szCs w:val="32"/>
          <w:highlight w:val="none"/>
          <w:lang w:val="en-US" w:eastAsia="zh-CN"/>
        </w:rPr>
        <w:t>各族群众</w:t>
      </w:r>
      <w:r>
        <w:rPr>
          <w:rFonts w:hint="eastAsia" w:ascii="Times New Roman" w:hAnsi="Times New Roman" w:eastAsia="仿宋_GB2312" w:cs="方正仿宋_GBK"/>
          <w:b w:val="0"/>
          <w:bCs w:val="0"/>
          <w:color w:val="auto"/>
          <w:sz w:val="32"/>
          <w:szCs w:val="32"/>
          <w:highlight w:val="none"/>
          <w:lang w:eastAsia="zh-CN"/>
        </w:rPr>
        <w:t>跨区域</w:t>
      </w:r>
      <w:r>
        <w:rPr>
          <w:rFonts w:hint="eastAsia" w:eastAsia="仿宋_GB2312" w:cs="方正仿宋_GBK"/>
          <w:b w:val="0"/>
          <w:bCs w:val="0"/>
          <w:color w:val="auto"/>
          <w:sz w:val="32"/>
          <w:szCs w:val="32"/>
          <w:highlight w:val="none"/>
          <w:lang w:val="en-US" w:eastAsia="zh-CN"/>
        </w:rPr>
        <w:t>流动融居</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加强</w:t>
      </w:r>
      <w:r>
        <w:rPr>
          <w:rFonts w:hint="eastAsia" w:eastAsia="仿宋_GB2312" w:cs="方正仿宋_GBK"/>
          <w:b w:val="0"/>
          <w:bCs w:val="0"/>
          <w:color w:val="auto"/>
          <w:sz w:val="32"/>
          <w:szCs w:val="32"/>
          <w:highlight w:val="none"/>
          <w:lang w:val="en-US" w:eastAsia="zh-CN"/>
        </w:rPr>
        <w:t>少数</w:t>
      </w:r>
      <w:r>
        <w:rPr>
          <w:rFonts w:hint="eastAsia" w:ascii="Times New Roman" w:hAnsi="Times New Roman" w:eastAsia="仿宋_GB2312" w:cs="方正仿宋_GBK"/>
          <w:b w:val="0"/>
          <w:bCs w:val="0"/>
          <w:color w:val="auto"/>
          <w:sz w:val="32"/>
          <w:szCs w:val="32"/>
          <w:highlight w:val="none"/>
        </w:rPr>
        <w:t>民族流动人口服务管理工作，</w:t>
      </w:r>
      <w:r>
        <w:rPr>
          <w:rFonts w:hint="eastAsia" w:ascii="Times New Roman" w:hAnsi="Times New Roman" w:eastAsia="仿宋_GB2312" w:cs="方正仿宋_GBK"/>
          <w:b w:val="0"/>
          <w:bCs w:val="0"/>
          <w:color w:val="auto"/>
          <w:sz w:val="32"/>
          <w:szCs w:val="32"/>
          <w:highlight w:val="none"/>
          <w:lang w:eastAsia="zh-CN"/>
        </w:rPr>
        <w:t>逐步实现在空间、文化、经济、社会、心理等全</w:t>
      </w:r>
      <w:r>
        <w:rPr>
          <w:rFonts w:hint="eastAsia" w:eastAsia="仿宋_GB2312" w:cs="方正仿宋_GBK"/>
          <w:b w:val="0"/>
          <w:bCs w:val="0"/>
          <w:color w:val="auto"/>
          <w:sz w:val="32"/>
          <w:szCs w:val="32"/>
          <w:highlight w:val="none"/>
          <w:lang w:val="en-US" w:eastAsia="zh-CN"/>
        </w:rPr>
        <w:t>方位</w:t>
      </w:r>
      <w:r>
        <w:rPr>
          <w:rFonts w:hint="eastAsia" w:ascii="Times New Roman" w:hAnsi="Times New Roman" w:eastAsia="仿宋_GB2312" w:cs="方正仿宋_GBK"/>
          <w:b w:val="0"/>
          <w:bCs w:val="0"/>
          <w:color w:val="auto"/>
          <w:sz w:val="32"/>
          <w:szCs w:val="32"/>
          <w:highlight w:val="none"/>
          <w:lang w:eastAsia="zh-CN"/>
        </w:rPr>
        <w:t>嵌入。</w:t>
      </w:r>
      <w:r>
        <w:rPr>
          <w:rFonts w:hint="eastAsia" w:ascii="Times New Roman" w:hAnsi="Times New Roman" w:eastAsia="仿宋_GB2312" w:cs="方正仿宋_GBK"/>
          <w:b w:val="0"/>
          <w:bCs w:val="0"/>
          <w:color w:val="auto"/>
          <w:sz w:val="32"/>
          <w:szCs w:val="32"/>
          <w:highlight w:val="none"/>
        </w:rPr>
        <w:t>丰富和拓展“各族青少年交流计划”</w:t>
      </w:r>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“各族群众互嵌式发展计划”</w:t>
      </w:r>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“旅游促进各民族交往交流交融计划</w:t>
      </w:r>
      <w:r>
        <w:rPr>
          <w:rFonts w:hint="eastAsia" w:eastAsia="仿宋_GB2312" w:cs="方正仿宋_GBK"/>
          <w:b w:val="0"/>
          <w:bCs w:val="0"/>
          <w:color w:val="auto"/>
          <w:sz w:val="32"/>
          <w:szCs w:val="32"/>
          <w:highlight w:val="none"/>
          <w:lang w:eastAsia="zh-CN"/>
        </w:rPr>
        <w:t>”等</w:t>
      </w:r>
      <w:r>
        <w:rPr>
          <w:rFonts w:hint="eastAsia" w:ascii="Times New Roman" w:hAnsi="Times New Roman" w:eastAsia="仿宋_GB2312" w:cs="方正仿宋_GBK"/>
          <w:b w:val="0"/>
          <w:bCs w:val="0"/>
          <w:color w:val="auto"/>
          <w:sz w:val="32"/>
          <w:szCs w:val="32"/>
          <w:highlight w:val="none"/>
        </w:rPr>
        <w:t>平台载体</w:t>
      </w:r>
      <w:r>
        <w:rPr>
          <w:rFonts w:hint="eastAsia" w:ascii="Times New Roman" w:hAnsi="Times New Roman" w:eastAsia="仿宋_GB2312" w:cs="方正仿宋_GBK"/>
          <w:b w:val="0"/>
          <w:bCs w:val="0"/>
          <w:color w:val="auto"/>
          <w:sz w:val="32"/>
          <w:szCs w:val="32"/>
          <w:highlight w:val="none"/>
          <w:lang w:eastAsia="zh-CN"/>
        </w:rPr>
        <w:t>，</w:t>
      </w:r>
      <w:r>
        <w:rPr>
          <w:rFonts w:hint="eastAsia" w:eastAsia="仿宋_GB2312" w:cs="方正仿宋_GBK"/>
          <w:b w:val="0"/>
          <w:bCs w:val="0"/>
          <w:color w:val="auto"/>
          <w:sz w:val="32"/>
          <w:szCs w:val="32"/>
          <w:highlight w:val="none"/>
          <w:lang w:val="en-US" w:eastAsia="zh-CN"/>
        </w:rPr>
        <w:t>打造铸牢</w:t>
      </w:r>
      <w:r>
        <w:rPr>
          <w:rFonts w:hint="eastAsia" w:ascii="Times New Roman" w:hAnsi="Times New Roman" w:eastAsia="仿宋_GB2312" w:cs="方正仿宋_GBK"/>
          <w:b w:val="0"/>
          <w:bCs w:val="0"/>
          <w:color w:val="auto"/>
          <w:sz w:val="32"/>
          <w:szCs w:val="32"/>
          <w:highlight w:val="none"/>
        </w:rPr>
        <w:t>中华民族共同体意识主题旅游路线</w:t>
      </w:r>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“赤子心</w:t>
      </w:r>
      <w:r>
        <w:rPr>
          <w:rFonts w:hint="eastAsia" w:eastAsia="仿宋_GB2312" w:cs="方正仿宋_GBK"/>
          <w:b w:val="0"/>
          <w:bCs w:val="0"/>
          <w:color w:val="auto"/>
          <w:sz w:val="32"/>
          <w:szCs w:val="32"/>
          <w:highlight w:val="none"/>
          <w:lang w:val="en-US" w:eastAsia="zh-CN"/>
        </w:rPr>
        <w:t xml:space="preserve"> </w:t>
      </w:r>
      <w:r>
        <w:rPr>
          <w:rFonts w:hint="eastAsia" w:ascii="Times New Roman" w:hAnsi="Times New Roman" w:eastAsia="仿宋_GB2312" w:cs="方正仿宋_GBK"/>
          <w:b w:val="0"/>
          <w:bCs w:val="0"/>
          <w:color w:val="auto"/>
          <w:sz w:val="32"/>
          <w:szCs w:val="32"/>
          <w:highlight w:val="none"/>
        </w:rPr>
        <w:t>石榴情</w:t>
      </w:r>
      <w:r>
        <w:rPr>
          <w:rFonts w:hint="eastAsia" w:eastAsia="仿宋_GB2312" w:cs="方正仿宋_GBK"/>
          <w:b w:val="0"/>
          <w:bCs w:val="0"/>
          <w:color w:val="auto"/>
          <w:sz w:val="32"/>
          <w:szCs w:val="32"/>
          <w:highlight w:val="none"/>
          <w:lang w:val="en-US" w:eastAsia="zh-CN"/>
        </w:rPr>
        <w:t xml:space="preserve"> </w:t>
      </w:r>
      <w:r>
        <w:rPr>
          <w:rFonts w:hint="eastAsia" w:ascii="Times New Roman" w:hAnsi="Times New Roman" w:eastAsia="仿宋_GB2312" w:cs="方正仿宋_GBK"/>
          <w:b w:val="0"/>
          <w:bCs w:val="0"/>
          <w:color w:val="auto"/>
          <w:sz w:val="32"/>
          <w:szCs w:val="32"/>
          <w:highlight w:val="none"/>
        </w:rPr>
        <w:t>逐梦行”各族青少年研学交流活动品牌</w:t>
      </w:r>
      <w:r>
        <w:rPr>
          <w:rFonts w:hint="eastAsia" w:eastAsia="仿宋_GB2312" w:cs="方正仿宋_GBK"/>
          <w:b w:val="0"/>
          <w:bCs w:val="0"/>
          <w:color w:val="auto"/>
          <w:sz w:val="32"/>
          <w:szCs w:val="32"/>
          <w:highlight w:val="none"/>
          <w:lang w:val="en-US" w:eastAsia="zh-CN"/>
        </w:rPr>
        <w:t>等</w:t>
      </w:r>
      <w:r>
        <w:rPr>
          <w:rFonts w:hint="eastAsia" w:ascii="Times New Roman" w:hAnsi="Times New Roman" w:eastAsia="仿宋_GB2312" w:cs="方正仿宋_GBK"/>
          <w:b w:val="0"/>
          <w:bCs w:val="0"/>
          <w:color w:val="auto"/>
          <w:sz w:val="32"/>
          <w:szCs w:val="32"/>
          <w:highlight w:val="none"/>
        </w:rPr>
        <w:t>有影响力的品牌典型。推动国家通用语言文字教育教学，全面推行使用国家统编教材。</w:t>
      </w:r>
    </w:p>
    <w:p w14:paraId="55CBE11B">
      <w:pPr>
        <w:pStyle w:val="43"/>
        <w:keepNext w:val="0"/>
        <w:keepLines w:val="0"/>
        <w:pageBreakBefore w:val="0"/>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sz w:val="32"/>
          <w:szCs w:val="32"/>
          <w:highlight w:val="none"/>
        </w:rPr>
      </w:pPr>
      <w:bookmarkStart w:id="106" w:name="_Toc28060"/>
      <w:r>
        <w:rPr>
          <w:rFonts w:hint="eastAsia" w:eastAsia="仿宋_GB2312" w:cs="方正仿宋_GBK"/>
          <w:b w:val="0"/>
          <w:bCs w:val="0"/>
          <w:color w:val="auto"/>
          <w:sz w:val="32"/>
          <w:szCs w:val="32"/>
          <w:highlight w:val="none"/>
          <w:lang w:val="en-US" w:eastAsia="zh-CN"/>
        </w:rPr>
        <w:t>着力</w:t>
      </w:r>
      <w:r>
        <w:rPr>
          <w:rFonts w:hint="eastAsia" w:ascii="Times New Roman" w:hAnsi="Times New Roman" w:eastAsia="仿宋_GB2312" w:cs="方正仿宋_GBK"/>
          <w:b w:val="0"/>
          <w:bCs w:val="0"/>
          <w:color w:val="auto"/>
          <w:sz w:val="32"/>
          <w:szCs w:val="32"/>
          <w:highlight w:val="none"/>
          <w:lang w:val="en-US" w:eastAsia="zh-CN"/>
        </w:rPr>
        <w:t>推动民族地区高质量发展</w:t>
      </w:r>
      <w:bookmarkEnd w:id="106"/>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sz w:val="32"/>
          <w:szCs w:val="32"/>
          <w:highlight w:val="none"/>
        </w:rPr>
        <w:t>促进民族地区经济高质量发展</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持续开展“民族团结一家亲、乡村振兴心连心”活动，动员引导全市民委系统和民贸民品企业深度参与乡村振兴。管好用好少数民族发展任务资金</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聚焦民族特色产业发展、基础设施改善等重点任务，集中实施典型项目，开展资金使用和项目成效</w:t>
      </w:r>
      <w:r>
        <w:rPr>
          <w:rFonts w:hint="eastAsia" w:eastAsia="仿宋_GB2312" w:cs="方正仿宋_GBK"/>
          <w:b w:val="0"/>
          <w:bCs w:val="0"/>
          <w:color w:val="auto"/>
          <w:sz w:val="32"/>
          <w:szCs w:val="32"/>
          <w:highlight w:val="none"/>
          <w:lang w:val="en-US" w:eastAsia="zh-CN"/>
        </w:rPr>
        <w:t>评估</w:t>
      </w:r>
      <w:r>
        <w:rPr>
          <w:rFonts w:hint="eastAsia" w:ascii="Times New Roman" w:hAnsi="Times New Roman" w:eastAsia="仿宋_GB2312" w:cs="方正仿宋_GBK"/>
          <w:b w:val="0"/>
          <w:bCs w:val="0"/>
          <w:color w:val="auto"/>
          <w:sz w:val="32"/>
          <w:szCs w:val="32"/>
          <w:highlight w:val="none"/>
        </w:rPr>
        <w:t>工作，提高资金使用效益和项目成效，推动资金使用管理充分彰显“三个意义”。加强民贸民品企业服务管理</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将铸牢中华民族共同体意识主线贯穿民贸民品工作全过程各方面，严格民贸民品企业筛选申报和动态管理，广泛宣传落实流动贷款贴息政策，提升服务民贸民品企业质量。广泛开展“共同富裕在行动、在身边”宣传宣讲，让各族群众真切感受到惠在何处、惠从何来。</w:t>
      </w:r>
    </w:p>
    <w:p w14:paraId="60179018">
      <w:pPr>
        <w:keepNext w:val="0"/>
        <w:keepLines w:val="0"/>
        <w:pageBreakBefore w:val="0"/>
        <w:widowControl/>
        <w:numPr>
          <w:ilvl w:val="0"/>
          <w:numId w:val="3"/>
        </w:numPr>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107" w:name="_Toc14106"/>
      <w:bookmarkStart w:id="108" w:name="_Toc12500"/>
      <w:bookmarkStart w:id="109" w:name="_Toc29417"/>
      <w:bookmarkStart w:id="110" w:name="_Toc9411"/>
      <w:bookmarkStart w:id="111" w:name="_Toc17863"/>
      <w:bookmarkStart w:id="112" w:name="_Toc3513"/>
      <w:bookmarkStart w:id="113" w:name="_Toc20897"/>
      <w:bookmarkStart w:id="114" w:name="_Toc6788"/>
      <w:bookmarkStart w:id="115" w:name="_Toc25353"/>
      <w:bookmarkStart w:id="116" w:name="_Toc21435"/>
      <w:bookmarkStart w:id="117" w:name="_Toc13363"/>
      <w:bookmarkStart w:id="118" w:name="_Toc5176"/>
      <w:bookmarkStart w:id="119" w:name="_Toc24336"/>
      <w:bookmarkStart w:id="120" w:name="_Toc28042"/>
      <w:bookmarkStart w:id="121" w:name="_Toc31082"/>
      <w:r>
        <w:rPr>
          <w:rFonts w:hint="eastAsia" w:ascii="楷体_GB2312" w:hAnsi="楷体_GB2312" w:eastAsia="楷体_GB2312" w:cs="楷体_GB2312"/>
          <w:b w:val="0"/>
          <w:bCs w:val="0"/>
          <w:color w:val="auto"/>
          <w:sz w:val="32"/>
          <w:szCs w:val="40"/>
          <w:highlight w:val="none"/>
          <w:lang w:val="en-US" w:eastAsia="zh-CN"/>
        </w:rPr>
        <w:t>提升民族事务治理能力水平</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14:paraId="3AE18596">
      <w:pPr>
        <w:pStyle w:val="43"/>
        <w:keepNext w:val="0"/>
        <w:keepLines w:val="0"/>
        <w:pageBreakBefore w:val="0"/>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sz w:val="32"/>
          <w:szCs w:val="32"/>
          <w:highlight w:val="none"/>
          <w:lang w:eastAsia="zh-CN"/>
        </w:rPr>
      </w:pPr>
      <w:r>
        <w:rPr>
          <w:rFonts w:hint="eastAsia" w:ascii="Times New Roman" w:hAnsi="Times New Roman" w:eastAsia="仿宋_GB2312" w:cs="方正仿宋_GBK"/>
          <w:b w:val="0"/>
          <w:bCs w:val="0"/>
          <w:color w:val="auto"/>
          <w:sz w:val="32"/>
          <w:szCs w:val="32"/>
          <w:highlight w:val="none"/>
        </w:rPr>
        <w:t>坚持守正创新、与时俱进，依法治理民族事务，不断推动民族事务治理体系和治理能力现代化，用法治保障民族团结，夯实铸牢中华民族共同体意识的法治基础</w:t>
      </w:r>
      <w:r>
        <w:rPr>
          <w:rFonts w:hint="eastAsia" w:eastAsia="仿宋_GB2312" w:cs="方正仿宋_GBK"/>
          <w:b w:val="0"/>
          <w:bCs w:val="0"/>
          <w:color w:val="auto"/>
          <w:sz w:val="32"/>
          <w:szCs w:val="32"/>
          <w:highlight w:val="none"/>
          <w:lang w:eastAsia="zh-CN"/>
        </w:rPr>
        <w:t>。</w:t>
      </w:r>
    </w:p>
    <w:p w14:paraId="2208E35C">
      <w:pPr>
        <w:pStyle w:val="43"/>
        <w:keepNext w:val="0"/>
        <w:keepLines w:val="0"/>
        <w:pageBreakBefore w:val="0"/>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sz w:val="32"/>
          <w:szCs w:val="32"/>
          <w:highlight w:val="none"/>
        </w:rPr>
      </w:pPr>
      <w:bookmarkStart w:id="122" w:name="_Toc8163"/>
      <w:r>
        <w:rPr>
          <w:rFonts w:hint="eastAsia" w:ascii="Times New Roman" w:hAnsi="Times New Roman" w:eastAsia="仿宋_GB2312" w:cs="方正仿宋_GBK"/>
          <w:b w:val="0"/>
          <w:bCs w:val="0"/>
          <w:color w:val="auto"/>
          <w:sz w:val="32"/>
          <w:szCs w:val="32"/>
          <w:highlight w:val="none"/>
          <w:lang w:val="en-US" w:eastAsia="zh-CN"/>
        </w:rPr>
        <w:t>推动</w:t>
      </w:r>
      <w:r>
        <w:rPr>
          <w:rFonts w:hint="eastAsia" w:ascii="Times New Roman" w:hAnsi="Times New Roman" w:eastAsia="仿宋_GB2312" w:cs="方正仿宋_GBK"/>
          <w:b w:val="0"/>
          <w:bCs w:val="0"/>
          <w:color w:val="auto"/>
          <w:sz w:val="32"/>
          <w:szCs w:val="32"/>
          <w:highlight w:val="none"/>
        </w:rPr>
        <w:t>民族事务</w:t>
      </w:r>
      <w:r>
        <w:rPr>
          <w:rFonts w:hint="eastAsia" w:ascii="Times New Roman" w:hAnsi="Times New Roman" w:eastAsia="仿宋_GB2312" w:cs="方正仿宋_GBK"/>
          <w:b w:val="0"/>
          <w:bCs w:val="0"/>
          <w:color w:val="auto"/>
          <w:sz w:val="32"/>
          <w:szCs w:val="32"/>
          <w:highlight w:val="none"/>
          <w:lang w:val="en-US" w:eastAsia="zh-CN"/>
        </w:rPr>
        <w:t>依法精准治理</w:t>
      </w:r>
      <w:bookmarkEnd w:id="122"/>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sz w:val="32"/>
          <w:szCs w:val="32"/>
          <w:highlight w:val="none"/>
        </w:rPr>
        <w:t>坚持和完善民族区域自治制度，不断健全民族工作法规体系，加强民族政策法规执行情况监督检查，依法妥善处理涉及民族因素的案事件，保障各族群众合法权益。加强法治宣传教育</w:t>
      </w:r>
      <w:r>
        <w:rPr>
          <w:rFonts w:hint="eastAsia" w:eastAsia="仿宋_GB2312" w:cs="方正仿宋_GBK"/>
          <w:b w:val="0"/>
          <w:bCs w:val="0"/>
          <w:color w:val="auto"/>
          <w:sz w:val="32"/>
          <w:szCs w:val="32"/>
          <w:highlight w:val="none"/>
          <w:lang w:eastAsia="zh-CN"/>
        </w:rPr>
        <w:t>，</w:t>
      </w:r>
      <w:r>
        <w:rPr>
          <w:rFonts w:hint="eastAsia" w:eastAsia="仿宋_GB2312" w:cs="方正仿宋_GBK"/>
          <w:b w:val="0"/>
          <w:bCs w:val="0"/>
          <w:color w:val="auto"/>
          <w:sz w:val="32"/>
          <w:szCs w:val="32"/>
          <w:highlight w:val="none"/>
          <w:lang w:val="en-US" w:eastAsia="zh-CN"/>
        </w:rPr>
        <w:t>强化</w:t>
      </w:r>
      <w:r>
        <w:rPr>
          <w:rFonts w:hint="eastAsia" w:ascii="Times New Roman" w:hAnsi="Times New Roman" w:eastAsia="仿宋_GB2312" w:cs="方正仿宋_GBK"/>
          <w:b w:val="0"/>
          <w:bCs w:val="0"/>
          <w:color w:val="auto"/>
          <w:sz w:val="32"/>
          <w:szCs w:val="32"/>
          <w:highlight w:val="none"/>
        </w:rPr>
        <w:t>民族领域普法，引导各族群众增强国家意识、公民意识、法治意识。持续推动民族事务治理纳入共建共治共享的社会治理格局，与</w:t>
      </w:r>
      <w:r>
        <w:rPr>
          <w:rFonts w:hint="eastAsia" w:ascii="Times New Roman" w:hAnsi="Times New Roman" w:eastAsia="仿宋_GB2312" w:cs="方正仿宋_GBK"/>
          <w:b w:val="0"/>
          <w:bCs w:val="0"/>
          <w:color w:val="auto"/>
          <w:sz w:val="32"/>
          <w:szCs w:val="32"/>
          <w:highlight w:val="none"/>
          <w:lang w:eastAsia="zh-CN"/>
        </w:rPr>
        <w:t>网格化管理</w:t>
      </w:r>
      <w:r>
        <w:rPr>
          <w:rFonts w:hint="eastAsia" w:ascii="Times New Roman" w:hAnsi="Times New Roman" w:eastAsia="仿宋_GB2312" w:cs="方正仿宋_GBK"/>
          <w:b w:val="0"/>
          <w:bCs w:val="0"/>
          <w:color w:val="auto"/>
          <w:sz w:val="32"/>
          <w:szCs w:val="32"/>
          <w:highlight w:val="none"/>
        </w:rPr>
        <w:t>、“三治融合”紧密结合，</w:t>
      </w:r>
      <w:r>
        <w:rPr>
          <w:rFonts w:hint="eastAsia" w:eastAsia="仿宋_GB2312" w:cs="方正仿宋_GBK"/>
          <w:b w:val="0"/>
          <w:bCs w:val="0"/>
          <w:color w:val="auto"/>
          <w:sz w:val="32"/>
          <w:szCs w:val="32"/>
          <w:highlight w:val="none"/>
          <w:lang w:val="en-US" w:eastAsia="zh-CN"/>
        </w:rPr>
        <w:t>推行</w:t>
      </w:r>
      <w:r>
        <w:rPr>
          <w:rFonts w:hint="eastAsia" w:ascii="Times New Roman" w:hAnsi="Times New Roman" w:eastAsia="仿宋_GB2312" w:cs="方正仿宋_GBK"/>
          <w:b w:val="0"/>
          <w:bCs w:val="0"/>
          <w:color w:val="auto"/>
          <w:sz w:val="32"/>
          <w:szCs w:val="32"/>
          <w:highlight w:val="none"/>
        </w:rPr>
        <w:t>“互联网+社会治理”</w:t>
      </w:r>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“网格+网络”等</w:t>
      </w:r>
      <w:r>
        <w:rPr>
          <w:rFonts w:hint="eastAsia" w:eastAsia="仿宋_GB2312" w:cs="方正仿宋_GBK"/>
          <w:b w:val="0"/>
          <w:bCs w:val="0"/>
          <w:color w:val="auto"/>
          <w:sz w:val="32"/>
          <w:szCs w:val="32"/>
          <w:highlight w:val="none"/>
          <w:lang w:val="en-US" w:eastAsia="zh-CN"/>
        </w:rPr>
        <w:t>服务管理模式</w:t>
      </w:r>
      <w:r>
        <w:rPr>
          <w:rFonts w:hint="eastAsia" w:ascii="Times New Roman" w:hAnsi="Times New Roman" w:eastAsia="仿宋_GB2312" w:cs="方正仿宋_GBK"/>
          <w:b w:val="0"/>
          <w:bCs w:val="0"/>
          <w:color w:val="auto"/>
          <w:sz w:val="32"/>
          <w:szCs w:val="32"/>
          <w:highlight w:val="none"/>
        </w:rPr>
        <w:t>，打通民族事务基层治理的“最后一公里”。坚决反对和纠正一切形式的民族歧视，坚决打击破坏民族团结和制造民族分裂的违法犯罪行为。充分利用大数据、人工智能等现代技术手段，提升民族事务治理智能化水平，提</w:t>
      </w:r>
      <w:r>
        <w:rPr>
          <w:rFonts w:hint="eastAsia" w:eastAsia="仿宋_GB2312" w:cs="方正仿宋_GBK"/>
          <w:b w:val="0"/>
          <w:bCs w:val="0"/>
          <w:color w:val="auto"/>
          <w:sz w:val="32"/>
          <w:szCs w:val="32"/>
          <w:highlight w:val="none"/>
          <w:lang w:val="en-US" w:eastAsia="zh-CN"/>
        </w:rPr>
        <w:t>高</w:t>
      </w:r>
      <w:r>
        <w:rPr>
          <w:rFonts w:hint="eastAsia" w:ascii="Times New Roman" w:hAnsi="Times New Roman" w:eastAsia="仿宋_GB2312" w:cs="方正仿宋_GBK"/>
          <w:b w:val="0"/>
          <w:bCs w:val="0"/>
          <w:color w:val="auto"/>
          <w:sz w:val="32"/>
          <w:szCs w:val="32"/>
          <w:highlight w:val="none"/>
        </w:rPr>
        <w:t>民族事务治理的精准性和有效性。</w:t>
      </w:r>
    </w:p>
    <w:p w14:paraId="06732817">
      <w:pPr>
        <w:pStyle w:val="43"/>
        <w:keepNext w:val="0"/>
        <w:keepLines w:val="0"/>
        <w:pageBreakBefore w:val="0"/>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sz w:val="32"/>
          <w:szCs w:val="32"/>
          <w:highlight w:val="none"/>
        </w:rPr>
      </w:pPr>
      <w:bookmarkStart w:id="123" w:name="_Toc20868"/>
      <w:r>
        <w:rPr>
          <w:rFonts w:hint="eastAsia" w:ascii="Times New Roman" w:hAnsi="Times New Roman" w:eastAsia="仿宋_GB2312" w:cs="方正仿宋_GBK"/>
          <w:b w:val="0"/>
          <w:bCs w:val="0"/>
          <w:color w:val="auto"/>
          <w:sz w:val="32"/>
          <w:szCs w:val="32"/>
          <w:highlight w:val="none"/>
        </w:rPr>
        <w:t>依法保障各族群众合法权益</w:t>
      </w:r>
      <w:bookmarkEnd w:id="123"/>
      <w:r>
        <w:rPr>
          <w:rFonts w:hint="eastAsia" w:eastAsia="仿宋_GB2312" w:cs="方正仿宋_GBK"/>
          <w:b w:val="0"/>
          <w:bCs w:val="0"/>
          <w:color w:val="auto"/>
          <w:sz w:val="32"/>
          <w:szCs w:val="32"/>
          <w:highlight w:val="none"/>
          <w:lang w:eastAsia="zh-CN"/>
        </w:rPr>
        <w:t>。</w:t>
      </w:r>
      <w:r>
        <w:rPr>
          <w:rFonts w:hint="eastAsia" w:eastAsia="仿宋_GB2312" w:cs="方正仿宋_GBK"/>
          <w:b w:val="0"/>
          <w:bCs w:val="0"/>
          <w:color w:val="auto"/>
          <w:sz w:val="32"/>
          <w:szCs w:val="32"/>
          <w:highlight w:val="none"/>
          <w:lang w:val="en-US" w:eastAsia="zh-CN"/>
        </w:rPr>
        <w:t>引导各族群众</w:t>
      </w:r>
      <w:r>
        <w:rPr>
          <w:rFonts w:hint="eastAsia" w:ascii="Times New Roman" w:hAnsi="Times New Roman" w:eastAsia="仿宋_GB2312" w:cs="方正仿宋_GBK"/>
          <w:b w:val="0"/>
          <w:bCs w:val="0"/>
          <w:color w:val="auto"/>
          <w:sz w:val="32"/>
          <w:szCs w:val="32"/>
          <w:highlight w:val="none"/>
        </w:rPr>
        <w:t>自觉按法律办事，用法律保障民族团结。建立健全法律法规体系，明确各族群众在政治、经济、文化等各方面的权利，确保各民族在政治参与、经济发展、文化传承等方面平等享有权利、平等履行义务，让各族群众切实感受到公平正义。确保各族儿童在入学机会、教育资源分配等方面享有平等权利。建立健全多元化的纠纷解决机制</w:t>
      </w:r>
      <w:r>
        <w:rPr>
          <w:rFonts w:hint="eastAsia" w:ascii="Times New Roman" w:hAnsi="Times New Roman" w:eastAsia="仿宋_GB2312" w:cs="方正仿宋_GBK"/>
          <w:b w:val="0"/>
          <w:bCs w:val="0"/>
          <w:color w:val="auto"/>
          <w:sz w:val="32"/>
          <w:szCs w:val="32"/>
          <w:highlight w:val="none"/>
          <w:lang w:eastAsia="zh-CN"/>
        </w:rPr>
        <w:t>，健全完善防范化解民族领域风险隐患工作机制，</w:t>
      </w:r>
      <w:r>
        <w:rPr>
          <w:rFonts w:hint="eastAsia" w:ascii="Times New Roman" w:hAnsi="Times New Roman" w:eastAsia="仿宋_GB2312" w:cs="方正仿宋_GBK"/>
          <w:b w:val="0"/>
          <w:bCs w:val="0"/>
          <w:color w:val="auto"/>
          <w:sz w:val="32"/>
          <w:szCs w:val="32"/>
          <w:highlight w:val="none"/>
        </w:rPr>
        <w:t>通过人民调解、行政调解、司法调解等多种方式，有效化解涉及民族因素的矛盾纠纷。优化法律援助流程，让各族群众在法治阳光下共享公平正义。</w:t>
      </w:r>
      <w:r>
        <w:rPr>
          <w:rFonts w:hint="eastAsia" w:eastAsia="仿宋_GB2312" w:cs="方正仿宋_GBK"/>
          <w:b w:val="0"/>
          <w:bCs w:val="0"/>
          <w:color w:val="auto"/>
          <w:sz w:val="32"/>
          <w:szCs w:val="32"/>
          <w:highlight w:val="none"/>
          <w:lang w:val="en-US" w:eastAsia="zh-CN"/>
        </w:rPr>
        <w:t>推动</w:t>
      </w:r>
      <w:r>
        <w:rPr>
          <w:rFonts w:hint="eastAsia" w:ascii="Times New Roman" w:hAnsi="Times New Roman" w:eastAsia="仿宋_GB2312" w:cs="方正仿宋_GBK"/>
          <w:b w:val="0"/>
          <w:bCs w:val="0"/>
          <w:color w:val="auto"/>
          <w:sz w:val="32"/>
          <w:szCs w:val="32"/>
          <w:highlight w:val="none"/>
        </w:rPr>
        <w:t>法律援助资源深入基层，惠及最广大的人民群众。</w:t>
      </w:r>
    </w:p>
    <w:p w14:paraId="111044BF">
      <w:pPr>
        <w:keepNext w:val="0"/>
        <w:keepLines w:val="0"/>
        <w:pageBreakBefore w:val="0"/>
        <w:widowControl/>
        <w:numPr>
          <w:ilvl w:val="0"/>
          <w:numId w:val="3"/>
        </w:numPr>
        <w:kinsoku/>
        <w:wordWrap/>
        <w:topLinePunct w:val="0"/>
        <w:autoSpaceDE/>
        <w:autoSpaceDN/>
        <w:bidi w:val="0"/>
        <w:adjustRightIn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rPr>
      </w:pPr>
      <w:bookmarkStart w:id="124" w:name="_Toc24792"/>
      <w:bookmarkStart w:id="125" w:name="_Toc22141"/>
      <w:bookmarkStart w:id="126" w:name="_Toc11287"/>
      <w:bookmarkStart w:id="127" w:name="_Toc74"/>
      <w:bookmarkStart w:id="128" w:name="_Toc27714"/>
      <w:bookmarkStart w:id="129" w:name="_Toc25502"/>
      <w:bookmarkStart w:id="130" w:name="_Toc7096"/>
      <w:bookmarkStart w:id="131" w:name="_Toc16500"/>
      <w:bookmarkStart w:id="132" w:name="_Toc1378"/>
      <w:bookmarkStart w:id="133" w:name="_Toc19624"/>
      <w:bookmarkStart w:id="134" w:name="_Toc9891"/>
      <w:bookmarkStart w:id="135" w:name="_Toc563"/>
      <w:bookmarkStart w:id="136" w:name="_Toc9421"/>
      <w:bookmarkStart w:id="137" w:name="_Toc84"/>
      <w:bookmarkStart w:id="138" w:name="_Toc28727"/>
      <w:r>
        <w:rPr>
          <w:rFonts w:hint="eastAsia" w:ascii="楷体_GB2312" w:hAnsi="楷体_GB2312" w:eastAsia="楷体_GB2312" w:cs="楷体_GB2312"/>
          <w:b w:val="0"/>
          <w:bCs w:val="0"/>
          <w:color w:val="auto"/>
          <w:sz w:val="32"/>
          <w:szCs w:val="40"/>
          <w:highlight w:val="none"/>
        </w:rPr>
        <w:t>汇聚同心共筑中国梦强大合力</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14:paraId="08C2A195">
      <w:pPr>
        <w:pStyle w:val="43"/>
        <w:keepNext w:val="0"/>
        <w:keepLines w:val="0"/>
        <w:pageBreakBefore w:val="0"/>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sz w:val="32"/>
          <w:szCs w:val="32"/>
          <w:highlight w:val="none"/>
        </w:rPr>
      </w:pPr>
      <w:r>
        <w:rPr>
          <w:rFonts w:hint="eastAsia" w:ascii="Times New Roman" w:hAnsi="Times New Roman" w:eastAsia="仿宋_GB2312" w:cs="方正仿宋_GBK"/>
          <w:b w:val="0"/>
          <w:bCs w:val="0"/>
          <w:color w:val="auto"/>
          <w:sz w:val="32"/>
          <w:szCs w:val="32"/>
          <w:highlight w:val="none"/>
        </w:rPr>
        <w:t>坚定不移走中国特色社会主义政治发展道路，</w:t>
      </w:r>
      <w:r>
        <w:rPr>
          <w:rFonts w:hint="eastAsia" w:eastAsia="仿宋_GB2312" w:cs="方正仿宋_GBK"/>
          <w:b w:val="0"/>
          <w:bCs w:val="0"/>
          <w:color w:val="auto"/>
          <w:sz w:val="32"/>
          <w:szCs w:val="32"/>
          <w:highlight w:val="none"/>
          <w:lang w:eastAsia="zh-CN"/>
        </w:rPr>
        <w:t>坚持党的领导、人民当家作主、依法治国有机统一</w:t>
      </w:r>
      <w:r>
        <w:rPr>
          <w:rFonts w:hint="eastAsia" w:ascii="Times New Roman" w:hAnsi="Times New Roman" w:eastAsia="仿宋_GB2312" w:cs="方正仿宋_GBK"/>
          <w:b w:val="0"/>
          <w:bCs w:val="0"/>
          <w:color w:val="auto"/>
          <w:sz w:val="32"/>
          <w:szCs w:val="32"/>
          <w:highlight w:val="none"/>
        </w:rPr>
        <w:t>，着眼强化</w:t>
      </w:r>
      <w:r>
        <w:rPr>
          <w:rFonts w:hint="eastAsia" w:eastAsia="仿宋_GB2312" w:cs="方正仿宋_GBK"/>
          <w:b w:val="0"/>
          <w:bCs w:val="0"/>
          <w:color w:val="auto"/>
          <w:sz w:val="32"/>
          <w:szCs w:val="32"/>
          <w:highlight w:val="none"/>
          <w:lang w:val="en-US" w:eastAsia="zh-CN"/>
        </w:rPr>
        <w:t>共</w:t>
      </w:r>
      <w:r>
        <w:rPr>
          <w:rFonts w:hint="eastAsia" w:ascii="Times New Roman" w:hAnsi="Times New Roman" w:eastAsia="仿宋_GB2312" w:cs="方正仿宋_GBK"/>
          <w:b w:val="0"/>
          <w:bCs w:val="0"/>
          <w:color w:val="auto"/>
          <w:sz w:val="32"/>
          <w:szCs w:val="32"/>
          <w:highlight w:val="none"/>
        </w:rPr>
        <w:t>同性、增强向心力、提高凝聚力，巩固发展共同团结</w:t>
      </w:r>
      <w:r>
        <w:rPr>
          <w:rFonts w:hint="eastAsia" w:eastAsia="仿宋_GB2312" w:cs="方正仿宋_GBK"/>
          <w:b w:val="0"/>
          <w:bCs w:val="0"/>
          <w:color w:val="auto"/>
          <w:sz w:val="32"/>
          <w:szCs w:val="32"/>
          <w:highlight w:val="none"/>
          <w:lang w:val="en-US" w:eastAsia="zh-CN"/>
        </w:rPr>
        <w:t>奋斗</w:t>
      </w:r>
      <w:r>
        <w:rPr>
          <w:rFonts w:hint="eastAsia" w:ascii="Times New Roman" w:hAnsi="Times New Roman" w:eastAsia="仿宋_GB2312" w:cs="方正仿宋_GBK"/>
          <w:b w:val="0"/>
          <w:bCs w:val="0"/>
          <w:color w:val="auto"/>
          <w:sz w:val="32"/>
          <w:szCs w:val="32"/>
          <w:highlight w:val="none"/>
        </w:rPr>
        <w:t>的良好局面。</w:t>
      </w:r>
    </w:p>
    <w:p w14:paraId="05D4DD04">
      <w:pPr>
        <w:pStyle w:val="43"/>
        <w:keepNext w:val="0"/>
        <w:keepLines w:val="0"/>
        <w:pageBreakBefore w:val="0"/>
        <w:kinsoku/>
        <w:wordWrap/>
        <w:topLinePunct w:val="0"/>
        <w:autoSpaceDE/>
        <w:autoSpaceDN/>
        <w:bidi w:val="0"/>
        <w:adjustRightInd/>
        <w:spacing w:line="540" w:lineRule="exact"/>
        <w:textAlignment w:val="auto"/>
        <w:outlineLvl w:val="3"/>
        <w:rPr>
          <w:rFonts w:hint="eastAsia" w:ascii="Times New Roman" w:hAnsi="Times New Roman" w:eastAsia="仿宋_GB2312" w:cs="方正仿宋_GBK"/>
          <w:b w:val="0"/>
          <w:bCs w:val="0"/>
          <w:color w:val="auto"/>
          <w:sz w:val="32"/>
          <w:szCs w:val="32"/>
          <w:highlight w:val="none"/>
        </w:rPr>
      </w:pPr>
      <w:bookmarkStart w:id="139" w:name="_Toc32756"/>
      <w:r>
        <w:rPr>
          <w:rFonts w:hint="eastAsia" w:ascii="Times New Roman" w:hAnsi="Times New Roman" w:eastAsia="仿宋_GB2312" w:cs="方正仿宋_GBK"/>
          <w:b w:val="0"/>
          <w:bCs w:val="0"/>
          <w:color w:val="auto"/>
          <w:sz w:val="32"/>
          <w:szCs w:val="32"/>
          <w:highlight w:val="none"/>
        </w:rPr>
        <w:t>发展全过程人民民主</w:t>
      </w:r>
      <w:bookmarkEnd w:id="139"/>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lang w:val="en-US" w:eastAsia="zh-CN"/>
        </w:rPr>
        <w:t>坚持好、完善好、运行好人民代表大会制度，拓宽人大代表同人民群众联系渠道，支持和保证人大及其常委会依法行使职权。加强和改进新时代人民政协工作，强化人民政协专门协商机构建设，推动各类协商渠道协同配合，提高建言资政和凝聚共识水平。</w:t>
      </w:r>
      <w:r>
        <w:rPr>
          <w:rFonts w:hint="eastAsia" w:eastAsia="仿宋_GB2312" w:cs="方正仿宋_GBK"/>
          <w:b w:val="0"/>
          <w:bCs w:val="0"/>
          <w:color w:val="auto"/>
          <w:sz w:val="32"/>
          <w:szCs w:val="32"/>
          <w:highlight w:val="none"/>
          <w:lang w:val="en-US" w:eastAsia="zh-CN"/>
        </w:rPr>
        <w:t>优化吸纳民意、汇集民智工作机制。</w:t>
      </w:r>
      <w:r>
        <w:rPr>
          <w:rFonts w:hint="eastAsia" w:ascii="Times New Roman" w:hAnsi="Times New Roman" w:eastAsia="仿宋_GB2312" w:cs="方正仿宋_GBK"/>
          <w:b w:val="0"/>
          <w:bCs w:val="0"/>
          <w:color w:val="auto"/>
          <w:sz w:val="32"/>
          <w:szCs w:val="32"/>
          <w:highlight w:val="none"/>
          <w:lang w:val="en-US" w:eastAsia="zh-CN"/>
        </w:rPr>
        <w:t>充分发挥“两代表一委员”作用，更好发挥工会、共青团、妇联等群团组织作用。加强民主监督工作</w:t>
      </w:r>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sz w:val="32"/>
          <w:szCs w:val="32"/>
          <w:highlight w:val="none"/>
          <w:lang w:val="en-US" w:eastAsia="zh-CN"/>
        </w:rPr>
        <w:t>完善大统战工作格局，发挥民主党派、工商联和无党派人士作用，做好新时代宗教、侨务、港澳台和海外统战工作。</w:t>
      </w:r>
    </w:p>
    <w:p w14:paraId="0D97A021">
      <w:pPr>
        <w:pStyle w:val="43"/>
        <w:keepNext w:val="0"/>
        <w:keepLines w:val="0"/>
        <w:pageBreakBefore w:val="0"/>
        <w:kinsoku/>
        <w:wordWrap/>
        <w:topLinePunct w:val="0"/>
        <w:autoSpaceDE/>
        <w:autoSpaceDN/>
        <w:bidi w:val="0"/>
        <w:adjustRightInd/>
        <w:spacing w:line="540" w:lineRule="exact"/>
        <w:textAlignment w:val="auto"/>
        <w:outlineLvl w:val="3"/>
        <w:rPr>
          <w:rFonts w:hint="eastAsia" w:ascii="Times New Roman" w:hAnsi="Times New Roman" w:eastAsia="仿宋_GB2312" w:cs="方正仿宋_GBK"/>
          <w:b w:val="0"/>
          <w:bCs w:val="0"/>
          <w:color w:val="auto"/>
          <w:sz w:val="32"/>
          <w:szCs w:val="32"/>
          <w:highlight w:val="none"/>
        </w:rPr>
      </w:pPr>
      <w:bookmarkStart w:id="140" w:name="_Toc15466"/>
      <w:r>
        <w:rPr>
          <w:rFonts w:hint="eastAsia" w:ascii="Times New Roman" w:hAnsi="Times New Roman" w:eastAsia="仿宋_GB2312" w:cs="方正仿宋_GBK"/>
          <w:b w:val="0"/>
          <w:bCs w:val="0"/>
          <w:color w:val="auto"/>
          <w:sz w:val="32"/>
          <w:szCs w:val="32"/>
          <w:highlight w:val="none"/>
        </w:rPr>
        <w:t>加强法治</w:t>
      </w:r>
      <w:r>
        <w:rPr>
          <w:rFonts w:hint="eastAsia" w:ascii="Times New Roman" w:hAnsi="Times New Roman" w:eastAsia="仿宋_GB2312" w:cs="方正仿宋_GBK"/>
          <w:b w:val="0"/>
          <w:bCs w:val="0"/>
          <w:color w:val="auto"/>
          <w:sz w:val="32"/>
          <w:szCs w:val="32"/>
          <w:highlight w:val="none"/>
          <w:lang w:val="en-US" w:eastAsia="zh-CN"/>
        </w:rPr>
        <w:t>赤峰</w:t>
      </w:r>
      <w:r>
        <w:rPr>
          <w:rFonts w:hint="eastAsia" w:ascii="Times New Roman" w:hAnsi="Times New Roman" w:eastAsia="仿宋_GB2312" w:cs="方正仿宋_GBK"/>
          <w:b w:val="0"/>
          <w:bCs w:val="0"/>
          <w:color w:val="auto"/>
          <w:sz w:val="32"/>
          <w:szCs w:val="32"/>
          <w:highlight w:val="none"/>
        </w:rPr>
        <w:t>建设</w:t>
      </w:r>
      <w:bookmarkEnd w:id="140"/>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始终把党的领导落实到法治</w:t>
      </w:r>
      <w:r>
        <w:rPr>
          <w:rFonts w:hint="eastAsia" w:eastAsia="仿宋_GB2312" w:cs="方正仿宋_GBK"/>
          <w:b w:val="0"/>
          <w:bCs w:val="0"/>
          <w:color w:val="auto"/>
          <w:sz w:val="32"/>
          <w:szCs w:val="32"/>
          <w:highlight w:val="none"/>
          <w:lang w:val="en-US" w:eastAsia="zh-CN"/>
        </w:rPr>
        <w:t>赤峰</w:t>
      </w:r>
      <w:r>
        <w:rPr>
          <w:rFonts w:hint="eastAsia" w:ascii="Times New Roman" w:hAnsi="Times New Roman" w:eastAsia="仿宋_GB2312" w:cs="方正仿宋_GBK"/>
          <w:b w:val="0"/>
          <w:bCs w:val="0"/>
          <w:color w:val="auto"/>
          <w:sz w:val="32"/>
          <w:szCs w:val="32"/>
          <w:highlight w:val="none"/>
        </w:rPr>
        <w:t>建设全过程</w:t>
      </w:r>
      <w:r>
        <w:rPr>
          <w:rFonts w:hint="eastAsia" w:eastAsia="仿宋_GB2312" w:cs="方正仿宋_GBK"/>
          <w:b w:val="0"/>
          <w:bCs w:val="0"/>
          <w:color w:val="auto"/>
          <w:sz w:val="32"/>
          <w:szCs w:val="32"/>
          <w:highlight w:val="none"/>
          <w:lang w:val="en-US" w:eastAsia="zh-CN"/>
        </w:rPr>
        <w:t>各方</w:t>
      </w:r>
      <w:r>
        <w:rPr>
          <w:rFonts w:hint="eastAsia" w:ascii="Times New Roman" w:hAnsi="Times New Roman" w:eastAsia="仿宋_GB2312" w:cs="方正仿宋_GBK"/>
          <w:b w:val="0"/>
          <w:bCs w:val="0"/>
          <w:color w:val="auto"/>
          <w:sz w:val="32"/>
          <w:szCs w:val="32"/>
          <w:highlight w:val="none"/>
        </w:rPr>
        <w:t>面，持续深化习近平法治思想学习宣传</w:t>
      </w:r>
      <w:r>
        <w:rPr>
          <w:rFonts w:hint="eastAsia" w:eastAsia="仿宋_GB2312" w:cs="方正仿宋_GBK"/>
          <w:b w:val="0"/>
          <w:bCs w:val="0"/>
          <w:color w:val="auto"/>
          <w:sz w:val="32"/>
          <w:szCs w:val="32"/>
          <w:highlight w:val="none"/>
          <w:lang w:val="en-US" w:eastAsia="zh-CN"/>
        </w:rPr>
        <w:t>和</w:t>
      </w:r>
      <w:r>
        <w:rPr>
          <w:rFonts w:hint="eastAsia" w:ascii="Times New Roman" w:hAnsi="Times New Roman" w:eastAsia="仿宋_GB2312" w:cs="方正仿宋_GBK"/>
          <w:b w:val="0"/>
          <w:bCs w:val="0"/>
          <w:color w:val="auto"/>
          <w:sz w:val="32"/>
          <w:szCs w:val="32"/>
          <w:highlight w:val="none"/>
        </w:rPr>
        <w:t>贯彻落实，</w:t>
      </w:r>
      <w:r>
        <w:rPr>
          <w:rFonts w:hint="eastAsia" w:eastAsia="仿宋_GB2312" w:cs="方正仿宋_GBK"/>
          <w:b w:val="0"/>
          <w:bCs w:val="0"/>
          <w:color w:val="auto"/>
          <w:sz w:val="32"/>
          <w:szCs w:val="32"/>
          <w:highlight w:val="none"/>
          <w:lang w:val="en-US" w:eastAsia="zh-CN"/>
        </w:rPr>
        <w:t>统筹</w:t>
      </w:r>
      <w:r>
        <w:rPr>
          <w:rFonts w:hint="eastAsia" w:ascii="Times New Roman" w:hAnsi="Times New Roman" w:eastAsia="仿宋_GB2312" w:cs="方正仿宋_GBK"/>
          <w:b w:val="0"/>
          <w:bCs w:val="0"/>
          <w:color w:val="auto"/>
          <w:sz w:val="32"/>
          <w:szCs w:val="32"/>
          <w:highlight w:val="none"/>
        </w:rPr>
        <w:t>科学立法、严格执法、公正司法、全民守法，推进全面依法治</w:t>
      </w:r>
      <w:r>
        <w:rPr>
          <w:rFonts w:hint="eastAsia" w:eastAsia="仿宋_GB2312" w:cs="方正仿宋_GBK"/>
          <w:b w:val="0"/>
          <w:bCs w:val="0"/>
          <w:color w:val="auto"/>
          <w:sz w:val="32"/>
          <w:szCs w:val="32"/>
          <w:highlight w:val="none"/>
          <w:lang w:val="en-US" w:eastAsia="zh-CN"/>
        </w:rPr>
        <w:t>市</w:t>
      </w:r>
      <w:r>
        <w:rPr>
          <w:rFonts w:hint="eastAsia" w:ascii="Times New Roman" w:hAnsi="Times New Roman" w:eastAsia="仿宋_GB2312" w:cs="方正仿宋_GBK"/>
          <w:b w:val="0"/>
          <w:bCs w:val="0"/>
          <w:color w:val="auto"/>
          <w:sz w:val="32"/>
          <w:szCs w:val="32"/>
          <w:highlight w:val="none"/>
        </w:rPr>
        <w:t>工作。</w:t>
      </w:r>
      <w:r>
        <w:rPr>
          <w:rFonts w:hint="eastAsia" w:eastAsia="仿宋_GB2312" w:cs="方正仿宋_GBK"/>
          <w:b w:val="0"/>
          <w:bCs w:val="0"/>
          <w:color w:val="auto"/>
          <w:sz w:val="32"/>
          <w:szCs w:val="32"/>
          <w:highlight w:val="none"/>
          <w:lang w:val="en-US" w:eastAsia="zh-CN"/>
        </w:rPr>
        <w:t>坚决维护宪</w:t>
      </w:r>
      <w:r>
        <w:rPr>
          <w:rFonts w:hint="eastAsia" w:ascii="Times New Roman" w:hAnsi="Times New Roman" w:eastAsia="仿宋_GB2312" w:cs="方正仿宋_GBK"/>
          <w:b w:val="0"/>
          <w:bCs w:val="0"/>
          <w:color w:val="auto"/>
          <w:sz w:val="32"/>
          <w:szCs w:val="32"/>
          <w:highlight w:val="none"/>
        </w:rPr>
        <w:t>法权威，坚持依宪执政、依法执政，保障宪法有效实施</w:t>
      </w:r>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深化立法领域改革，推进重点领域、新兴</w:t>
      </w:r>
      <w:r>
        <w:rPr>
          <w:rFonts w:hint="eastAsia" w:eastAsia="仿宋_GB2312" w:cs="方正仿宋_GBK"/>
          <w:b w:val="0"/>
          <w:bCs w:val="0"/>
          <w:color w:val="auto"/>
          <w:sz w:val="32"/>
          <w:szCs w:val="32"/>
          <w:highlight w:val="none"/>
          <w:lang w:val="en-US" w:eastAsia="zh-CN"/>
        </w:rPr>
        <w:t>领</w:t>
      </w:r>
      <w:r>
        <w:rPr>
          <w:rFonts w:hint="eastAsia" w:ascii="Times New Roman" w:hAnsi="Times New Roman" w:eastAsia="仿宋_GB2312" w:cs="方正仿宋_GBK"/>
          <w:b w:val="0"/>
          <w:bCs w:val="0"/>
          <w:color w:val="auto"/>
          <w:sz w:val="32"/>
          <w:szCs w:val="32"/>
          <w:highlight w:val="none"/>
        </w:rPr>
        <w:t>域、急需领域立法。深化法治政府建设，健全行政</w:t>
      </w:r>
      <w:r>
        <w:rPr>
          <w:rFonts w:hint="eastAsia" w:eastAsia="仿宋_GB2312" w:cs="方正仿宋_GBK"/>
          <w:b w:val="0"/>
          <w:bCs w:val="0"/>
          <w:color w:val="auto"/>
          <w:sz w:val="32"/>
          <w:szCs w:val="32"/>
          <w:highlight w:val="none"/>
          <w:lang w:val="en-US" w:eastAsia="zh-CN"/>
        </w:rPr>
        <w:t>执法协</w:t>
      </w:r>
      <w:r>
        <w:rPr>
          <w:rFonts w:hint="eastAsia" w:ascii="Times New Roman" w:hAnsi="Times New Roman" w:eastAsia="仿宋_GB2312" w:cs="方正仿宋_GBK"/>
          <w:b w:val="0"/>
          <w:bCs w:val="0"/>
          <w:color w:val="auto"/>
          <w:sz w:val="32"/>
          <w:szCs w:val="32"/>
          <w:highlight w:val="none"/>
        </w:rPr>
        <w:t>调监督工作体制机制，推进严格规范公正文明</w:t>
      </w:r>
      <w:r>
        <w:rPr>
          <w:rFonts w:hint="eastAsia" w:eastAsia="仿宋_GB2312" w:cs="方正仿宋_GBK"/>
          <w:b w:val="0"/>
          <w:bCs w:val="0"/>
          <w:color w:val="auto"/>
          <w:sz w:val="32"/>
          <w:szCs w:val="32"/>
          <w:highlight w:val="none"/>
          <w:lang w:val="en-US" w:eastAsia="zh-CN"/>
        </w:rPr>
        <w:t>执法。</w:t>
      </w:r>
      <w:r>
        <w:rPr>
          <w:rFonts w:hint="eastAsia" w:ascii="Times New Roman" w:hAnsi="Times New Roman" w:eastAsia="仿宋_GB2312" w:cs="方正仿宋_GBK"/>
          <w:b w:val="0"/>
          <w:bCs w:val="0"/>
          <w:color w:val="auto"/>
          <w:sz w:val="32"/>
          <w:szCs w:val="32"/>
          <w:highlight w:val="none"/>
        </w:rPr>
        <w:t>完善实质性化解行政争议机制，发挥行政复议</w:t>
      </w:r>
      <w:r>
        <w:rPr>
          <w:rFonts w:hint="eastAsia" w:eastAsia="仿宋_GB2312" w:cs="方正仿宋_GBK"/>
          <w:b w:val="0"/>
          <w:bCs w:val="0"/>
          <w:color w:val="auto"/>
          <w:sz w:val="32"/>
          <w:szCs w:val="32"/>
          <w:highlight w:val="none"/>
          <w:lang w:val="en-US" w:eastAsia="zh-CN"/>
        </w:rPr>
        <w:t>主渠道作</w:t>
      </w:r>
      <w:r>
        <w:rPr>
          <w:rFonts w:hint="eastAsia" w:ascii="Times New Roman" w:hAnsi="Times New Roman" w:eastAsia="仿宋_GB2312" w:cs="方正仿宋_GBK"/>
          <w:b w:val="0"/>
          <w:bCs w:val="0"/>
          <w:color w:val="auto"/>
          <w:sz w:val="32"/>
          <w:szCs w:val="32"/>
          <w:highlight w:val="none"/>
        </w:rPr>
        <w:t>用。加强执法司法制约监督，聚焦重点领域开展执法</w:t>
      </w:r>
      <w:r>
        <w:rPr>
          <w:rFonts w:hint="eastAsia" w:eastAsia="仿宋_GB2312" w:cs="方正仿宋_GBK"/>
          <w:b w:val="0"/>
          <w:bCs w:val="0"/>
          <w:color w:val="auto"/>
          <w:sz w:val="32"/>
          <w:szCs w:val="32"/>
          <w:highlight w:val="none"/>
          <w:lang w:val="en-US" w:eastAsia="zh-CN"/>
        </w:rPr>
        <w:t>司法</w:t>
      </w:r>
      <w:r>
        <w:rPr>
          <w:rFonts w:hint="eastAsia" w:ascii="Times New Roman" w:hAnsi="Times New Roman" w:eastAsia="仿宋_GB2312" w:cs="方正仿宋_GBK"/>
          <w:b w:val="0"/>
          <w:bCs w:val="0"/>
          <w:color w:val="auto"/>
          <w:sz w:val="32"/>
          <w:szCs w:val="32"/>
          <w:highlight w:val="none"/>
        </w:rPr>
        <w:t>规范化专项行动。加快推进公共法律服务事业，深化“</w:t>
      </w:r>
      <w:r>
        <w:rPr>
          <w:rFonts w:hint="eastAsia" w:eastAsia="仿宋_GB2312" w:cs="方正仿宋_GBK"/>
          <w:b w:val="0"/>
          <w:bCs w:val="0"/>
          <w:color w:val="auto"/>
          <w:sz w:val="32"/>
          <w:szCs w:val="32"/>
          <w:highlight w:val="none"/>
          <w:lang w:val="en-US" w:eastAsia="zh-CN"/>
        </w:rPr>
        <w:t>半小时公共</w:t>
      </w:r>
      <w:r>
        <w:rPr>
          <w:rFonts w:hint="eastAsia" w:ascii="Times New Roman" w:hAnsi="Times New Roman" w:eastAsia="仿宋_GB2312" w:cs="方正仿宋_GBK"/>
          <w:b w:val="0"/>
          <w:bCs w:val="0"/>
          <w:color w:val="auto"/>
          <w:sz w:val="32"/>
          <w:szCs w:val="32"/>
          <w:highlight w:val="none"/>
        </w:rPr>
        <w:t>法律服务圈”建设，提升公共法律服务专业化水平和服务效能。扎实</w:t>
      </w:r>
      <w:r>
        <w:rPr>
          <w:rFonts w:hint="eastAsia" w:eastAsia="仿宋_GB2312" w:cs="方正仿宋_GBK"/>
          <w:b w:val="0"/>
          <w:bCs w:val="0"/>
          <w:color w:val="auto"/>
          <w:sz w:val="32"/>
          <w:szCs w:val="32"/>
          <w:highlight w:val="none"/>
          <w:lang w:val="en-US" w:eastAsia="zh-CN"/>
        </w:rPr>
        <w:t>推</w:t>
      </w:r>
      <w:r>
        <w:rPr>
          <w:rFonts w:hint="eastAsia" w:ascii="Times New Roman" w:hAnsi="Times New Roman" w:eastAsia="仿宋_GB2312" w:cs="方正仿宋_GBK"/>
          <w:b w:val="0"/>
          <w:bCs w:val="0"/>
          <w:color w:val="auto"/>
          <w:sz w:val="32"/>
          <w:szCs w:val="32"/>
          <w:highlight w:val="none"/>
        </w:rPr>
        <w:t>进法治社会建设，改进法治宣传教育，实施“九五”</w:t>
      </w:r>
      <w:r>
        <w:rPr>
          <w:rFonts w:hint="eastAsia" w:eastAsia="仿宋_GB2312" w:cs="方正仿宋_GBK"/>
          <w:b w:val="0"/>
          <w:bCs w:val="0"/>
          <w:color w:val="auto"/>
          <w:sz w:val="32"/>
          <w:szCs w:val="32"/>
          <w:highlight w:val="none"/>
          <w:lang w:val="en-US" w:eastAsia="zh-CN"/>
        </w:rPr>
        <w:t>普法</w:t>
      </w:r>
      <w:r>
        <w:rPr>
          <w:rFonts w:hint="eastAsia" w:ascii="Times New Roman" w:hAnsi="Times New Roman" w:eastAsia="仿宋_GB2312" w:cs="方正仿宋_GBK"/>
          <w:b w:val="0"/>
          <w:bCs w:val="0"/>
          <w:color w:val="auto"/>
          <w:sz w:val="32"/>
          <w:szCs w:val="32"/>
          <w:highlight w:val="none"/>
        </w:rPr>
        <w:t>规划，推广“法治乌兰牧骑”金色普法品牌。</w:t>
      </w:r>
    </w:p>
    <w:p w14:paraId="7D7B90BB">
      <w:pPr>
        <w:keepNext w:val="0"/>
        <w:keepLines w:val="0"/>
        <w:pageBreakBefore w:val="0"/>
        <w:widowControl/>
        <w:numPr>
          <w:ilvl w:val="0"/>
          <w:numId w:val="2"/>
        </w:numPr>
        <w:kinsoku/>
        <w:wordWrap/>
        <w:overflowPunct/>
        <w:topLinePunct w:val="0"/>
        <w:autoSpaceDE/>
        <w:autoSpaceDN/>
        <w:bidi w:val="0"/>
        <w:adjustRightInd/>
        <w:snapToGrid/>
        <w:spacing w:before="157" w:beforeLines="50" w:after="157" w:afterLines="50" w:line="540" w:lineRule="exact"/>
        <w:jc w:val="center"/>
        <w:textAlignment w:val="auto"/>
        <w:outlineLvl w:val="1"/>
        <w:rPr>
          <w:rFonts w:hint="eastAsia" w:ascii="黑体" w:hAnsi="黑体" w:eastAsia="黑体" w:cs="黑体"/>
          <w:b w:val="0"/>
          <w:bCs w:val="0"/>
          <w:sz w:val="32"/>
          <w:szCs w:val="32"/>
          <w:highlight w:val="none"/>
          <w:lang w:val="en-US" w:eastAsia="zh-CN"/>
        </w:rPr>
      </w:pPr>
      <w:bookmarkStart w:id="141" w:name="_Toc8834"/>
      <w:bookmarkStart w:id="142" w:name="_Toc18227"/>
      <w:bookmarkStart w:id="143" w:name="_Toc15606"/>
      <w:bookmarkStart w:id="144" w:name="_Toc2768"/>
      <w:bookmarkStart w:id="145" w:name="_Toc5144"/>
      <w:bookmarkStart w:id="146" w:name="_Toc29837"/>
      <w:bookmarkStart w:id="147" w:name="_Toc5109"/>
      <w:bookmarkStart w:id="148" w:name="_Toc30325"/>
      <w:bookmarkStart w:id="149" w:name="_Toc15343"/>
      <w:bookmarkStart w:id="150" w:name="_Toc9264"/>
      <w:bookmarkStart w:id="151" w:name="_Toc18077"/>
      <w:bookmarkStart w:id="152" w:name="_Toc20337"/>
      <w:bookmarkStart w:id="153" w:name="_Toc28331"/>
      <w:bookmarkStart w:id="154" w:name="_Toc13709"/>
      <w:bookmarkStart w:id="155" w:name="_Toc21371"/>
      <w:r>
        <w:rPr>
          <w:rFonts w:hint="eastAsia" w:ascii="黑体" w:hAnsi="黑体" w:eastAsia="黑体" w:cs="黑体"/>
          <w:b w:val="0"/>
          <w:bCs w:val="0"/>
          <w:sz w:val="32"/>
          <w:szCs w:val="32"/>
          <w:highlight w:val="none"/>
          <w:lang w:val="en-US" w:eastAsia="zh-CN"/>
        </w:rPr>
        <w:t>筑牢生态安全屏障，</w:t>
      </w:r>
      <w:bookmarkEnd w:id="64"/>
      <w:bookmarkEnd w:id="65"/>
      <w:bookmarkEnd w:id="66"/>
      <w:bookmarkEnd w:id="67"/>
      <w:bookmarkEnd w:id="68"/>
      <w:bookmarkEnd w:id="69"/>
      <w:bookmarkEnd w:id="70"/>
      <w:bookmarkEnd w:id="71"/>
      <w:bookmarkEnd w:id="141"/>
      <w:r>
        <w:rPr>
          <w:rFonts w:hint="eastAsia" w:ascii="黑体" w:hAnsi="黑体" w:eastAsia="黑体" w:cs="黑体"/>
          <w:b w:val="0"/>
          <w:bCs w:val="0"/>
          <w:sz w:val="32"/>
          <w:szCs w:val="32"/>
          <w:highlight w:val="none"/>
          <w:lang w:val="en-US" w:eastAsia="zh-CN"/>
        </w:rPr>
        <w:t>实现人与自然和谐共生</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14:paraId="61529BC3">
      <w:pPr>
        <w:pStyle w:val="43"/>
        <w:keepNext w:val="0"/>
        <w:keepLines w:val="0"/>
        <w:pageBreakBefore w:val="0"/>
        <w:shd w:val="clear" w:color="auto" w:fill="auto"/>
        <w:kinsoku/>
        <w:wordWrap/>
        <w:topLinePunct w:val="0"/>
        <w:autoSpaceDE/>
        <w:autoSpaceDN/>
        <w:bidi w:val="0"/>
        <w:adjustRightInd/>
        <w:spacing w:line="540" w:lineRule="exact"/>
        <w:ind w:firstLine="0"/>
        <w:jc w:val="both"/>
        <w:textAlignment w:val="auto"/>
        <w:outlineLvl w:val="9"/>
        <w:rPr>
          <w:rFonts w:hint="eastAsia" w:ascii="Times New Roman" w:hAnsi="Times New Roman" w:eastAsia="仿宋_GB2312" w:cs="方正仿宋_GBK"/>
          <w:b w:val="0"/>
          <w:bCs w:val="0"/>
          <w:szCs w:val="36"/>
          <w:highlight w:val="none"/>
          <w:lang w:val="en-US" w:eastAsia="zh-CN"/>
        </w:rPr>
      </w:pPr>
      <w:r>
        <w:rPr>
          <w:rFonts w:hint="eastAsia" w:ascii="Times New Roman" w:hAnsi="Times New Roman" w:eastAsia="仿宋_GB2312" w:cs="方正仿宋_GBK"/>
          <w:b w:val="0"/>
          <w:bCs w:val="0"/>
          <w:szCs w:val="36"/>
          <w:highlight w:val="none"/>
          <w:lang w:eastAsia="zh-CN"/>
        </w:rPr>
        <w:t>深入践行习近平生态文明思想，</w:t>
      </w:r>
      <w:r>
        <w:rPr>
          <w:rFonts w:hint="eastAsia" w:ascii="Times New Roman" w:hAnsi="Times New Roman" w:eastAsia="仿宋_GB2312" w:cs="方正仿宋_GBK"/>
          <w:b w:val="0"/>
          <w:bCs w:val="0"/>
          <w:szCs w:val="36"/>
          <w:highlight w:val="none"/>
          <w:lang w:val="en-US" w:eastAsia="zh-CN"/>
        </w:rPr>
        <w:t>牢固树立和践行绿水青山就是金山银山理念，坚持山水林田湖草沙一体化保护和系统治理，协同推进降碳、减污、扩绿、增长，加快经济社会发展全面绿色转型，</w:t>
      </w:r>
      <w:r>
        <w:rPr>
          <w:rFonts w:hint="eastAsia" w:ascii="Times New Roman" w:hAnsi="Times New Roman" w:eastAsia="仿宋_GB2312" w:cs="方正仿宋_GBK"/>
          <w:b w:val="0"/>
          <w:bCs w:val="0"/>
          <w:color w:val="auto"/>
          <w:szCs w:val="36"/>
          <w:highlight w:val="none"/>
          <w:lang w:val="en-US" w:eastAsia="zh-CN"/>
        </w:rPr>
        <w:t>确保到2030年前如期实现碳达峰目标，</w:t>
      </w:r>
      <w:r>
        <w:rPr>
          <w:rFonts w:hint="eastAsia" w:ascii="Times New Roman" w:hAnsi="Times New Roman" w:eastAsia="仿宋_GB2312" w:cs="方正仿宋_GBK"/>
          <w:b w:val="0"/>
          <w:bCs w:val="0"/>
          <w:szCs w:val="36"/>
          <w:highlight w:val="none"/>
          <w:lang w:val="en-US" w:eastAsia="zh-CN"/>
        </w:rPr>
        <w:t>为筑牢我国北方重要生态安全屏障作出更大贡献。</w:t>
      </w:r>
    </w:p>
    <w:p w14:paraId="44B60552">
      <w:pPr>
        <w:keepNext w:val="0"/>
        <w:keepLines w:val="0"/>
        <w:pageBreakBefore w:val="0"/>
        <w:widowControl/>
        <w:numPr>
          <w:ilvl w:val="0"/>
          <w:numId w:val="4"/>
        </w:numPr>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156" w:name="_Toc3988"/>
      <w:bookmarkStart w:id="157" w:name="_Toc22493"/>
      <w:bookmarkStart w:id="158" w:name="_Toc14984"/>
      <w:bookmarkStart w:id="159" w:name="_Toc864"/>
      <w:bookmarkStart w:id="160" w:name="_Toc3475"/>
      <w:bookmarkStart w:id="161" w:name="_Toc7901"/>
      <w:bookmarkStart w:id="162" w:name="_Toc22504"/>
      <w:bookmarkStart w:id="163" w:name="_Toc23474"/>
      <w:bookmarkStart w:id="164" w:name="_Toc30849"/>
      <w:bookmarkStart w:id="165" w:name="_Toc21112"/>
      <w:bookmarkStart w:id="166" w:name="_Toc22505"/>
      <w:bookmarkStart w:id="167" w:name="_Toc1318"/>
      <w:bookmarkStart w:id="168" w:name="_Toc3052"/>
      <w:bookmarkStart w:id="169" w:name="_Toc9155"/>
      <w:bookmarkStart w:id="170" w:name="_Toc8392"/>
      <w:bookmarkStart w:id="171" w:name="_Toc30174"/>
      <w:bookmarkStart w:id="172" w:name="_Toc22187"/>
      <w:bookmarkStart w:id="173" w:name="_Toc23652"/>
      <w:bookmarkStart w:id="174" w:name="_Toc21458"/>
      <w:bookmarkStart w:id="175" w:name="_Toc1699"/>
      <w:bookmarkStart w:id="176" w:name="_Toc13333"/>
      <w:bookmarkStart w:id="177" w:name="_Toc31735"/>
      <w:bookmarkStart w:id="178" w:name="_Toc25008"/>
      <w:r>
        <w:rPr>
          <w:rFonts w:hint="eastAsia" w:ascii="楷体_GB2312" w:hAnsi="楷体_GB2312" w:eastAsia="楷体_GB2312" w:cs="楷体_GB2312"/>
          <w:b w:val="0"/>
          <w:bCs w:val="0"/>
          <w:color w:val="auto"/>
          <w:sz w:val="32"/>
          <w:szCs w:val="40"/>
          <w:highlight w:val="none"/>
          <w:lang w:val="en-US" w:eastAsia="zh-CN"/>
        </w:rPr>
        <w:t>坚决打赢两大沙地歼灭战</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14:paraId="0AC748B2">
      <w:pPr>
        <w:pStyle w:val="43"/>
        <w:keepNext w:val="0"/>
        <w:keepLines w:val="0"/>
        <w:pageBreakBefore w:val="0"/>
        <w:shd w:val="clear" w:color="auto" w:fill="auto"/>
        <w:kinsoku/>
        <w:wordWrap/>
        <w:topLinePunct w:val="0"/>
        <w:autoSpaceDE/>
        <w:autoSpaceDN/>
        <w:bidi w:val="0"/>
        <w:adjustRightInd/>
        <w:spacing w:line="540" w:lineRule="exact"/>
        <w:ind w:firstLine="0"/>
        <w:jc w:val="both"/>
        <w:textAlignment w:val="auto"/>
        <w:outlineLvl w:val="9"/>
        <w:rPr>
          <w:rFonts w:hint="eastAsia" w:ascii="Times New Roman" w:hAnsi="Times New Roman" w:eastAsia="仿宋_GB2312" w:cs="方正仿宋_GBK"/>
          <w:b w:val="0"/>
          <w:bCs w:val="0"/>
          <w:szCs w:val="36"/>
          <w:highlight w:val="none"/>
          <w:lang w:eastAsia="zh-CN"/>
        </w:rPr>
      </w:pPr>
      <w:bookmarkStart w:id="179" w:name="_Hlk208364206"/>
      <w:r>
        <w:rPr>
          <w:rFonts w:hint="eastAsia" w:ascii="Times New Roman" w:hAnsi="Times New Roman" w:eastAsia="仿宋_GB2312" w:cs="方正仿宋_GBK"/>
          <w:b w:val="0"/>
          <w:bCs w:val="0"/>
          <w:szCs w:val="36"/>
          <w:highlight w:val="none"/>
          <w:lang w:val="en-US" w:eastAsia="zh-CN"/>
        </w:rPr>
        <w:t>坚持</w:t>
      </w:r>
      <w:r>
        <w:rPr>
          <w:rFonts w:hint="eastAsia" w:ascii="Times New Roman" w:hAnsi="Times New Roman" w:eastAsia="仿宋_GB2312" w:cs="方正仿宋_GBK"/>
          <w:b w:val="0"/>
          <w:bCs w:val="0"/>
          <w:szCs w:val="36"/>
          <w:highlight w:val="none"/>
          <w:lang w:eastAsia="zh-CN"/>
        </w:rPr>
        <w:t>“保护优先、重点修复、适度利用”总体思路，紧紧抓住“三北”工程六期实施窗口期，集中力量打好</w:t>
      </w:r>
      <w:r>
        <w:rPr>
          <w:rFonts w:hint="eastAsia" w:ascii="Times New Roman" w:hAnsi="Times New Roman" w:eastAsia="仿宋_GB2312" w:cs="方正仿宋_GBK"/>
          <w:b w:val="0"/>
          <w:bCs w:val="0"/>
          <w:szCs w:val="36"/>
          <w:highlight w:val="none"/>
          <w:lang w:val="en-US" w:eastAsia="zh-CN"/>
        </w:rPr>
        <w:t>打赢</w:t>
      </w:r>
      <w:r>
        <w:rPr>
          <w:rFonts w:hint="eastAsia" w:ascii="Times New Roman" w:hAnsi="Times New Roman" w:eastAsia="仿宋_GB2312" w:cs="方正仿宋_GBK"/>
          <w:b w:val="0"/>
          <w:bCs w:val="0"/>
          <w:szCs w:val="36"/>
          <w:highlight w:val="none"/>
          <w:lang w:eastAsia="zh-CN"/>
        </w:rPr>
        <w:t>科尔沁沙地和浑善达克沙地歼灭战，</w:t>
      </w:r>
      <w:r>
        <w:rPr>
          <w:rFonts w:hint="eastAsia" w:ascii="Times New Roman" w:hAnsi="Times New Roman" w:eastAsia="仿宋_GB2312" w:cs="方正仿宋_GBK"/>
          <w:b w:val="0"/>
          <w:bCs w:val="0"/>
          <w:szCs w:val="36"/>
          <w:highlight w:val="none"/>
          <w:lang w:val="en-US" w:eastAsia="zh-CN"/>
        </w:rPr>
        <w:t>到2030年，</w:t>
      </w:r>
      <w:r>
        <w:rPr>
          <w:rFonts w:hint="eastAsia" w:ascii="Times New Roman" w:hAnsi="Times New Roman" w:eastAsia="仿宋_GB2312" w:cs="方正仿宋_GBK"/>
          <w:b w:val="0"/>
          <w:bCs w:val="0"/>
          <w:szCs w:val="36"/>
          <w:highlight w:val="none"/>
          <w:lang w:eastAsia="zh-CN"/>
        </w:rPr>
        <w:t>沙化土地得到有效治理，全国防沙治沙综合示范区建设取得重大成果。</w:t>
      </w:r>
    </w:p>
    <w:p w14:paraId="28E0542C">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szCs w:val="36"/>
          <w:highlight w:val="none"/>
          <w:lang w:val="en-US" w:eastAsia="zh-CN"/>
        </w:rPr>
      </w:pPr>
      <w:bookmarkStart w:id="180" w:name="_Toc14979"/>
      <w:r>
        <w:rPr>
          <w:rFonts w:hint="eastAsia" w:ascii="Times New Roman" w:hAnsi="Times New Roman" w:eastAsia="仿宋_GB2312" w:cs="方正仿宋_GBK"/>
          <w:b w:val="0"/>
          <w:bCs w:val="0"/>
          <w:color w:val="auto"/>
          <w:sz w:val="32"/>
          <w:szCs w:val="32"/>
          <w:highlight w:val="none"/>
        </w:rPr>
        <w:t>科学推进防沙治沙</w:t>
      </w:r>
      <w:bookmarkEnd w:id="179"/>
      <w:bookmarkEnd w:id="180"/>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szCs w:val="36"/>
          <w:highlight w:val="none"/>
          <w:lang w:val="en-US" w:eastAsia="zh-CN"/>
        </w:rPr>
        <w:t>坚持</w:t>
      </w:r>
      <w:r>
        <w:rPr>
          <w:rFonts w:hint="eastAsia" w:ascii="Times New Roman" w:hAnsi="Times New Roman" w:eastAsia="仿宋_GB2312" w:cs="方正仿宋_GBK"/>
          <w:b w:val="0"/>
          <w:bCs w:val="0"/>
          <w:szCs w:val="36"/>
          <w:highlight w:val="none"/>
          <w:lang w:eastAsia="zh-CN"/>
        </w:rPr>
        <w:t>系统治理、源头治理、综合治理相协同，综合治沙、科学治沙、依法治沙相结合，</w:t>
      </w:r>
      <w:r>
        <w:rPr>
          <w:rFonts w:hint="eastAsia" w:ascii="Times New Roman" w:hAnsi="Times New Roman" w:eastAsia="仿宋_GB2312" w:cs="方正仿宋_GBK"/>
          <w:b w:val="0"/>
          <w:bCs w:val="0"/>
          <w:szCs w:val="36"/>
          <w:highlight w:val="none"/>
          <w:lang w:val="en-US" w:eastAsia="zh-CN"/>
        </w:rPr>
        <w:t>重点</w:t>
      </w:r>
      <w:r>
        <w:rPr>
          <w:rFonts w:hint="eastAsia" w:ascii="Times New Roman" w:hAnsi="Times New Roman" w:eastAsia="仿宋_GB2312" w:cs="方正仿宋_GBK"/>
          <w:b w:val="0"/>
          <w:bCs w:val="0"/>
          <w:szCs w:val="36"/>
          <w:highlight w:val="none"/>
          <w:lang w:eastAsia="zh-CN"/>
        </w:rPr>
        <w:t>针对流动沙地、半固定沙地系统实施综合治理，提升林草植被盖度，从源头遏制风沙危害。</w:t>
      </w:r>
      <w:r>
        <w:rPr>
          <w:rFonts w:hint="eastAsia" w:eastAsia="仿宋_GB2312" w:cs="方正仿宋_GBK"/>
          <w:b w:val="0"/>
          <w:bCs w:val="0"/>
          <w:szCs w:val="36"/>
          <w:highlight w:val="none"/>
          <w:lang w:val="en-US" w:eastAsia="zh-CN"/>
        </w:rPr>
        <w:t>鼓励</w:t>
      </w:r>
      <w:r>
        <w:rPr>
          <w:rFonts w:hint="eastAsia" w:ascii="Times New Roman" w:hAnsi="Times New Roman" w:eastAsia="仿宋_GB2312" w:cs="方正仿宋_GBK"/>
          <w:b w:val="0"/>
          <w:bCs w:val="0"/>
          <w:szCs w:val="36"/>
          <w:highlight w:val="none"/>
          <w:lang w:eastAsia="zh-CN"/>
        </w:rPr>
        <w:t>推广</w:t>
      </w:r>
      <w:r>
        <w:rPr>
          <w:rFonts w:hint="eastAsia" w:eastAsia="仿宋_GB2312" w:cs="方正仿宋_GBK"/>
          <w:b w:val="0"/>
          <w:bCs w:val="0"/>
          <w:szCs w:val="36"/>
          <w:highlight w:val="none"/>
          <w:lang w:val="en-US" w:eastAsia="zh-CN"/>
        </w:rPr>
        <w:t>应用</w:t>
      </w:r>
      <w:r>
        <w:rPr>
          <w:rFonts w:hint="eastAsia" w:ascii="Times New Roman" w:hAnsi="Times New Roman" w:eastAsia="仿宋_GB2312" w:cs="方正仿宋_GBK"/>
          <w:b w:val="0"/>
          <w:bCs w:val="0"/>
          <w:szCs w:val="36"/>
          <w:highlight w:val="none"/>
          <w:lang w:eastAsia="zh-CN"/>
        </w:rPr>
        <w:t>林草先进机械和先进技术，加强与科研院所、企业建立产学研合作，深入开展沙地治理技术研究，搭建区域治沙技术创新平台，促进沙地治理技术创新升级。创新防沙治沙先进治理模式，积极推广“以路治沙”</w:t>
      </w:r>
      <w:r>
        <w:rPr>
          <w:rFonts w:hint="eastAsia" w:ascii="Times New Roman" w:hAnsi="Times New Roman" w:eastAsia="仿宋_GB2312" w:cs="方正仿宋_GBK"/>
          <w:b w:val="0"/>
          <w:bCs w:val="0"/>
          <w:szCs w:val="36"/>
          <w:highlight w:val="none"/>
          <w:lang w:val="en-US" w:eastAsia="zh-CN"/>
        </w:rPr>
        <w:t>等</w:t>
      </w:r>
      <w:r>
        <w:rPr>
          <w:rFonts w:hint="eastAsia" w:ascii="Times New Roman" w:hAnsi="Times New Roman" w:eastAsia="仿宋_GB2312" w:cs="方正仿宋_GBK"/>
          <w:b w:val="0"/>
          <w:bCs w:val="0"/>
          <w:szCs w:val="36"/>
          <w:highlight w:val="none"/>
          <w:lang w:eastAsia="zh-CN"/>
        </w:rPr>
        <w:t>模式，</w:t>
      </w:r>
      <w:r>
        <w:rPr>
          <w:rFonts w:hint="eastAsia" w:ascii="Times New Roman" w:hAnsi="Times New Roman" w:eastAsia="仿宋_GB2312" w:cs="方正仿宋_GBK"/>
          <w:b w:val="0"/>
          <w:bCs w:val="0"/>
          <w:szCs w:val="36"/>
          <w:highlight w:val="none"/>
          <w:lang w:val="en-US" w:eastAsia="zh-CN"/>
        </w:rPr>
        <w:t>实现</w:t>
      </w:r>
      <w:r>
        <w:rPr>
          <w:rFonts w:hint="eastAsia" w:ascii="Times New Roman" w:hAnsi="Times New Roman" w:eastAsia="仿宋_GB2312" w:cs="方正仿宋_GBK"/>
          <w:b w:val="0"/>
          <w:bCs w:val="0"/>
          <w:szCs w:val="36"/>
          <w:highlight w:val="none"/>
          <w:lang w:eastAsia="zh-CN"/>
        </w:rPr>
        <w:t>修路、治沙一体推进</w:t>
      </w:r>
      <w:r>
        <w:rPr>
          <w:rFonts w:hint="eastAsia" w:ascii="Times New Roman" w:hAnsi="Times New Roman" w:eastAsia="仿宋_GB2312" w:cs="方正仿宋_GBK"/>
          <w:b w:val="0"/>
          <w:bCs w:val="0"/>
          <w:szCs w:val="36"/>
          <w:highlight w:val="none"/>
          <w:lang w:val="en-US" w:eastAsia="zh-CN"/>
        </w:rPr>
        <w:t>。到2030年，完成防沙治沙和林草质量巩固提升</w:t>
      </w:r>
      <w:r>
        <w:rPr>
          <w:rFonts w:hint="eastAsia" w:eastAsia="仿宋_GB2312" w:cs="方正仿宋_GBK"/>
          <w:b w:val="0"/>
          <w:bCs w:val="0"/>
          <w:szCs w:val="36"/>
          <w:highlight w:val="none"/>
          <w:lang w:val="en-US" w:eastAsia="zh-CN"/>
        </w:rPr>
        <w:t>600</w:t>
      </w:r>
      <w:r>
        <w:rPr>
          <w:rFonts w:hint="eastAsia" w:ascii="Times New Roman" w:hAnsi="Times New Roman" w:eastAsia="仿宋_GB2312" w:cs="方正仿宋_GBK"/>
          <w:b w:val="0"/>
          <w:bCs w:val="0"/>
          <w:szCs w:val="36"/>
          <w:highlight w:val="none"/>
          <w:lang w:val="en-US" w:eastAsia="zh-CN"/>
        </w:rPr>
        <w:t>万亩以上。</w:t>
      </w:r>
    </w:p>
    <w:p w14:paraId="5D677A45">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default" w:ascii="Times New Roman" w:hAnsi="Times New Roman" w:eastAsia="仿宋_GB2312" w:cs="方正仿宋_GBK"/>
          <w:b w:val="0"/>
          <w:bCs w:val="0"/>
          <w:szCs w:val="36"/>
          <w:highlight w:val="none"/>
          <w:lang w:val="en-US" w:eastAsia="zh-CN"/>
        </w:rPr>
      </w:pPr>
      <w:bookmarkStart w:id="181" w:name="_Toc28974"/>
      <w:r>
        <w:rPr>
          <w:rFonts w:hint="eastAsia" w:ascii="Times New Roman" w:hAnsi="Times New Roman" w:eastAsia="仿宋_GB2312" w:cs="方正仿宋_GBK"/>
          <w:b w:val="0"/>
          <w:bCs w:val="0"/>
          <w:color w:val="auto"/>
          <w:szCs w:val="32"/>
          <w:highlight w:val="none"/>
          <w:lang w:val="en-US" w:eastAsia="zh-CN"/>
        </w:rPr>
        <w:t>全力推进重点工程</w:t>
      </w:r>
      <w:bookmarkEnd w:id="181"/>
      <w:r>
        <w:rPr>
          <w:rFonts w:hint="eastAsia" w:eastAsia="仿宋_GB2312" w:cs="方正仿宋_GBK"/>
          <w:b w:val="0"/>
          <w:bCs w:val="0"/>
          <w:color w:val="auto"/>
          <w:szCs w:val="32"/>
          <w:highlight w:val="none"/>
          <w:lang w:val="en-US" w:eastAsia="zh-CN"/>
        </w:rPr>
        <w:t>。</w:t>
      </w:r>
      <w:r>
        <w:rPr>
          <w:rFonts w:hint="eastAsia" w:ascii="Times New Roman" w:hAnsi="Times New Roman" w:eastAsia="仿宋_GB2312" w:cs="方正仿宋_GBK"/>
          <w:b w:val="0"/>
          <w:bCs w:val="0"/>
          <w:szCs w:val="36"/>
          <w:highlight w:val="none"/>
          <w:lang w:val="en-US" w:eastAsia="zh-CN"/>
        </w:rPr>
        <w:t>聚焦重点治理区域，以“三北”六期工程、防沙治沙和风电光伏一体化等重点工程为抓手，高质量推进重点林草生态工程等重点项目，</w:t>
      </w:r>
      <w:r>
        <w:rPr>
          <w:rFonts w:hint="eastAsia" w:eastAsia="仿宋_GB2312" w:cs="方正仿宋_GBK"/>
          <w:b w:val="0"/>
          <w:bCs w:val="0"/>
          <w:szCs w:val="36"/>
          <w:highlight w:val="none"/>
          <w:lang w:val="en-US" w:eastAsia="zh-CN"/>
        </w:rPr>
        <w:t>采取</w:t>
      </w:r>
      <w:r>
        <w:rPr>
          <w:rFonts w:hint="eastAsia" w:ascii="Times New Roman" w:hAnsi="Times New Roman" w:eastAsia="仿宋_GB2312" w:cs="方正仿宋_GBK"/>
          <w:b w:val="0"/>
          <w:bCs w:val="0"/>
          <w:szCs w:val="36"/>
          <w:highlight w:val="none"/>
          <w:lang w:val="en-US" w:eastAsia="zh-CN"/>
        </w:rPr>
        <w:t>人工造林、</w:t>
      </w:r>
      <w:r>
        <w:rPr>
          <w:rFonts w:hint="eastAsia" w:eastAsia="仿宋_GB2312" w:cs="方正仿宋_GBK"/>
          <w:b w:val="0"/>
          <w:bCs w:val="0"/>
          <w:szCs w:val="36"/>
          <w:highlight w:val="none"/>
          <w:lang w:val="en-US" w:eastAsia="zh-CN"/>
        </w:rPr>
        <w:t>补植补造</w:t>
      </w:r>
      <w:r>
        <w:rPr>
          <w:rFonts w:hint="eastAsia" w:ascii="Times New Roman" w:hAnsi="Times New Roman" w:eastAsia="仿宋_GB2312" w:cs="方正仿宋_GBK"/>
          <w:b w:val="0"/>
          <w:bCs w:val="0"/>
          <w:szCs w:val="36"/>
          <w:highlight w:val="none"/>
          <w:lang w:val="en-US" w:eastAsia="zh-CN"/>
        </w:rPr>
        <w:t>、人工种草等恢复林草植被，</w:t>
      </w:r>
      <w:r>
        <w:rPr>
          <w:rFonts w:hint="eastAsia" w:eastAsia="仿宋_GB2312" w:cs="方正仿宋_GBK"/>
          <w:b w:val="0"/>
          <w:bCs w:val="0"/>
          <w:szCs w:val="36"/>
          <w:highlight w:val="none"/>
          <w:lang w:val="en-US" w:eastAsia="zh-CN"/>
        </w:rPr>
        <w:t>采取</w:t>
      </w:r>
      <w:r>
        <w:rPr>
          <w:rFonts w:hint="eastAsia" w:ascii="Times New Roman" w:hAnsi="Times New Roman" w:eastAsia="仿宋_GB2312" w:cs="方正仿宋_GBK"/>
          <w:b w:val="0"/>
          <w:bCs w:val="0"/>
          <w:szCs w:val="36"/>
          <w:highlight w:val="none"/>
          <w:lang w:val="en-US" w:eastAsia="zh-CN"/>
        </w:rPr>
        <w:t>综合修复、补植补造、中幼林抚育和</w:t>
      </w:r>
      <w:r>
        <w:rPr>
          <w:rFonts w:hint="eastAsia" w:eastAsia="仿宋_GB2312" w:cs="方正仿宋_GBK"/>
          <w:b w:val="0"/>
          <w:bCs w:val="0"/>
          <w:szCs w:val="36"/>
          <w:highlight w:val="none"/>
          <w:lang w:val="en-US" w:eastAsia="zh-CN"/>
        </w:rPr>
        <w:t>退化草原修复</w:t>
      </w:r>
      <w:r>
        <w:rPr>
          <w:rFonts w:hint="eastAsia" w:ascii="Times New Roman" w:hAnsi="Times New Roman" w:eastAsia="仿宋_GB2312" w:cs="方正仿宋_GBK"/>
          <w:b w:val="0"/>
          <w:bCs w:val="0"/>
          <w:szCs w:val="36"/>
          <w:highlight w:val="none"/>
          <w:lang w:val="en-US" w:eastAsia="zh-CN"/>
        </w:rPr>
        <w:t>等措施恢复森林草原生态系统功能</w:t>
      </w:r>
      <w:r>
        <w:rPr>
          <w:rFonts w:hint="default" w:ascii="Times New Roman" w:hAnsi="Times New Roman" w:eastAsia="仿宋_GB2312" w:cs="方正仿宋_GBK"/>
          <w:b w:val="0"/>
          <w:bCs w:val="0"/>
          <w:szCs w:val="36"/>
          <w:highlight w:val="none"/>
          <w:lang w:val="en-US" w:eastAsia="zh-CN"/>
        </w:rPr>
        <w:t>。</w:t>
      </w:r>
      <w:r>
        <w:rPr>
          <w:rFonts w:hint="eastAsia" w:ascii="Times New Roman" w:hAnsi="Times New Roman" w:eastAsia="仿宋_GB2312" w:cs="方正仿宋_GBK"/>
          <w:b w:val="0"/>
          <w:bCs w:val="0"/>
          <w:szCs w:val="36"/>
          <w:highlight w:val="none"/>
          <w:lang w:eastAsia="zh-CN"/>
        </w:rPr>
        <w:t>推进非沙化区域国土绿化，结合水资源承载力，实施人工造林</w:t>
      </w:r>
      <w:r>
        <w:rPr>
          <w:rFonts w:hint="eastAsia" w:ascii="Times New Roman" w:hAnsi="Times New Roman" w:eastAsia="仿宋_GB2312" w:cs="方正仿宋_GBK"/>
          <w:b w:val="0"/>
          <w:bCs w:val="0"/>
          <w:szCs w:val="36"/>
          <w:highlight w:val="none"/>
          <w:lang w:val="en-US" w:eastAsia="zh-CN"/>
        </w:rPr>
        <w:t>种草</w:t>
      </w:r>
      <w:r>
        <w:rPr>
          <w:rFonts w:hint="eastAsia" w:ascii="Times New Roman" w:hAnsi="Times New Roman" w:eastAsia="仿宋_GB2312" w:cs="方正仿宋_GBK"/>
          <w:b w:val="0"/>
          <w:bCs w:val="0"/>
          <w:szCs w:val="36"/>
          <w:highlight w:val="none"/>
          <w:lang w:eastAsia="zh-CN"/>
        </w:rPr>
        <w:t>、封育修复、</w:t>
      </w:r>
      <w:r>
        <w:rPr>
          <w:rFonts w:hint="eastAsia" w:ascii="Times New Roman" w:hAnsi="Times New Roman" w:eastAsia="仿宋_GB2312" w:cs="方正仿宋_GBK"/>
          <w:b w:val="0"/>
          <w:bCs w:val="0"/>
          <w:szCs w:val="36"/>
          <w:highlight w:val="none"/>
          <w:lang w:val="en-US" w:eastAsia="zh-CN"/>
        </w:rPr>
        <w:t>退化林分改造</w:t>
      </w:r>
      <w:r>
        <w:rPr>
          <w:rFonts w:hint="eastAsia" w:ascii="Times New Roman" w:hAnsi="Times New Roman" w:eastAsia="仿宋_GB2312" w:cs="方正仿宋_GBK"/>
          <w:b w:val="0"/>
          <w:bCs w:val="0"/>
          <w:szCs w:val="36"/>
          <w:highlight w:val="none"/>
          <w:lang w:eastAsia="zh-CN"/>
        </w:rPr>
        <w:t>等</w:t>
      </w:r>
      <w:r>
        <w:rPr>
          <w:rFonts w:hint="eastAsia" w:eastAsia="仿宋_GB2312" w:cs="方正仿宋_GBK"/>
          <w:b w:val="0"/>
          <w:bCs w:val="0"/>
          <w:szCs w:val="36"/>
          <w:highlight w:val="none"/>
          <w:lang w:val="en-US" w:eastAsia="zh-CN"/>
        </w:rPr>
        <w:t>工程</w:t>
      </w:r>
      <w:r>
        <w:rPr>
          <w:rFonts w:hint="eastAsia" w:ascii="Times New Roman" w:hAnsi="Times New Roman" w:eastAsia="仿宋_GB2312" w:cs="方正仿宋_GBK"/>
          <w:b w:val="0"/>
          <w:bCs w:val="0"/>
          <w:szCs w:val="36"/>
          <w:highlight w:val="none"/>
          <w:lang w:eastAsia="zh-CN"/>
        </w:rPr>
        <w:t>，增强水源涵养与水土保持功能</w:t>
      </w:r>
      <w:r>
        <w:rPr>
          <w:rFonts w:hint="eastAsia" w:eastAsia="仿宋_GB2312" w:cs="方正仿宋_GBK"/>
          <w:b w:val="0"/>
          <w:bCs w:val="0"/>
          <w:szCs w:val="36"/>
          <w:highlight w:val="none"/>
          <w:lang w:eastAsia="zh-CN"/>
        </w:rPr>
        <w:t>，</w:t>
      </w:r>
      <w:r>
        <w:rPr>
          <w:rFonts w:hint="eastAsia" w:eastAsia="仿宋_GB2312" w:cs="方正仿宋_GBK"/>
          <w:b w:val="0"/>
          <w:bCs w:val="0"/>
          <w:szCs w:val="36"/>
          <w:highlight w:val="none"/>
          <w:lang w:val="en" w:eastAsia="zh-CN"/>
        </w:rPr>
        <w:t>探索将人工影响天气等手段科学融入生态修复实践，提高重点工程实施成效。</w:t>
      </w:r>
    </w:p>
    <w:p w14:paraId="51DF8F93">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szCs w:val="36"/>
          <w:highlight w:val="none"/>
          <w:lang w:eastAsia="zh-CN"/>
        </w:rPr>
      </w:pPr>
      <w:bookmarkStart w:id="182" w:name="_Toc2628"/>
      <w:r>
        <w:rPr>
          <w:rFonts w:hint="eastAsia" w:ascii="Times New Roman" w:hAnsi="Times New Roman" w:eastAsia="仿宋_GB2312" w:cs="方正仿宋_GBK"/>
          <w:b w:val="0"/>
          <w:bCs w:val="0"/>
          <w:color w:val="auto"/>
          <w:szCs w:val="32"/>
          <w:highlight w:val="none"/>
          <w:lang w:val="en-US" w:eastAsia="zh-CN"/>
        </w:rPr>
        <w:t>持续巩固治理成果</w:t>
      </w:r>
      <w:bookmarkEnd w:id="182"/>
      <w:r>
        <w:rPr>
          <w:rFonts w:hint="eastAsia" w:eastAsia="仿宋_GB2312" w:cs="方正仿宋_GBK"/>
          <w:b w:val="0"/>
          <w:bCs w:val="0"/>
          <w:color w:val="auto"/>
          <w:szCs w:val="32"/>
          <w:highlight w:val="none"/>
          <w:lang w:val="en-US" w:eastAsia="zh-CN"/>
        </w:rPr>
        <w:t>。</w:t>
      </w:r>
      <w:r>
        <w:rPr>
          <w:rFonts w:hint="eastAsia" w:ascii="Times New Roman" w:hAnsi="Times New Roman" w:eastAsia="仿宋_GB2312" w:cs="方正仿宋_GBK"/>
          <w:b w:val="0"/>
          <w:bCs w:val="0"/>
          <w:szCs w:val="36"/>
          <w:highlight w:val="none"/>
          <w:lang w:val="en-US" w:eastAsia="zh-CN"/>
        </w:rPr>
        <w:t>统筹做好防治管护，巩固扩大沙地治理成果。</w:t>
      </w:r>
      <w:r>
        <w:rPr>
          <w:rFonts w:hint="eastAsia" w:ascii="Times New Roman" w:hAnsi="Times New Roman" w:eastAsia="仿宋_GB2312" w:cs="方正仿宋_GBK"/>
          <w:b w:val="0"/>
          <w:bCs w:val="0"/>
          <w:szCs w:val="36"/>
          <w:highlight w:val="none"/>
          <w:lang w:eastAsia="zh-CN"/>
        </w:rPr>
        <w:t>鼓励支持社会各界参与防沙治沙，将防沙治沙同农村牧区“三变”改革和“三位一体”综合合作</w:t>
      </w:r>
      <w:r>
        <w:rPr>
          <w:rFonts w:hint="eastAsia" w:ascii="Times New Roman" w:hAnsi="Times New Roman" w:eastAsia="仿宋_GB2312" w:cs="方正仿宋_GBK"/>
          <w:b w:val="0"/>
          <w:bCs w:val="0"/>
          <w:szCs w:val="36"/>
          <w:highlight w:val="none"/>
          <w:lang w:val="en-US" w:eastAsia="zh-CN"/>
        </w:rPr>
        <w:t>相</w:t>
      </w:r>
      <w:r>
        <w:rPr>
          <w:rFonts w:hint="eastAsia" w:ascii="Times New Roman" w:hAnsi="Times New Roman" w:eastAsia="仿宋_GB2312" w:cs="方正仿宋_GBK"/>
          <w:b w:val="0"/>
          <w:bCs w:val="0"/>
          <w:szCs w:val="36"/>
          <w:highlight w:val="none"/>
          <w:lang w:eastAsia="zh-CN"/>
        </w:rPr>
        <w:t>结合，持续加大“以工代赈”实施力度，推广先建后补等多种组织形式，鼓励群众积极参与防沙治沙工作</w:t>
      </w:r>
      <w:r>
        <w:rPr>
          <w:rFonts w:hint="eastAsia" w:eastAsia="仿宋_GB2312" w:cs="方正仿宋_GBK"/>
          <w:b w:val="0"/>
          <w:bCs w:val="0"/>
          <w:szCs w:val="36"/>
          <w:highlight w:val="none"/>
          <w:lang w:eastAsia="zh-CN"/>
        </w:rPr>
        <w:t>。</w:t>
      </w:r>
      <w:r>
        <w:rPr>
          <w:rFonts w:hint="eastAsia" w:eastAsia="仿宋_GB2312" w:cs="方正仿宋_GBK"/>
          <w:b w:val="0"/>
          <w:bCs w:val="0"/>
          <w:szCs w:val="36"/>
          <w:highlight w:val="none"/>
          <w:lang w:val="en-US" w:eastAsia="zh-CN"/>
        </w:rPr>
        <w:t>支持企业</w:t>
      </w:r>
      <w:r>
        <w:rPr>
          <w:rFonts w:hint="eastAsia" w:ascii="Times New Roman" w:hAnsi="Times New Roman" w:eastAsia="仿宋_GB2312" w:cs="方正仿宋_GBK"/>
          <w:b w:val="0"/>
          <w:bCs w:val="0"/>
          <w:szCs w:val="36"/>
          <w:highlight w:val="none"/>
          <w:lang w:eastAsia="zh-CN"/>
        </w:rPr>
        <w:t>参与防沙治沙、积极争取公益造林等项目，</w:t>
      </w:r>
      <w:r>
        <w:rPr>
          <w:rFonts w:hint="eastAsia" w:eastAsia="仿宋_GB2312" w:cs="方正仿宋_GBK"/>
          <w:b w:val="0"/>
          <w:bCs w:val="0"/>
          <w:szCs w:val="36"/>
          <w:highlight w:val="none"/>
          <w:lang w:val="en-US" w:eastAsia="zh-CN"/>
        </w:rPr>
        <w:t>引导</w:t>
      </w:r>
      <w:r>
        <w:rPr>
          <w:rFonts w:hint="eastAsia" w:ascii="Times New Roman" w:hAnsi="Times New Roman" w:eastAsia="仿宋_GB2312" w:cs="方正仿宋_GBK"/>
          <w:b w:val="0"/>
          <w:bCs w:val="0"/>
          <w:szCs w:val="36"/>
          <w:highlight w:val="none"/>
          <w:lang w:eastAsia="zh-CN"/>
        </w:rPr>
        <w:t>社会资本深度参与防沙治沙。全面开展林草生态建设管护，</w:t>
      </w:r>
      <w:r>
        <w:rPr>
          <w:rFonts w:hint="eastAsia" w:ascii="Times New Roman" w:hAnsi="Times New Roman" w:eastAsia="仿宋_GB2312" w:cs="方正仿宋_GBK"/>
          <w:b w:val="0"/>
          <w:bCs w:val="0"/>
          <w:szCs w:val="36"/>
          <w:highlight w:val="none"/>
          <w:lang w:val="en-US" w:eastAsia="zh-CN"/>
        </w:rPr>
        <w:t>加强</w:t>
      </w:r>
      <w:r>
        <w:rPr>
          <w:rFonts w:hint="eastAsia" w:ascii="Times New Roman" w:hAnsi="Times New Roman" w:eastAsia="仿宋_GB2312" w:cs="方正仿宋_GBK"/>
          <w:b w:val="0"/>
          <w:bCs w:val="0"/>
          <w:szCs w:val="36"/>
          <w:highlight w:val="none"/>
          <w:lang w:eastAsia="zh-CN"/>
        </w:rPr>
        <w:t>治理区域巡查监管。强化防火、防病虫害工作，提高应急能力和防控水平。落实草畜平衡和禁牧休牧制度，合理划定禁牧区、草畜平衡区，科学调整休牧期和适宜载畜量。</w:t>
      </w:r>
    </w:p>
    <w:p w14:paraId="6E9F8922">
      <w:pPr>
        <w:keepNext w:val="0"/>
        <w:keepLines w:val="0"/>
        <w:pageBreakBefore w:val="0"/>
        <w:widowControl/>
        <w:numPr>
          <w:ilvl w:val="0"/>
          <w:numId w:val="4"/>
        </w:numPr>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183" w:name="_Toc5554"/>
      <w:bookmarkStart w:id="184" w:name="_Toc219"/>
      <w:bookmarkStart w:id="185" w:name="_Toc15241"/>
      <w:bookmarkStart w:id="186" w:name="_Toc17603"/>
      <w:bookmarkStart w:id="187" w:name="_Toc21730"/>
      <w:bookmarkStart w:id="188" w:name="_Toc3202"/>
      <w:bookmarkStart w:id="189" w:name="_Toc31623"/>
      <w:bookmarkStart w:id="190" w:name="_Toc18143"/>
      <w:bookmarkStart w:id="191" w:name="_Toc530"/>
      <w:bookmarkStart w:id="192" w:name="_Toc11824"/>
      <w:bookmarkStart w:id="193" w:name="_Toc18014"/>
      <w:bookmarkStart w:id="194" w:name="_Toc29164"/>
      <w:bookmarkStart w:id="195" w:name="_Toc16112"/>
      <w:bookmarkStart w:id="196" w:name="_Toc29284"/>
      <w:bookmarkStart w:id="197" w:name="_Toc18336"/>
      <w:bookmarkStart w:id="198" w:name="_Toc27803"/>
      <w:bookmarkStart w:id="199" w:name="_Toc277"/>
      <w:bookmarkStart w:id="200" w:name="_Toc21346"/>
      <w:bookmarkStart w:id="201" w:name="_Toc16680"/>
      <w:bookmarkStart w:id="202" w:name="_Toc22943"/>
      <w:r>
        <w:rPr>
          <w:rFonts w:hint="eastAsia" w:ascii="楷体_GB2312" w:hAnsi="楷体_GB2312" w:eastAsia="楷体_GB2312" w:cs="楷体_GB2312"/>
          <w:b w:val="0"/>
          <w:bCs w:val="0"/>
          <w:color w:val="auto"/>
          <w:sz w:val="32"/>
          <w:szCs w:val="40"/>
          <w:highlight w:val="none"/>
          <w:lang w:val="en-US" w:eastAsia="zh-CN"/>
        </w:rPr>
        <w:t>全力打好污染防治攻坚战</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14:paraId="1F941AE1">
      <w:pPr>
        <w:pStyle w:val="43"/>
        <w:keepNext w:val="0"/>
        <w:keepLines w:val="0"/>
        <w:pageBreakBefore w:val="0"/>
        <w:shd w:val="clear" w:color="auto" w:fill="auto"/>
        <w:kinsoku/>
        <w:wordWrap/>
        <w:topLinePunct w:val="0"/>
        <w:autoSpaceDE/>
        <w:autoSpaceDN/>
        <w:bidi w:val="0"/>
        <w:adjustRightInd/>
        <w:spacing w:line="540" w:lineRule="exact"/>
        <w:ind w:firstLine="0"/>
        <w:jc w:val="both"/>
        <w:textAlignment w:val="auto"/>
        <w:outlineLvl w:val="9"/>
        <w:rPr>
          <w:rFonts w:hint="default" w:ascii="Times New Roman" w:hAnsi="Times New Roman" w:eastAsia="仿宋_GB2312" w:cs="方正仿宋_GBK"/>
          <w:b w:val="0"/>
          <w:bCs w:val="0"/>
          <w:szCs w:val="36"/>
          <w:highlight w:val="none"/>
          <w:lang w:val="en-US" w:eastAsia="zh-CN"/>
        </w:rPr>
      </w:pPr>
      <w:r>
        <w:rPr>
          <w:rFonts w:hint="eastAsia" w:ascii="Times New Roman" w:hAnsi="Times New Roman" w:eastAsia="仿宋_GB2312" w:cs="方正仿宋_GBK"/>
          <w:b w:val="0"/>
          <w:bCs w:val="0"/>
          <w:szCs w:val="36"/>
          <w:highlight w:val="none"/>
          <w:lang w:eastAsia="zh-CN"/>
        </w:rPr>
        <w:t>坚决贯彻精准、科学、依法治污方针，更加注重源头治理，</w:t>
      </w:r>
      <w:r>
        <w:rPr>
          <w:rFonts w:hint="eastAsia" w:eastAsia="仿宋_GB2312" w:cs="方正仿宋_GBK"/>
          <w:b w:val="0"/>
          <w:bCs w:val="0"/>
          <w:szCs w:val="36"/>
          <w:highlight w:val="none"/>
          <w:lang w:val="en-US" w:eastAsia="zh-CN"/>
        </w:rPr>
        <w:t>实施</w:t>
      </w:r>
      <w:r>
        <w:rPr>
          <w:rFonts w:hint="eastAsia" w:ascii="Times New Roman" w:hAnsi="Times New Roman" w:eastAsia="仿宋_GB2312" w:cs="方正仿宋_GBK"/>
          <w:b w:val="0"/>
          <w:bCs w:val="0"/>
          <w:szCs w:val="36"/>
          <w:highlight w:val="none"/>
          <w:lang w:eastAsia="zh-CN"/>
        </w:rPr>
        <w:t>蓝天、碧水、净土保卫行动，全面改善大气、水体和土壤环境，强化污染风险管控，健全现代环境治理体系，</w:t>
      </w:r>
      <w:r>
        <w:rPr>
          <w:rFonts w:hint="eastAsia" w:ascii="Times New Roman" w:hAnsi="Times New Roman" w:eastAsia="仿宋_GB2312" w:cs="方正仿宋_GBK"/>
          <w:b w:val="0"/>
          <w:bCs w:val="0"/>
          <w:szCs w:val="36"/>
          <w:highlight w:val="none"/>
          <w:lang w:val="en-US" w:eastAsia="zh-CN"/>
        </w:rPr>
        <w:t>推动天蓝水清土净的美丽赤峰建设取得明显成效</w:t>
      </w:r>
      <w:r>
        <w:rPr>
          <w:rFonts w:hint="eastAsia" w:ascii="Times New Roman" w:hAnsi="Times New Roman" w:eastAsia="仿宋_GB2312" w:cs="方正仿宋_GBK"/>
          <w:b w:val="0"/>
          <w:bCs w:val="0"/>
          <w:szCs w:val="36"/>
          <w:highlight w:val="none"/>
          <w:lang w:eastAsia="zh-CN"/>
        </w:rPr>
        <w:t>。</w:t>
      </w:r>
    </w:p>
    <w:p w14:paraId="6012D2DF">
      <w:pPr>
        <w:pStyle w:val="43"/>
        <w:keepNext w:val="0"/>
        <w:keepLines w:val="0"/>
        <w:pageBreakBefore w:val="0"/>
        <w:shd w:val="clear" w:color="auto" w:fill="auto"/>
        <w:kinsoku/>
        <w:wordWrap/>
        <w:topLinePunct w:val="0"/>
        <w:autoSpaceDE/>
        <w:autoSpaceDN/>
        <w:bidi w:val="0"/>
        <w:adjustRightInd/>
        <w:spacing w:before="0" w:beforeLines="-2147483648" w:after="0" w:afterLines="-2147483648" w:line="540" w:lineRule="exact"/>
        <w:ind w:firstLine="643"/>
        <w:jc w:val="both"/>
        <w:textAlignment w:val="auto"/>
        <w:outlineLvl w:val="3"/>
        <w:rPr>
          <w:rFonts w:hint="eastAsia" w:ascii="Times New Roman" w:hAnsi="Times New Roman" w:eastAsia="仿宋_GB2312" w:cs="方正仿宋_GBK"/>
          <w:b w:val="0"/>
          <w:bCs w:val="0"/>
          <w:szCs w:val="36"/>
          <w:highlight w:val="none"/>
          <w:lang w:val="en-US" w:eastAsia="zh-CN"/>
        </w:rPr>
      </w:pPr>
      <w:r>
        <w:rPr>
          <w:rFonts w:hint="eastAsia" w:eastAsia="仿宋_GB2312" w:cs="方正仿宋_GBK"/>
          <w:b w:val="0"/>
          <w:bCs w:val="0"/>
          <w:color w:val="auto"/>
          <w:sz w:val="32"/>
          <w:szCs w:val="32"/>
          <w:highlight w:val="none"/>
          <w:lang w:val="en-US" w:eastAsia="zh-CN"/>
        </w:rPr>
        <w:t>深入推进蓝天保卫战。</w:t>
      </w:r>
      <w:r>
        <w:rPr>
          <w:rFonts w:hint="eastAsia" w:ascii="Times New Roman" w:hAnsi="Times New Roman" w:eastAsia="仿宋_GB2312" w:cs="方正仿宋_GBK"/>
          <w:b w:val="0"/>
          <w:bCs w:val="0"/>
          <w:szCs w:val="36"/>
          <w:highlight w:val="none"/>
          <w:lang w:eastAsia="zh-CN"/>
        </w:rPr>
        <w:t>聚焦重点区域、领域和行业，</w:t>
      </w:r>
      <w:r>
        <w:rPr>
          <w:rFonts w:hint="eastAsia" w:ascii="Times New Roman" w:hAnsi="Times New Roman" w:eastAsia="仿宋_GB2312" w:cs="方正仿宋_GBK"/>
          <w:b w:val="0"/>
          <w:bCs w:val="0"/>
          <w:szCs w:val="36"/>
          <w:highlight w:val="none"/>
          <w:lang w:val="en-US" w:eastAsia="zh-CN"/>
        </w:rPr>
        <w:t>实施大气污染联防联控，</w:t>
      </w:r>
      <w:r>
        <w:rPr>
          <w:rFonts w:hint="eastAsia" w:ascii="Times New Roman" w:hAnsi="Times New Roman" w:eastAsia="仿宋_GB2312" w:cs="方正仿宋_GBK"/>
          <w:b w:val="0"/>
          <w:bCs w:val="0"/>
          <w:szCs w:val="36"/>
          <w:highlight w:val="none"/>
          <w:lang w:eastAsia="zh-CN"/>
        </w:rPr>
        <w:t>强化细颗粒物</w:t>
      </w:r>
      <w:r>
        <w:rPr>
          <w:rFonts w:hint="default" w:ascii="Times New Roman" w:hAnsi="Times New Roman" w:eastAsia="仿宋_GB2312" w:cs="Times New Roman"/>
          <w:b w:val="0"/>
          <w:bCs w:val="0"/>
          <w:szCs w:val="36"/>
          <w:highlight w:val="none"/>
          <w:lang w:eastAsia="zh-CN"/>
        </w:rPr>
        <w:t>（PM₂.₅）</w:t>
      </w:r>
      <w:r>
        <w:rPr>
          <w:rFonts w:hint="eastAsia" w:ascii="Times New Roman" w:hAnsi="Times New Roman" w:eastAsia="仿宋_GB2312" w:cs="方正仿宋_GBK"/>
          <w:b w:val="0"/>
          <w:bCs w:val="0"/>
          <w:szCs w:val="36"/>
          <w:highlight w:val="none"/>
          <w:lang w:eastAsia="zh-CN"/>
        </w:rPr>
        <w:t>与臭氧协同控制，推进挥发性有机物和氮氧化物协同减排。加强工业源、移动源和扬尘源系统管控，实施重点行业</w:t>
      </w:r>
      <w:r>
        <w:rPr>
          <w:rFonts w:hint="eastAsia" w:eastAsia="仿宋_GB2312" w:cs="方正仿宋_GBK"/>
          <w:b w:val="0"/>
          <w:bCs w:val="0"/>
          <w:szCs w:val="36"/>
          <w:highlight w:val="none"/>
          <w:lang w:val="en-US" w:eastAsia="zh-CN"/>
        </w:rPr>
        <w:t>超低排放</w:t>
      </w:r>
      <w:r>
        <w:rPr>
          <w:rFonts w:hint="eastAsia" w:ascii="Times New Roman" w:hAnsi="Times New Roman" w:eastAsia="仿宋_GB2312" w:cs="方正仿宋_GBK"/>
          <w:b w:val="0"/>
          <w:bCs w:val="0"/>
          <w:szCs w:val="36"/>
          <w:highlight w:val="none"/>
          <w:lang w:eastAsia="zh-CN"/>
        </w:rPr>
        <w:t>改造。</w:t>
      </w:r>
      <w:r>
        <w:rPr>
          <w:rFonts w:hint="eastAsia" w:ascii="Times New Roman" w:hAnsi="Times New Roman" w:eastAsia="仿宋_GB2312" w:cs="方正仿宋_GBK"/>
          <w:b w:val="0"/>
          <w:bCs w:val="0"/>
          <w:szCs w:val="36"/>
          <w:highlight w:val="none"/>
          <w:lang w:val="en-US" w:eastAsia="zh-CN"/>
        </w:rPr>
        <w:t>强化秸秆资源化利用和有序禁烧</w:t>
      </w:r>
      <w:r>
        <w:rPr>
          <w:rFonts w:hint="eastAsia" w:ascii="Times New Roman" w:hAnsi="Times New Roman" w:eastAsia="仿宋_GB2312" w:cs="方正仿宋_GBK"/>
          <w:b w:val="0"/>
          <w:bCs w:val="0"/>
          <w:szCs w:val="36"/>
          <w:highlight w:val="none"/>
          <w:lang w:eastAsia="zh-CN"/>
        </w:rPr>
        <w:t>，推动清洁能源替代，优化城乡能源消费结构。健全重污染天气应急响应与差异化管控机制</w:t>
      </w:r>
      <w:r>
        <w:rPr>
          <w:rFonts w:hint="eastAsia" w:ascii="Times New Roman" w:hAnsi="Times New Roman" w:eastAsia="仿宋_GB2312" w:cs="方正仿宋_GBK"/>
          <w:b w:val="0"/>
          <w:bCs w:val="0"/>
          <w:szCs w:val="36"/>
          <w:highlight w:val="none"/>
          <w:lang w:val="en" w:eastAsia="zh-CN"/>
        </w:rPr>
        <w:t>，加强污染气象条件监测预报</w:t>
      </w:r>
      <w:r>
        <w:rPr>
          <w:rFonts w:hint="eastAsia" w:ascii="Times New Roman" w:hAnsi="Times New Roman" w:eastAsia="仿宋_GB2312" w:cs="方正仿宋_GBK"/>
          <w:b w:val="0"/>
          <w:bCs w:val="0"/>
          <w:szCs w:val="36"/>
          <w:highlight w:val="none"/>
          <w:lang w:eastAsia="zh-CN"/>
        </w:rPr>
        <w:t>，推动大气环境质量持续改善。</w:t>
      </w:r>
      <w:r>
        <w:rPr>
          <w:rFonts w:hint="eastAsia" w:eastAsia="仿宋_GB2312" w:cs="方正仿宋_GBK"/>
          <w:b w:val="0"/>
          <w:bCs w:val="0"/>
          <w:szCs w:val="36"/>
          <w:highlight w:val="none"/>
          <w:lang w:val="en-US" w:eastAsia="zh-CN"/>
        </w:rPr>
        <w:t>开展</w:t>
      </w:r>
      <w:r>
        <w:rPr>
          <w:rFonts w:hint="eastAsia" w:ascii="Times New Roman" w:hAnsi="Times New Roman" w:eastAsia="仿宋_GB2312" w:cs="方正仿宋_GBK"/>
          <w:b w:val="0"/>
          <w:bCs w:val="0"/>
          <w:szCs w:val="36"/>
          <w:highlight w:val="none"/>
          <w:lang w:eastAsia="zh-CN"/>
        </w:rPr>
        <w:t>多污染物协同治理，</w:t>
      </w:r>
      <w:r>
        <w:rPr>
          <w:rFonts w:hint="eastAsia" w:ascii="Times New Roman" w:hAnsi="Times New Roman" w:eastAsia="仿宋_GB2312" w:cs="方正仿宋_GBK"/>
          <w:b w:val="0"/>
          <w:bCs w:val="0"/>
          <w:szCs w:val="36"/>
          <w:highlight w:val="none"/>
          <w:lang w:val="en-US" w:eastAsia="zh-CN"/>
        </w:rPr>
        <w:t>实现空气质量约束性指标达到自治区考核要求。</w:t>
      </w:r>
    </w:p>
    <w:p w14:paraId="238D7700">
      <w:pPr>
        <w:pStyle w:val="43"/>
        <w:keepNext w:val="0"/>
        <w:keepLines w:val="0"/>
        <w:pageBreakBefore w:val="0"/>
        <w:shd w:val="clear" w:color="auto" w:fill="auto"/>
        <w:kinsoku/>
        <w:wordWrap/>
        <w:topLinePunct w:val="0"/>
        <w:autoSpaceDE/>
        <w:autoSpaceDN/>
        <w:bidi w:val="0"/>
        <w:adjustRightInd/>
        <w:spacing w:before="0" w:beforeLines="-2147483648" w:after="0" w:afterLines="-2147483648" w:line="540" w:lineRule="exact"/>
        <w:ind w:firstLine="643"/>
        <w:jc w:val="both"/>
        <w:textAlignment w:val="auto"/>
        <w:outlineLvl w:val="3"/>
        <w:rPr>
          <w:rFonts w:hint="eastAsia" w:ascii="Times New Roman" w:hAnsi="Times New Roman" w:eastAsia="仿宋_GB2312" w:cs="方正仿宋_GBK"/>
          <w:b w:val="0"/>
          <w:bCs w:val="0"/>
          <w:szCs w:val="36"/>
          <w:highlight w:val="none"/>
          <w:lang w:eastAsia="zh-CN"/>
        </w:rPr>
      </w:pPr>
      <w:r>
        <w:rPr>
          <w:rFonts w:hint="eastAsia" w:eastAsia="仿宋_GB2312" w:cs="方正仿宋_GBK"/>
          <w:b w:val="0"/>
          <w:bCs w:val="0"/>
          <w:color w:val="auto"/>
          <w:sz w:val="32"/>
          <w:szCs w:val="32"/>
          <w:highlight w:val="none"/>
          <w:lang w:val="en-US" w:eastAsia="zh-CN"/>
        </w:rPr>
        <w:t>深入推进碧水保卫战。</w:t>
      </w:r>
      <w:r>
        <w:rPr>
          <w:rFonts w:hint="eastAsia" w:eastAsia="仿宋_GB2312" w:cs="方正仿宋_GBK"/>
          <w:b w:val="0"/>
          <w:bCs w:val="0"/>
          <w:szCs w:val="36"/>
          <w:highlight w:val="none"/>
          <w:lang w:val="en-US" w:eastAsia="zh-CN"/>
        </w:rPr>
        <w:t>全面</w:t>
      </w:r>
      <w:r>
        <w:rPr>
          <w:rFonts w:hint="eastAsia" w:ascii="Times New Roman" w:hAnsi="Times New Roman" w:eastAsia="仿宋_GB2312" w:cs="方正仿宋_GBK"/>
          <w:b w:val="0"/>
          <w:bCs w:val="0"/>
          <w:szCs w:val="36"/>
          <w:highlight w:val="none"/>
          <w:lang w:eastAsia="zh-CN"/>
        </w:rPr>
        <w:t>落实河湖长制，统筹水资源、水环境与水生态协同治理</w:t>
      </w:r>
      <w:r>
        <w:rPr>
          <w:rFonts w:hint="eastAsia" w:eastAsia="仿宋_GB2312" w:cs="方正仿宋_GBK"/>
          <w:b w:val="0"/>
          <w:bCs w:val="0"/>
          <w:szCs w:val="36"/>
          <w:highlight w:val="none"/>
          <w:lang w:eastAsia="zh-CN"/>
        </w:rPr>
        <w:t>，</w:t>
      </w:r>
      <w:r>
        <w:rPr>
          <w:rFonts w:hint="eastAsia" w:ascii="Times New Roman" w:hAnsi="Times New Roman" w:eastAsia="仿宋_GB2312" w:cs="方正仿宋_GBK"/>
          <w:b w:val="0"/>
          <w:bCs w:val="0"/>
          <w:szCs w:val="36"/>
          <w:highlight w:val="none"/>
          <w:lang w:eastAsia="zh-CN"/>
        </w:rPr>
        <w:t>有序推进美丽河湖</w:t>
      </w:r>
      <w:r>
        <w:rPr>
          <w:rFonts w:hint="eastAsia" w:eastAsia="仿宋_GB2312" w:cs="方正仿宋_GBK"/>
          <w:b w:val="0"/>
          <w:bCs w:val="0"/>
          <w:szCs w:val="36"/>
          <w:highlight w:val="none"/>
          <w:lang w:val="en-US" w:eastAsia="zh-CN"/>
        </w:rPr>
        <w:t>保护与</w:t>
      </w:r>
      <w:r>
        <w:rPr>
          <w:rFonts w:hint="eastAsia" w:ascii="Times New Roman" w:hAnsi="Times New Roman" w:eastAsia="仿宋_GB2312" w:cs="方正仿宋_GBK"/>
          <w:b w:val="0"/>
          <w:bCs w:val="0"/>
          <w:szCs w:val="36"/>
          <w:highlight w:val="none"/>
          <w:lang w:eastAsia="zh-CN"/>
        </w:rPr>
        <w:t>建设。</w:t>
      </w:r>
      <w:r>
        <w:rPr>
          <w:rFonts w:hint="eastAsia" w:eastAsia="仿宋_GB2312" w:cs="方正仿宋_GBK"/>
          <w:b w:val="0"/>
          <w:bCs w:val="0"/>
          <w:szCs w:val="36"/>
          <w:highlight w:val="none"/>
          <w:lang w:val="en-US" w:eastAsia="zh-CN"/>
        </w:rPr>
        <w:t>深入</w:t>
      </w:r>
      <w:r>
        <w:rPr>
          <w:rFonts w:hint="eastAsia" w:ascii="Times New Roman" w:hAnsi="Times New Roman" w:eastAsia="仿宋_GB2312" w:cs="方正仿宋_GBK"/>
          <w:b w:val="0"/>
          <w:bCs w:val="0"/>
          <w:szCs w:val="36"/>
          <w:highlight w:val="none"/>
          <w:lang w:eastAsia="zh-CN"/>
        </w:rPr>
        <w:t>开展巡河巡湖、入河排污口排查整治、河道采砂规范治理</w:t>
      </w:r>
      <w:r>
        <w:rPr>
          <w:rFonts w:hint="eastAsia" w:eastAsia="仿宋_GB2312" w:cs="方正仿宋_GBK"/>
          <w:b w:val="0"/>
          <w:bCs w:val="0"/>
          <w:szCs w:val="36"/>
          <w:highlight w:val="none"/>
          <w:lang w:val="en-US" w:eastAsia="zh-CN"/>
        </w:rPr>
        <w:t>等工作</w:t>
      </w:r>
      <w:r>
        <w:rPr>
          <w:rFonts w:hint="eastAsia" w:ascii="Times New Roman" w:hAnsi="Times New Roman" w:eastAsia="仿宋_GB2312" w:cs="方正仿宋_GBK"/>
          <w:b w:val="0"/>
          <w:bCs w:val="0"/>
          <w:szCs w:val="36"/>
          <w:highlight w:val="none"/>
          <w:lang w:eastAsia="zh-CN"/>
        </w:rPr>
        <w:t>。持续</w:t>
      </w:r>
      <w:r>
        <w:rPr>
          <w:rFonts w:hint="eastAsia" w:ascii="Times New Roman" w:hAnsi="Times New Roman" w:eastAsia="仿宋_GB2312" w:cs="方正仿宋_GBK"/>
          <w:b w:val="0"/>
          <w:bCs w:val="0"/>
          <w:color w:val="auto"/>
          <w:szCs w:val="36"/>
          <w:highlight w:val="none"/>
          <w:lang w:eastAsia="zh-CN"/>
        </w:rPr>
        <w:t>推进水主要污染物减排，加强工业园区废水治理和城乡污水处理，落实化学需氧量、总磷等重点</w:t>
      </w:r>
      <w:r>
        <w:rPr>
          <w:rFonts w:hint="eastAsia" w:eastAsia="仿宋_GB2312" w:cs="方正仿宋_GBK"/>
          <w:b w:val="0"/>
          <w:bCs w:val="0"/>
          <w:color w:val="auto"/>
          <w:szCs w:val="36"/>
          <w:highlight w:val="none"/>
          <w:lang w:val="en-US" w:eastAsia="zh-CN"/>
        </w:rPr>
        <w:t>污染物</w:t>
      </w:r>
      <w:r>
        <w:rPr>
          <w:rFonts w:hint="eastAsia" w:ascii="Times New Roman" w:hAnsi="Times New Roman" w:eastAsia="仿宋_GB2312" w:cs="方正仿宋_GBK"/>
          <w:b w:val="0"/>
          <w:bCs w:val="0"/>
          <w:color w:val="auto"/>
          <w:szCs w:val="36"/>
          <w:highlight w:val="none"/>
          <w:lang w:eastAsia="zh-CN"/>
        </w:rPr>
        <w:t>减排任务</w:t>
      </w:r>
      <w:r>
        <w:rPr>
          <w:rFonts w:hint="eastAsia" w:eastAsia="仿宋_GB2312" w:cs="方正仿宋_GBK"/>
          <w:b w:val="0"/>
          <w:bCs w:val="0"/>
          <w:color w:val="auto"/>
          <w:szCs w:val="36"/>
          <w:highlight w:val="none"/>
          <w:lang w:eastAsia="zh-CN"/>
        </w:rPr>
        <w:t>。</w:t>
      </w:r>
      <w:r>
        <w:rPr>
          <w:rFonts w:hint="eastAsia" w:ascii="Times New Roman" w:hAnsi="Times New Roman" w:eastAsia="仿宋_GB2312" w:cs="方正仿宋_GBK"/>
          <w:b w:val="0"/>
          <w:bCs w:val="0"/>
          <w:color w:val="auto"/>
          <w:szCs w:val="36"/>
          <w:highlight w:val="none"/>
          <w:lang w:eastAsia="zh-CN"/>
        </w:rPr>
        <w:t>推进</w:t>
      </w:r>
      <w:r>
        <w:rPr>
          <w:rFonts w:hint="eastAsia" w:ascii="Times New Roman" w:hAnsi="Times New Roman" w:eastAsia="仿宋_GB2312" w:cs="方正仿宋_GBK"/>
          <w:b w:val="0"/>
          <w:bCs w:val="0"/>
          <w:color w:val="auto"/>
          <w:szCs w:val="36"/>
          <w:highlight w:val="none"/>
          <w:lang w:val="en-US" w:eastAsia="zh-CN"/>
        </w:rPr>
        <w:t>老哈河、西拉沐沦河、阴河、达里湖</w:t>
      </w:r>
      <w:r>
        <w:rPr>
          <w:rFonts w:hint="eastAsia" w:ascii="Times New Roman" w:hAnsi="Times New Roman" w:eastAsia="仿宋_GB2312" w:cs="方正仿宋_GBK"/>
          <w:b w:val="0"/>
          <w:bCs w:val="0"/>
          <w:color w:val="auto"/>
          <w:szCs w:val="36"/>
          <w:highlight w:val="none"/>
          <w:lang w:eastAsia="zh-CN"/>
        </w:rPr>
        <w:t>等重点</w:t>
      </w:r>
      <w:r>
        <w:rPr>
          <w:rFonts w:hint="eastAsia" w:eastAsia="仿宋_GB2312" w:cs="方正仿宋_GBK"/>
          <w:b w:val="0"/>
          <w:bCs w:val="0"/>
          <w:color w:val="auto"/>
          <w:szCs w:val="36"/>
          <w:highlight w:val="none"/>
          <w:lang w:val="en-US" w:eastAsia="zh-CN"/>
        </w:rPr>
        <w:t>区</w:t>
      </w:r>
      <w:r>
        <w:rPr>
          <w:rFonts w:hint="eastAsia" w:ascii="Times New Roman" w:hAnsi="Times New Roman" w:eastAsia="仿宋_GB2312" w:cs="方正仿宋_GBK"/>
          <w:b w:val="0"/>
          <w:bCs w:val="0"/>
          <w:color w:val="auto"/>
          <w:szCs w:val="36"/>
          <w:highlight w:val="none"/>
          <w:lang w:eastAsia="zh-CN"/>
        </w:rPr>
        <w:t>域生态修复与综合治理，实施河湖生态缓冲带建设和</w:t>
      </w:r>
      <w:r>
        <w:rPr>
          <w:rFonts w:hint="eastAsia" w:eastAsia="仿宋_GB2312" w:cs="方正仿宋_GBK"/>
          <w:b w:val="0"/>
          <w:bCs w:val="0"/>
          <w:color w:val="auto"/>
          <w:szCs w:val="36"/>
          <w:highlight w:val="none"/>
          <w:lang w:eastAsia="zh-CN"/>
        </w:rPr>
        <w:t>湿地保护修复</w:t>
      </w:r>
      <w:r>
        <w:rPr>
          <w:rFonts w:hint="eastAsia" w:ascii="Times New Roman" w:hAnsi="Times New Roman" w:eastAsia="仿宋_GB2312" w:cs="方正仿宋_GBK"/>
          <w:b w:val="0"/>
          <w:bCs w:val="0"/>
          <w:color w:val="auto"/>
          <w:szCs w:val="36"/>
          <w:highlight w:val="none"/>
          <w:lang w:eastAsia="zh-CN"/>
        </w:rPr>
        <w:t>工程，提升</w:t>
      </w:r>
      <w:r>
        <w:rPr>
          <w:rFonts w:hint="eastAsia" w:ascii="Times New Roman" w:hAnsi="Times New Roman" w:eastAsia="仿宋_GB2312" w:cs="方正仿宋_GBK"/>
          <w:b w:val="0"/>
          <w:bCs w:val="0"/>
          <w:szCs w:val="36"/>
          <w:highlight w:val="none"/>
          <w:lang w:eastAsia="zh-CN"/>
        </w:rPr>
        <w:t>水体自净与生态功能。强化河道两侧规模以下养殖户畜禽粪污管控与治理。重点保障地表水考核断面水质，</w:t>
      </w:r>
      <w:r>
        <w:rPr>
          <w:rFonts w:hint="eastAsia" w:ascii="Times New Roman" w:hAnsi="Times New Roman" w:eastAsia="仿宋_GB2312" w:cs="方正仿宋_GBK"/>
          <w:b w:val="0"/>
          <w:bCs w:val="0"/>
          <w:szCs w:val="36"/>
          <w:highlight w:val="none"/>
          <w:lang w:val="en-US" w:eastAsia="zh-CN"/>
        </w:rPr>
        <w:t>完成劣Ⅴ类水体排查整治</w:t>
      </w:r>
      <w:r>
        <w:rPr>
          <w:rFonts w:hint="eastAsia" w:ascii="Times New Roman" w:hAnsi="Times New Roman" w:eastAsia="仿宋_GB2312" w:cs="方正仿宋_GBK"/>
          <w:b w:val="0"/>
          <w:bCs w:val="0"/>
          <w:szCs w:val="36"/>
          <w:highlight w:val="none"/>
          <w:lang w:eastAsia="zh-CN"/>
        </w:rPr>
        <w:t>。</w:t>
      </w:r>
      <w:r>
        <w:rPr>
          <w:rFonts w:hint="eastAsia" w:ascii="仿宋_GB2312" w:hAnsi="仿宋_GB2312" w:eastAsia="仿宋_GB2312" w:cs="仿宋_GB2312"/>
          <w:b w:val="0"/>
          <w:bCs w:val="0"/>
          <w:sz w:val="32"/>
          <w:szCs w:val="32"/>
          <w:highlight w:val="none"/>
          <w:u w:val="none" w:color="auto"/>
          <w:lang w:val="en-US" w:eastAsia="zh-CN"/>
        </w:rPr>
        <w:t>强化地下水污染防治分区管理和分级防控。</w:t>
      </w:r>
    </w:p>
    <w:p w14:paraId="5E9CF57B">
      <w:pPr>
        <w:pStyle w:val="43"/>
        <w:keepNext w:val="0"/>
        <w:keepLines w:val="0"/>
        <w:pageBreakBefore w:val="0"/>
        <w:shd w:val="clear" w:color="auto" w:fill="auto"/>
        <w:kinsoku/>
        <w:wordWrap/>
        <w:topLinePunct w:val="0"/>
        <w:autoSpaceDE/>
        <w:autoSpaceDN/>
        <w:bidi w:val="0"/>
        <w:adjustRightInd/>
        <w:spacing w:before="0" w:beforeLines="-2147483648" w:after="0" w:afterLines="-2147483648" w:line="540" w:lineRule="exact"/>
        <w:ind w:firstLine="643"/>
        <w:jc w:val="both"/>
        <w:textAlignment w:val="auto"/>
        <w:outlineLvl w:val="3"/>
        <w:rPr>
          <w:rFonts w:hint="eastAsia" w:ascii="Times New Roman" w:hAnsi="Times New Roman" w:eastAsia="仿宋_GB2312" w:cs="方正仿宋_GBK"/>
          <w:b w:val="0"/>
          <w:bCs w:val="0"/>
          <w:szCs w:val="36"/>
          <w:highlight w:val="none"/>
          <w:lang w:eastAsia="zh-CN"/>
        </w:rPr>
      </w:pPr>
      <w:r>
        <w:rPr>
          <w:rFonts w:hint="eastAsia" w:eastAsia="仿宋_GB2312" w:cs="方正仿宋_GBK"/>
          <w:b w:val="0"/>
          <w:bCs w:val="0"/>
          <w:color w:val="auto"/>
          <w:sz w:val="32"/>
          <w:szCs w:val="32"/>
          <w:highlight w:val="none"/>
          <w:lang w:val="en-US" w:eastAsia="zh-CN"/>
        </w:rPr>
        <w:t>深入推进净土保卫战。</w:t>
      </w:r>
      <w:r>
        <w:rPr>
          <w:rFonts w:hint="eastAsia" w:ascii="Times New Roman" w:hAnsi="Times New Roman" w:eastAsia="仿宋_GB2312" w:cs="方正仿宋_GBK"/>
          <w:b w:val="0"/>
          <w:bCs w:val="0"/>
          <w:szCs w:val="36"/>
          <w:highlight w:val="none"/>
          <w:lang w:eastAsia="zh-CN"/>
        </w:rPr>
        <w:t>坚持预防为主、保护优先，系统推进土壤污染源头防治和风险管控。</w:t>
      </w:r>
      <w:r>
        <w:rPr>
          <w:rFonts w:hint="eastAsia" w:ascii="仿宋_GB2312" w:hAnsi="仿宋_GB2312" w:eastAsia="仿宋_GB2312" w:cs="仿宋_GB2312"/>
          <w:b w:val="0"/>
          <w:bCs w:val="0"/>
          <w:sz w:val="32"/>
          <w:szCs w:val="32"/>
          <w:highlight w:val="none"/>
          <w:u w:val="none" w:color="auto"/>
          <w:lang w:val="en-US" w:eastAsia="zh-CN"/>
        </w:rPr>
        <w:t>强化农业面源污染防治，</w:t>
      </w:r>
      <w:r>
        <w:rPr>
          <w:rFonts w:hint="eastAsia" w:ascii="Times New Roman" w:hAnsi="Times New Roman" w:eastAsia="仿宋_GB2312" w:cs="方正仿宋_GBK"/>
          <w:b w:val="0"/>
          <w:bCs w:val="0"/>
          <w:szCs w:val="36"/>
          <w:highlight w:val="none"/>
          <w:lang w:eastAsia="zh-CN"/>
        </w:rPr>
        <w:t>推进化肥农药科学使用和农膜等农业投入品减量增效，加强畜禽养殖污染治理和资源化利用。强化受污染农用地溯源整治，针对安全利用类和严格管控类耕地实施差异化安全利用措施。强化有色金属采选、冶炼等重点行业绿色化提标改造，持续开展涉镉等重金属重点行业企业排查整治。健全土壤环境监测网络和风险预警体系</w:t>
      </w:r>
      <w:r>
        <w:rPr>
          <w:rFonts w:hint="eastAsia" w:eastAsia="仿宋_GB2312" w:cs="方正仿宋_GBK"/>
          <w:b w:val="0"/>
          <w:bCs w:val="0"/>
          <w:szCs w:val="36"/>
          <w:highlight w:val="none"/>
          <w:lang w:eastAsia="zh-CN"/>
        </w:rPr>
        <w:t>，</w:t>
      </w:r>
      <w:r>
        <w:rPr>
          <w:rFonts w:hint="eastAsia" w:ascii="Times New Roman" w:hAnsi="Times New Roman" w:eastAsia="仿宋_GB2312" w:cs="方正仿宋_GBK"/>
          <w:b w:val="0"/>
          <w:bCs w:val="0"/>
          <w:szCs w:val="36"/>
          <w:highlight w:val="none"/>
          <w:lang w:eastAsia="zh-CN"/>
        </w:rPr>
        <w:t>严格建设用地土壤污染风险管控，落实土壤污染重点监管单位隐患排查和自行监测要求。</w:t>
      </w:r>
    </w:p>
    <w:p w14:paraId="654C27C2">
      <w:pPr>
        <w:pStyle w:val="43"/>
        <w:keepNext w:val="0"/>
        <w:keepLines w:val="0"/>
        <w:pageBreakBefore w:val="0"/>
        <w:shd w:val="clear" w:color="auto" w:fill="auto"/>
        <w:kinsoku/>
        <w:wordWrap/>
        <w:topLinePunct w:val="0"/>
        <w:autoSpaceDE/>
        <w:autoSpaceDN/>
        <w:bidi w:val="0"/>
        <w:adjustRightInd/>
        <w:spacing w:before="0" w:beforeLines="-2147483648" w:after="0" w:afterLines="-2147483648" w:line="540" w:lineRule="exact"/>
        <w:ind w:firstLine="643"/>
        <w:jc w:val="both"/>
        <w:textAlignment w:val="auto"/>
        <w:outlineLvl w:val="3"/>
        <w:rPr>
          <w:rFonts w:hint="eastAsia" w:ascii="Times New Roman" w:hAnsi="Times New Roman" w:eastAsia="仿宋_GB2312" w:cs="方正仿宋_GBK"/>
          <w:b w:val="0"/>
          <w:bCs w:val="0"/>
          <w:szCs w:val="36"/>
          <w:highlight w:val="none"/>
          <w:lang w:eastAsia="zh-CN"/>
        </w:rPr>
      </w:pPr>
      <w:bookmarkStart w:id="203" w:name="_Toc18760"/>
      <w:r>
        <w:rPr>
          <w:rFonts w:hint="eastAsia" w:ascii="Times New Roman" w:hAnsi="Times New Roman" w:eastAsia="仿宋_GB2312" w:cs="方正仿宋_GBK"/>
          <w:b w:val="0"/>
          <w:bCs w:val="0"/>
          <w:color w:val="auto"/>
          <w:sz w:val="32"/>
          <w:szCs w:val="32"/>
          <w:highlight w:val="none"/>
          <w:lang w:eastAsia="zh-CN"/>
        </w:rPr>
        <w:t>强化固体废物和新污染物治理</w:t>
      </w:r>
      <w:bookmarkEnd w:id="203"/>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szCs w:val="36"/>
          <w:highlight w:val="none"/>
          <w:lang w:eastAsia="zh-CN"/>
        </w:rPr>
        <w:t>实施固体废物综合治理行动，</w:t>
      </w:r>
      <w:r>
        <w:rPr>
          <w:rFonts w:hint="eastAsia" w:eastAsia="仿宋_GB2312" w:cs="方正仿宋_GBK"/>
          <w:b w:val="0"/>
          <w:bCs w:val="0"/>
          <w:szCs w:val="36"/>
          <w:highlight w:val="none"/>
          <w:lang w:val="en-US" w:eastAsia="zh-CN"/>
        </w:rPr>
        <w:t>推动</w:t>
      </w:r>
      <w:r>
        <w:rPr>
          <w:rFonts w:hint="eastAsia" w:ascii="Times New Roman" w:hAnsi="Times New Roman" w:eastAsia="仿宋_GB2312" w:cs="方正仿宋_GBK"/>
          <w:b w:val="0"/>
          <w:bCs w:val="0"/>
          <w:szCs w:val="36"/>
          <w:highlight w:val="none"/>
          <w:lang w:eastAsia="zh-CN"/>
        </w:rPr>
        <w:t>固体废物历史堆存总量与产生强度“双降”。推动工业固废源头减量，引导工业园区、工业企业降低产废强度。推动重点行业固体废物产生量与综合消纳量逐步实现动态平衡。推进建筑垃圾分类处理</w:t>
      </w:r>
      <w:r>
        <w:rPr>
          <w:rFonts w:hint="eastAsia" w:eastAsia="仿宋_GB2312" w:cs="方正仿宋_GBK"/>
          <w:b w:val="0"/>
          <w:bCs w:val="0"/>
          <w:szCs w:val="36"/>
          <w:highlight w:val="none"/>
          <w:lang w:eastAsia="zh-CN"/>
        </w:rPr>
        <w:t>，</w:t>
      </w:r>
      <w:r>
        <w:rPr>
          <w:rFonts w:hint="eastAsia" w:ascii="Times New Roman" w:hAnsi="Times New Roman" w:eastAsia="仿宋_GB2312" w:cs="方正仿宋_GBK"/>
          <w:b w:val="0"/>
          <w:bCs w:val="0"/>
          <w:szCs w:val="36"/>
          <w:highlight w:val="none"/>
          <w:lang w:eastAsia="zh-CN"/>
        </w:rPr>
        <w:t>加强建筑</w:t>
      </w:r>
      <w:r>
        <w:rPr>
          <w:rFonts w:hint="eastAsia" w:eastAsia="仿宋_GB2312" w:cs="方正仿宋_GBK"/>
          <w:b w:val="0"/>
          <w:bCs w:val="0"/>
          <w:szCs w:val="36"/>
          <w:highlight w:val="none"/>
          <w:lang w:val="en-US" w:eastAsia="zh-CN"/>
        </w:rPr>
        <w:t>垃圾源头产生、运输过程、后端处置全链条监管，逐步提升全市建筑垃圾综合利用率</w:t>
      </w:r>
      <w:r>
        <w:rPr>
          <w:rFonts w:hint="eastAsia" w:ascii="Times New Roman" w:hAnsi="Times New Roman" w:eastAsia="仿宋_GB2312" w:cs="方正仿宋_GBK"/>
          <w:b w:val="0"/>
          <w:bCs w:val="0"/>
          <w:szCs w:val="36"/>
          <w:highlight w:val="none"/>
          <w:lang w:eastAsia="zh-CN"/>
        </w:rPr>
        <w:t>。推进尾矿污染隐患排查治理，加强重点区域、重点行业重金属污染物排放总量控制和重金属环境安全隐患排查整治。强化危险废物信息化管理。推进</w:t>
      </w:r>
      <w:r>
        <w:rPr>
          <w:rFonts w:hint="eastAsia" w:eastAsia="仿宋_GB2312" w:cs="方正仿宋_GBK"/>
          <w:b w:val="0"/>
          <w:bCs w:val="0"/>
          <w:szCs w:val="36"/>
          <w:highlight w:val="none"/>
          <w:lang w:eastAsia="zh-CN"/>
        </w:rPr>
        <w:t>“无废城市”</w:t>
      </w:r>
      <w:r>
        <w:rPr>
          <w:rFonts w:hint="eastAsia" w:ascii="Times New Roman" w:hAnsi="Times New Roman" w:eastAsia="仿宋_GB2312" w:cs="方正仿宋_GBK"/>
          <w:b w:val="0"/>
          <w:bCs w:val="0"/>
          <w:szCs w:val="36"/>
          <w:highlight w:val="none"/>
          <w:lang w:eastAsia="zh-CN"/>
        </w:rPr>
        <w:t>建设。逐步提高新污染物监测能力和监管水平。</w:t>
      </w:r>
    </w:p>
    <w:p w14:paraId="44895598">
      <w:pPr>
        <w:pStyle w:val="43"/>
        <w:keepNext w:val="0"/>
        <w:keepLines w:val="0"/>
        <w:pageBreakBefore w:val="0"/>
        <w:shd w:val="clear" w:color="auto" w:fill="auto"/>
        <w:kinsoku/>
        <w:wordWrap/>
        <w:topLinePunct w:val="0"/>
        <w:autoSpaceDE/>
        <w:autoSpaceDN/>
        <w:bidi w:val="0"/>
        <w:adjustRightInd/>
        <w:spacing w:before="0" w:beforeLines="-2147483648" w:after="0" w:afterLines="-2147483648" w:line="540" w:lineRule="exact"/>
        <w:ind w:firstLine="643"/>
        <w:jc w:val="both"/>
        <w:textAlignment w:val="auto"/>
        <w:outlineLvl w:val="3"/>
        <w:rPr>
          <w:rFonts w:hint="eastAsia" w:ascii="Times New Roman" w:hAnsi="Times New Roman" w:eastAsia="仿宋_GB2312" w:cs="方正仿宋_GBK"/>
          <w:b w:val="0"/>
          <w:bCs w:val="0"/>
          <w:spacing w:val="-6"/>
          <w:szCs w:val="36"/>
          <w:highlight w:val="none"/>
          <w:lang w:val="en-US" w:eastAsia="zh-CN"/>
        </w:rPr>
      </w:pPr>
      <w:bookmarkStart w:id="204" w:name="_Toc2152"/>
      <w:r>
        <w:rPr>
          <w:rFonts w:hint="eastAsia" w:ascii="Times New Roman" w:hAnsi="Times New Roman" w:eastAsia="仿宋_GB2312" w:cs="方正仿宋_GBK"/>
          <w:b w:val="0"/>
          <w:bCs w:val="0"/>
          <w:color w:val="auto"/>
          <w:sz w:val="32"/>
          <w:szCs w:val="32"/>
          <w:highlight w:val="none"/>
          <w:lang w:val="en-US" w:eastAsia="zh-CN"/>
        </w:rPr>
        <w:t>加快健全现代环境治理体系</w:t>
      </w:r>
      <w:bookmarkEnd w:id="204"/>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szCs w:val="36"/>
          <w:highlight w:val="none"/>
          <w:lang w:val="en-US" w:eastAsia="zh-CN"/>
        </w:rPr>
        <w:t>推进生态环境治理标准体系、责任体系、监管体系、市场体系、法规政策体系建设。</w:t>
      </w:r>
      <w:r>
        <w:rPr>
          <w:rFonts w:hint="eastAsia" w:eastAsia="仿宋_GB2312" w:cs="方正仿宋_GBK"/>
          <w:b w:val="0"/>
          <w:bCs w:val="0"/>
          <w:szCs w:val="36"/>
          <w:highlight w:val="none"/>
          <w:lang w:val="en-US" w:eastAsia="zh-CN"/>
        </w:rPr>
        <w:t>落实</w:t>
      </w:r>
      <w:r>
        <w:rPr>
          <w:rFonts w:hint="eastAsia" w:ascii="Times New Roman" w:hAnsi="Times New Roman" w:eastAsia="仿宋_GB2312" w:cs="方正仿宋_GBK"/>
          <w:b w:val="0"/>
          <w:bCs w:val="0"/>
          <w:szCs w:val="36"/>
          <w:highlight w:val="none"/>
          <w:lang w:val="en-US" w:eastAsia="zh-CN"/>
        </w:rPr>
        <w:t>以排污许可制为核心的固定污染源监管制度，推动排污许可与监测、执法部门有效衔接，</w:t>
      </w:r>
      <w:r>
        <w:rPr>
          <w:rFonts w:hint="eastAsia" w:eastAsia="仿宋_GB2312" w:cs="方正仿宋_GBK"/>
          <w:b w:val="0"/>
          <w:bCs w:val="0"/>
          <w:szCs w:val="36"/>
          <w:highlight w:val="none"/>
          <w:lang w:val="en-US" w:eastAsia="zh-CN"/>
        </w:rPr>
        <w:t>完善升级</w:t>
      </w:r>
      <w:r>
        <w:rPr>
          <w:rFonts w:hint="eastAsia" w:ascii="Times New Roman" w:hAnsi="Times New Roman" w:eastAsia="仿宋_GB2312" w:cs="方正仿宋_GBK"/>
          <w:b w:val="0"/>
          <w:bCs w:val="0"/>
          <w:szCs w:val="36"/>
          <w:highlight w:val="none"/>
          <w:lang w:val="en-US" w:eastAsia="zh-CN"/>
        </w:rPr>
        <w:t>污染源自动监测网络体系</w:t>
      </w:r>
      <w:r>
        <w:rPr>
          <w:rFonts w:hint="eastAsia" w:eastAsia="仿宋_GB2312" w:cs="方正仿宋_GBK"/>
          <w:b w:val="0"/>
          <w:bCs w:val="0"/>
          <w:szCs w:val="36"/>
          <w:highlight w:val="none"/>
          <w:lang w:val="en-US" w:eastAsia="zh-CN"/>
        </w:rPr>
        <w:t>。</w:t>
      </w:r>
      <w:r>
        <w:rPr>
          <w:rFonts w:hint="eastAsia" w:ascii="Times New Roman" w:hAnsi="Times New Roman" w:eastAsia="仿宋_GB2312" w:cs="方正仿宋_GBK"/>
          <w:b w:val="0"/>
          <w:bCs w:val="0"/>
          <w:szCs w:val="36"/>
          <w:highlight w:val="none"/>
          <w:lang w:val="en-US" w:eastAsia="zh-CN"/>
        </w:rPr>
        <w:t>推进生态环境分区管控，加强同国土空间规划衔接。建立现代化生态环境监测体系，健全“天空</w:t>
      </w:r>
      <w:r>
        <w:rPr>
          <w:rFonts w:hint="eastAsia" w:eastAsia="仿宋_GB2312" w:cs="方正仿宋_GBK"/>
          <w:b w:val="0"/>
          <w:bCs w:val="0"/>
          <w:szCs w:val="36"/>
          <w:highlight w:val="none"/>
          <w:lang w:val="en-US" w:eastAsia="zh-CN"/>
        </w:rPr>
        <w:t>地”</w:t>
      </w:r>
      <w:r>
        <w:rPr>
          <w:rFonts w:hint="eastAsia" w:ascii="Times New Roman" w:hAnsi="Times New Roman" w:eastAsia="仿宋_GB2312" w:cs="方正仿宋_GBK"/>
          <w:b w:val="0"/>
          <w:bCs w:val="0"/>
          <w:szCs w:val="36"/>
          <w:highlight w:val="none"/>
          <w:lang w:val="en-US" w:eastAsia="zh-CN"/>
        </w:rPr>
        <w:t>一体化监测网络。落实党政领导干部生态环境损害责任追究制度和环境损害赔偿改革制度。</w:t>
      </w:r>
      <w:r>
        <w:rPr>
          <w:rFonts w:hint="eastAsia" w:eastAsia="仿宋_GB2312" w:cs="方正仿宋_GBK"/>
          <w:b w:val="0"/>
          <w:bCs w:val="0"/>
          <w:szCs w:val="36"/>
          <w:highlight w:val="none"/>
          <w:lang w:val="en-US" w:eastAsia="zh-CN"/>
        </w:rPr>
        <w:t>推进</w:t>
      </w:r>
      <w:r>
        <w:rPr>
          <w:rFonts w:hint="eastAsia" w:ascii="Times New Roman" w:hAnsi="Times New Roman" w:eastAsia="仿宋_GB2312" w:cs="方正仿宋_GBK"/>
          <w:b w:val="0"/>
          <w:bCs w:val="0"/>
          <w:szCs w:val="36"/>
          <w:highlight w:val="none"/>
          <w:lang w:eastAsia="zh-CN"/>
        </w:rPr>
        <w:t>美丽城市、美丽乡村建设，鼓励各旗县区结合实际打造一批和美乡村、美丽河湖。</w:t>
      </w:r>
      <w:r>
        <w:rPr>
          <w:rFonts w:hint="eastAsia" w:ascii="Times New Roman" w:hAnsi="Times New Roman" w:eastAsia="仿宋_GB2312" w:cs="方正仿宋_GBK"/>
          <w:b w:val="0"/>
          <w:bCs w:val="0"/>
          <w:szCs w:val="36"/>
          <w:highlight w:val="none"/>
          <w:lang w:val="en-US" w:eastAsia="zh-CN"/>
        </w:rPr>
        <w:t>强化生态警务服务绿色发展，依法严打污染环境、破坏野生动植物资源、非法</w:t>
      </w:r>
      <w:r>
        <w:rPr>
          <w:rFonts w:hint="eastAsia" w:ascii="Times New Roman" w:hAnsi="Times New Roman" w:eastAsia="仿宋_GB2312" w:cs="方正仿宋_GBK"/>
          <w:b w:val="0"/>
          <w:bCs w:val="0"/>
          <w:spacing w:val="-6"/>
          <w:szCs w:val="36"/>
          <w:highlight w:val="none"/>
          <w:lang w:val="en-US" w:eastAsia="zh-CN"/>
        </w:rPr>
        <w:t>开采矿产资源、破坏耕地等环境资源犯罪。持续推进噪声污染防治。</w:t>
      </w:r>
    </w:p>
    <w:p w14:paraId="4EEA943A">
      <w:pPr>
        <w:keepNext w:val="0"/>
        <w:keepLines w:val="0"/>
        <w:pageBreakBefore w:val="0"/>
        <w:widowControl/>
        <w:numPr>
          <w:ilvl w:val="0"/>
          <w:numId w:val="4"/>
        </w:numPr>
        <w:kinsoku/>
        <w:wordWrap/>
        <w:topLinePunct w:val="0"/>
        <w:autoSpaceDE/>
        <w:autoSpaceDN/>
        <w:bidi w:val="0"/>
        <w:adjustRightIn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205" w:name="_Toc19106"/>
      <w:bookmarkStart w:id="206" w:name="_Toc28755"/>
      <w:bookmarkStart w:id="207" w:name="_Toc3"/>
      <w:bookmarkStart w:id="208" w:name="_Toc20217"/>
      <w:bookmarkStart w:id="209" w:name="_Toc807"/>
      <w:bookmarkStart w:id="210" w:name="_Toc25169"/>
      <w:bookmarkStart w:id="211" w:name="_Toc26803"/>
      <w:bookmarkStart w:id="212" w:name="_Toc3898"/>
      <w:bookmarkStart w:id="213" w:name="_Toc30403"/>
      <w:bookmarkStart w:id="214" w:name="_Toc4594"/>
      <w:bookmarkStart w:id="215" w:name="_Toc22495"/>
      <w:bookmarkStart w:id="216" w:name="_Toc23376"/>
      <w:bookmarkStart w:id="217" w:name="_Toc1348"/>
      <w:bookmarkStart w:id="218" w:name="_Toc23119"/>
      <w:r>
        <w:rPr>
          <w:rFonts w:hint="eastAsia" w:ascii="楷体_GB2312" w:hAnsi="楷体_GB2312" w:eastAsia="楷体_GB2312" w:cs="楷体_GB2312"/>
          <w:b w:val="0"/>
          <w:bCs w:val="0"/>
          <w:color w:val="auto"/>
          <w:sz w:val="32"/>
          <w:szCs w:val="40"/>
          <w:highlight w:val="none"/>
          <w:lang w:val="en-US" w:eastAsia="zh-CN"/>
        </w:rPr>
        <w:t>加强生态系统保护和修复</w:t>
      </w:r>
      <w:bookmarkEnd w:id="197"/>
      <w:bookmarkEnd w:id="198"/>
      <w:bookmarkEnd w:id="199"/>
      <w:bookmarkEnd w:id="200"/>
      <w:bookmarkEnd w:id="201"/>
      <w:bookmarkEnd w:id="202"/>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14:paraId="23D94D01">
      <w:pPr>
        <w:pStyle w:val="43"/>
        <w:keepNext w:val="0"/>
        <w:keepLines w:val="0"/>
        <w:pageBreakBefore w:val="0"/>
        <w:shd w:val="clear" w:color="auto" w:fill="auto"/>
        <w:kinsoku/>
        <w:wordWrap/>
        <w:topLinePunct w:val="0"/>
        <w:autoSpaceDE/>
        <w:autoSpaceDN/>
        <w:bidi w:val="0"/>
        <w:adjustRightInd/>
        <w:spacing w:line="540" w:lineRule="exact"/>
        <w:ind w:firstLine="0"/>
        <w:jc w:val="both"/>
        <w:textAlignment w:val="auto"/>
        <w:outlineLvl w:val="9"/>
        <w:rPr>
          <w:rFonts w:hint="eastAsia" w:ascii="Times New Roman" w:hAnsi="Times New Roman" w:eastAsia="仿宋_GB2312" w:cs="方正仿宋_GBK"/>
          <w:b w:val="0"/>
          <w:bCs w:val="0"/>
          <w:szCs w:val="36"/>
          <w:highlight w:val="none"/>
          <w:lang w:val="en-US" w:eastAsia="zh-CN"/>
        </w:rPr>
      </w:pPr>
      <w:r>
        <w:rPr>
          <w:rFonts w:hint="eastAsia" w:ascii="Times New Roman" w:hAnsi="Times New Roman" w:eastAsia="仿宋_GB2312" w:cs="方正仿宋_GBK"/>
          <w:b w:val="0"/>
          <w:bCs w:val="0"/>
          <w:szCs w:val="36"/>
          <w:highlight w:val="none"/>
          <w:lang w:val="en-US" w:eastAsia="zh-CN"/>
        </w:rPr>
        <w:t>着力加强生态保护修复，统筹推进山水林田湖草沙一体化保护和系统治理，全面推进自然保护地建设，实施生物多样性保护工程，不断提升</w:t>
      </w:r>
      <w:r>
        <w:rPr>
          <w:rFonts w:hint="eastAsia" w:ascii="Times New Roman" w:hAnsi="Times New Roman" w:eastAsia="仿宋_GB2312" w:cs="方正仿宋_GBK"/>
          <w:b w:val="0"/>
          <w:bCs w:val="0"/>
          <w:szCs w:val="36"/>
          <w:highlight w:val="none"/>
          <w:lang w:eastAsia="zh-CN"/>
        </w:rPr>
        <w:t>生态系统多样性、稳定性、持续性</w:t>
      </w:r>
      <w:r>
        <w:rPr>
          <w:rFonts w:hint="eastAsia" w:ascii="Times New Roman" w:hAnsi="Times New Roman" w:eastAsia="仿宋_GB2312" w:cs="方正仿宋_GBK"/>
          <w:b w:val="0"/>
          <w:bCs w:val="0"/>
          <w:szCs w:val="36"/>
          <w:highlight w:val="none"/>
          <w:lang w:val="en-US" w:eastAsia="zh-CN"/>
        </w:rPr>
        <w:t>。</w:t>
      </w:r>
    </w:p>
    <w:p w14:paraId="2B820D7A">
      <w:pPr>
        <w:pStyle w:val="43"/>
        <w:keepNext w:val="0"/>
        <w:keepLines w:val="0"/>
        <w:pageBreakBefore w:val="0"/>
        <w:shd w:val="clear" w:color="auto" w:fill="auto"/>
        <w:kinsoku/>
        <w:wordWrap/>
        <w:topLinePunct w:val="0"/>
        <w:autoSpaceDE/>
        <w:autoSpaceDN/>
        <w:bidi w:val="0"/>
        <w:adjustRightInd/>
        <w:spacing w:line="540" w:lineRule="exact"/>
        <w:ind w:firstLine="643"/>
        <w:jc w:val="both"/>
        <w:textAlignment w:val="auto"/>
        <w:outlineLvl w:val="3"/>
        <w:rPr>
          <w:rFonts w:hint="eastAsia" w:ascii="Times New Roman" w:hAnsi="Times New Roman" w:eastAsia="仿宋_GB2312" w:cs="方正仿宋_GBK"/>
          <w:b w:val="0"/>
          <w:bCs w:val="0"/>
          <w:szCs w:val="36"/>
          <w:highlight w:val="none"/>
          <w:lang w:eastAsia="zh-CN"/>
        </w:rPr>
      </w:pPr>
      <w:bookmarkStart w:id="219" w:name="_Toc4851"/>
      <w:r>
        <w:rPr>
          <w:rFonts w:hint="eastAsia" w:ascii="Times New Roman" w:hAnsi="Times New Roman" w:eastAsia="仿宋_GB2312" w:cs="方正仿宋_GBK"/>
          <w:b w:val="0"/>
          <w:bCs w:val="0"/>
          <w:color w:val="auto"/>
          <w:szCs w:val="32"/>
          <w:highlight w:val="none"/>
          <w:lang w:val="en-US" w:eastAsia="zh-CN"/>
        </w:rPr>
        <w:t>科学开展国土绿化</w:t>
      </w:r>
      <w:bookmarkEnd w:id="219"/>
      <w:r>
        <w:rPr>
          <w:rFonts w:hint="eastAsia" w:eastAsia="仿宋_GB2312" w:cs="方正仿宋_GBK"/>
          <w:b w:val="0"/>
          <w:bCs w:val="0"/>
          <w:color w:val="auto"/>
          <w:szCs w:val="32"/>
          <w:highlight w:val="none"/>
          <w:lang w:val="en-US" w:eastAsia="zh-CN"/>
        </w:rPr>
        <w:t>。</w:t>
      </w:r>
      <w:r>
        <w:rPr>
          <w:rFonts w:hint="eastAsia" w:ascii="Times New Roman" w:hAnsi="Times New Roman" w:eastAsia="仿宋_GB2312" w:cs="方正仿宋_GBK"/>
          <w:b w:val="0"/>
          <w:bCs w:val="0"/>
          <w:szCs w:val="36"/>
          <w:highlight w:val="none"/>
          <w:lang w:eastAsia="zh-CN"/>
        </w:rPr>
        <w:t>坚持造林与护林并重，全面落实林</w:t>
      </w:r>
      <w:r>
        <w:rPr>
          <w:rFonts w:hint="eastAsia" w:eastAsia="仿宋_GB2312" w:cs="方正仿宋_GBK"/>
          <w:b w:val="0"/>
          <w:bCs w:val="0"/>
          <w:szCs w:val="36"/>
          <w:highlight w:val="none"/>
          <w:lang w:val="en-US" w:eastAsia="zh-CN"/>
        </w:rPr>
        <w:t>草</w:t>
      </w:r>
      <w:r>
        <w:rPr>
          <w:rFonts w:hint="eastAsia" w:ascii="Times New Roman" w:hAnsi="Times New Roman" w:eastAsia="仿宋_GB2312" w:cs="方正仿宋_GBK"/>
          <w:b w:val="0"/>
          <w:bCs w:val="0"/>
          <w:szCs w:val="36"/>
          <w:highlight w:val="none"/>
          <w:lang w:eastAsia="zh-CN"/>
        </w:rPr>
        <w:t>长制、天然林保护与修复等制度。严格执行林地总量控制、定额管理和林地审核审批制度，加强天然林、公益林保护管理，确保到2030年森林覆盖率达到</w:t>
      </w:r>
      <w:r>
        <w:rPr>
          <w:rFonts w:hint="eastAsia" w:ascii="Times New Roman" w:hAnsi="Times New Roman" w:eastAsia="仿宋_GB2312" w:cs="方正仿宋_GBK"/>
          <w:b w:val="0"/>
          <w:bCs w:val="0"/>
          <w:szCs w:val="36"/>
          <w:highlight w:val="none"/>
          <w:lang w:val="en-US" w:eastAsia="zh-CN"/>
        </w:rPr>
        <w:t>34.</w:t>
      </w:r>
      <w:r>
        <w:rPr>
          <w:rFonts w:hint="eastAsia" w:eastAsia="仿宋_GB2312" w:cs="方正仿宋_GBK"/>
          <w:b w:val="0"/>
          <w:bCs w:val="0"/>
          <w:szCs w:val="36"/>
          <w:highlight w:val="none"/>
          <w:lang w:val="en-US" w:eastAsia="zh-CN"/>
        </w:rPr>
        <w:t>5</w:t>
      </w:r>
      <w:r>
        <w:rPr>
          <w:rFonts w:hint="eastAsia" w:ascii="Times New Roman" w:hAnsi="Times New Roman" w:eastAsia="仿宋_GB2312" w:cs="方正仿宋_GBK"/>
          <w:b w:val="0"/>
          <w:bCs w:val="0"/>
          <w:szCs w:val="36"/>
          <w:highlight w:val="none"/>
          <w:lang w:val="en-US" w:eastAsia="zh-CN"/>
        </w:rPr>
        <w:t>%、</w:t>
      </w:r>
      <w:r>
        <w:rPr>
          <w:rFonts w:hint="eastAsia" w:eastAsia="仿宋_GB2312" w:cs="方正仿宋_GBK"/>
          <w:b w:val="0"/>
          <w:bCs w:val="0"/>
          <w:szCs w:val="36"/>
          <w:highlight w:val="none"/>
          <w:lang w:val="en-US" w:eastAsia="zh-CN"/>
        </w:rPr>
        <w:t>国家级</w:t>
      </w:r>
      <w:r>
        <w:rPr>
          <w:rFonts w:hint="eastAsia" w:ascii="Times New Roman" w:hAnsi="Times New Roman" w:eastAsia="仿宋_GB2312" w:cs="方正仿宋_GBK"/>
          <w:b w:val="0"/>
          <w:bCs w:val="0"/>
          <w:szCs w:val="36"/>
          <w:highlight w:val="none"/>
          <w:lang w:eastAsia="zh-CN"/>
        </w:rPr>
        <w:t>公益林面积稳定在2900万亩以上。加强森林防火和有害生物防治，健全防灾减灾救灾体系。严格草原分区用途管控和基本草原占补平衡，禁止随意改变生态保护红线内的草原用途。坚持以草定畜，摸清草原健康和退化情况，</w:t>
      </w:r>
      <w:r>
        <w:rPr>
          <w:rFonts w:hint="eastAsia" w:eastAsia="仿宋_GB2312" w:cs="方正仿宋_GBK"/>
          <w:b w:val="0"/>
          <w:bCs w:val="0"/>
          <w:szCs w:val="36"/>
          <w:highlight w:val="none"/>
          <w:lang w:val="en-US" w:eastAsia="zh-CN"/>
        </w:rPr>
        <w:t>全市草畜平衡指数稳定在10%以下</w:t>
      </w:r>
      <w:r>
        <w:rPr>
          <w:rFonts w:hint="eastAsia" w:ascii="Times New Roman" w:hAnsi="Times New Roman" w:eastAsia="仿宋_GB2312" w:cs="方正仿宋_GBK"/>
          <w:b w:val="0"/>
          <w:bCs w:val="0"/>
          <w:szCs w:val="36"/>
          <w:highlight w:val="none"/>
          <w:lang w:eastAsia="zh-CN"/>
        </w:rPr>
        <w:t>。鼓励利用一般耕地、退耕还草地等发展人工饲草和草种业，建设一批优质饲草基地，实施草畜一体化发展。科学划定保护修复区域，开展人工种草与天然草原改良，加快退化、沙化草原治理，提升草原品质和生态功能。落实草原生态保护补助奖励政策，提高草原保险覆盖面和保障水平。到203</w:t>
      </w:r>
      <w:r>
        <w:rPr>
          <w:rFonts w:hint="eastAsia" w:ascii="Times New Roman" w:hAnsi="Times New Roman" w:eastAsia="仿宋_GB2312" w:cs="方正仿宋_GBK"/>
          <w:b w:val="0"/>
          <w:bCs w:val="0"/>
          <w:szCs w:val="36"/>
          <w:highlight w:val="none"/>
          <w:lang w:val="en-US" w:eastAsia="zh-CN"/>
        </w:rPr>
        <w:t>0</w:t>
      </w:r>
      <w:r>
        <w:rPr>
          <w:rFonts w:hint="eastAsia" w:ascii="Times New Roman" w:hAnsi="Times New Roman" w:eastAsia="仿宋_GB2312" w:cs="方正仿宋_GBK"/>
          <w:b w:val="0"/>
          <w:bCs w:val="0"/>
          <w:szCs w:val="36"/>
          <w:highlight w:val="none"/>
          <w:lang w:eastAsia="zh-CN"/>
        </w:rPr>
        <w:t>年，草原综合植被盖度稳定在</w:t>
      </w:r>
      <w:r>
        <w:rPr>
          <w:rFonts w:hint="eastAsia" w:eastAsia="仿宋_GB2312" w:cs="方正仿宋_GBK"/>
          <w:b w:val="0"/>
          <w:bCs w:val="0"/>
          <w:szCs w:val="36"/>
          <w:highlight w:val="none"/>
          <w:lang w:val="en-US" w:eastAsia="zh-CN"/>
        </w:rPr>
        <w:t>63</w:t>
      </w:r>
      <w:r>
        <w:rPr>
          <w:rFonts w:hint="eastAsia" w:ascii="Times New Roman" w:hAnsi="Times New Roman" w:eastAsia="仿宋_GB2312" w:cs="方正仿宋_GBK"/>
          <w:b w:val="0"/>
          <w:bCs w:val="0"/>
          <w:szCs w:val="36"/>
          <w:highlight w:val="none"/>
          <w:lang w:eastAsia="zh-CN"/>
        </w:rPr>
        <w:t>％以上。</w:t>
      </w:r>
    </w:p>
    <w:p w14:paraId="39C510EB">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szCs w:val="36"/>
          <w:highlight w:val="none"/>
          <w:lang w:eastAsia="zh-CN"/>
        </w:rPr>
      </w:pPr>
      <w:bookmarkStart w:id="220" w:name="_Toc30564"/>
      <w:r>
        <w:rPr>
          <w:rFonts w:hint="eastAsia" w:ascii="Times New Roman" w:hAnsi="Times New Roman" w:eastAsia="仿宋_GB2312" w:cs="方正仿宋_GBK"/>
          <w:b w:val="0"/>
          <w:bCs w:val="0"/>
          <w:color w:val="auto"/>
          <w:szCs w:val="32"/>
          <w:highlight w:val="none"/>
          <w:lang w:eastAsia="zh-CN"/>
        </w:rPr>
        <w:t>统筹山水林田湖草沙一体化保护</w:t>
      </w:r>
      <w:bookmarkEnd w:id="220"/>
      <w:r>
        <w:rPr>
          <w:rFonts w:hint="eastAsia" w:eastAsia="仿宋_GB2312" w:cs="方正仿宋_GBK"/>
          <w:b w:val="0"/>
          <w:bCs w:val="0"/>
          <w:color w:val="auto"/>
          <w:szCs w:val="32"/>
          <w:highlight w:val="none"/>
          <w:lang w:eastAsia="zh-CN"/>
        </w:rPr>
        <w:t>。</w:t>
      </w:r>
      <w:r>
        <w:rPr>
          <w:rFonts w:hint="eastAsia" w:ascii="Times New Roman" w:hAnsi="Times New Roman" w:eastAsia="仿宋_GB2312" w:cs="方正仿宋_GBK"/>
          <w:b w:val="0"/>
          <w:bCs w:val="0"/>
          <w:szCs w:val="36"/>
          <w:highlight w:val="none"/>
          <w:lang w:eastAsia="zh-CN"/>
        </w:rPr>
        <w:t>以西辽河流域为重点，系统推进水生态保护与修复工程，强化老哈河</w:t>
      </w:r>
      <w:r>
        <w:rPr>
          <w:rFonts w:hint="eastAsia" w:eastAsia="仿宋_GB2312" w:cs="方正仿宋_GBK"/>
          <w:b w:val="0"/>
          <w:bCs w:val="0"/>
          <w:szCs w:val="36"/>
          <w:highlight w:val="none"/>
          <w:lang w:eastAsia="zh-CN"/>
        </w:rPr>
        <w:t>、</w:t>
      </w:r>
      <w:r>
        <w:rPr>
          <w:rFonts w:hint="eastAsia" w:ascii="Times New Roman" w:hAnsi="Times New Roman" w:eastAsia="仿宋_GB2312" w:cs="方正仿宋_GBK"/>
          <w:b w:val="0"/>
          <w:bCs w:val="0"/>
          <w:szCs w:val="36"/>
          <w:highlight w:val="none"/>
          <w:lang w:val="en-US" w:eastAsia="zh-CN"/>
        </w:rPr>
        <w:t>西拉沐沦河、阴河</w:t>
      </w:r>
      <w:r>
        <w:rPr>
          <w:rFonts w:hint="eastAsia" w:ascii="Times New Roman" w:hAnsi="Times New Roman" w:eastAsia="仿宋_GB2312" w:cs="方正仿宋_GBK"/>
          <w:b w:val="0"/>
          <w:bCs w:val="0"/>
          <w:szCs w:val="36"/>
          <w:highlight w:val="none"/>
          <w:lang w:eastAsia="zh-CN"/>
        </w:rPr>
        <w:t>等干支流水环境综合治理，大力推进小流域综合治理。严格落实河湖长制，持续开展“清四乱”、入河排污口排查整治、河道采砂规范管理等专项行动，保障国控断面水质稳定达标。推进水源涵养林建设与水土流失治理，</w:t>
      </w:r>
      <w:r>
        <w:rPr>
          <w:rFonts w:hint="eastAsia" w:ascii="Times New Roman" w:hAnsi="Times New Roman" w:eastAsia="仿宋_GB2312" w:cs="方正仿宋_GBK"/>
          <w:b w:val="0"/>
          <w:bCs w:val="0"/>
          <w:szCs w:val="36"/>
          <w:highlight w:val="none"/>
          <w:lang w:val="en-US" w:eastAsia="zh-CN"/>
        </w:rPr>
        <w:t>加强水域岸线空间管控，</w:t>
      </w:r>
      <w:r>
        <w:rPr>
          <w:rFonts w:hint="eastAsia" w:ascii="Times New Roman" w:hAnsi="Times New Roman" w:eastAsia="仿宋_GB2312" w:cs="方正仿宋_GBK"/>
          <w:b w:val="0"/>
          <w:bCs w:val="0"/>
          <w:szCs w:val="36"/>
          <w:highlight w:val="none"/>
          <w:lang w:eastAsia="zh-CN"/>
        </w:rPr>
        <w:t>实施重要湿地和河湖滨岸带生态修复。以重要生态功能区、敏感区和脆弱区为重点，统筹实施防风固沙、水源涵养、水土保持等工程。强化跨部门、跨区域协同，整合林草、水利、农牧</w:t>
      </w:r>
      <w:r>
        <w:rPr>
          <w:rFonts w:hint="eastAsia" w:eastAsia="仿宋_GB2312" w:cs="方正仿宋_GBK"/>
          <w:b w:val="0"/>
          <w:bCs w:val="0"/>
          <w:szCs w:val="36"/>
          <w:highlight w:val="none"/>
          <w:lang w:eastAsia="zh-CN"/>
        </w:rPr>
        <w:t>、</w:t>
      </w:r>
      <w:r>
        <w:rPr>
          <w:rFonts w:hint="eastAsia" w:eastAsia="仿宋_GB2312" w:cs="方正仿宋_GBK"/>
          <w:b w:val="0"/>
          <w:bCs w:val="0"/>
          <w:szCs w:val="36"/>
          <w:highlight w:val="none"/>
          <w:lang w:val="en-US" w:eastAsia="zh-CN"/>
        </w:rPr>
        <w:t>气象</w:t>
      </w:r>
      <w:r>
        <w:rPr>
          <w:rFonts w:hint="eastAsia" w:ascii="Times New Roman" w:hAnsi="Times New Roman" w:eastAsia="仿宋_GB2312" w:cs="方正仿宋_GBK"/>
          <w:b w:val="0"/>
          <w:bCs w:val="0"/>
          <w:szCs w:val="36"/>
          <w:highlight w:val="none"/>
          <w:lang w:eastAsia="zh-CN"/>
        </w:rPr>
        <w:t>等领域治理措施，推动治沙、保水、护林、育草协同增效。</w:t>
      </w:r>
      <w:bookmarkStart w:id="221" w:name="_Hlk208404991"/>
    </w:p>
    <w:p w14:paraId="5224C576">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szCs w:val="36"/>
          <w:highlight w:val="none"/>
          <w:lang w:eastAsia="zh-CN"/>
        </w:rPr>
      </w:pPr>
      <w:bookmarkStart w:id="222" w:name="_Toc4785"/>
      <w:r>
        <w:rPr>
          <w:rFonts w:hint="eastAsia" w:ascii="Times New Roman" w:hAnsi="Times New Roman" w:eastAsia="仿宋_GB2312" w:cs="方正仿宋_GBK"/>
          <w:b w:val="0"/>
          <w:bCs w:val="0"/>
          <w:color w:val="auto"/>
          <w:szCs w:val="32"/>
          <w:highlight w:val="none"/>
          <w:lang w:eastAsia="zh-CN"/>
        </w:rPr>
        <w:t>加强生物多样性保护</w:t>
      </w:r>
      <w:bookmarkEnd w:id="222"/>
      <w:r>
        <w:rPr>
          <w:rFonts w:hint="eastAsia" w:eastAsia="仿宋_GB2312" w:cs="方正仿宋_GBK"/>
          <w:b w:val="0"/>
          <w:bCs w:val="0"/>
          <w:color w:val="auto"/>
          <w:szCs w:val="32"/>
          <w:highlight w:val="none"/>
          <w:lang w:eastAsia="zh-CN"/>
        </w:rPr>
        <w:t>。</w:t>
      </w:r>
      <w:r>
        <w:rPr>
          <w:rFonts w:hint="eastAsia" w:ascii="Times New Roman" w:hAnsi="Times New Roman" w:eastAsia="仿宋_GB2312" w:cs="方正仿宋_GBK"/>
          <w:b w:val="0"/>
          <w:bCs w:val="0"/>
          <w:szCs w:val="36"/>
          <w:highlight w:val="none"/>
          <w:lang w:eastAsia="zh-CN"/>
        </w:rPr>
        <w:t>持续开展生物多样性调查、监测和评估，建立健</w:t>
      </w:r>
      <w:r>
        <w:rPr>
          <w:rFonts w:hint="eastAsia" w:eastAsia="仿宋_GB2312" w:cs="方正仿宋_GBK"/>
          <w:b w:val="0"/>
          <w:bCs w:val="0"/>
          <w:szCs w:val="36"/>
          <w:highlight w:val="none"/>
          <w:lang w:eastAsia="zh-CN"/>
        </w:rPr>
        <w:t>全生</w:t>
      </w:r>
      <w:r>
        <w:rPr>
          <w:rFonts w:hint="eastAsia" w:ascii="Times New Roman" w:hAnsi="Times New Roman" w:eastAsia="仿宋_GB2312" w:cs="方正仿宋_GBK"/>
          <w:b w:val="0"/>
          <w:bCs w:val="0"/>
          <w:szCs w:val="36"/>
          <w:highlight w:val="none"/>
          <w:lang w:eastAsia="zh-CN"/>
        </w:rPr>
        <w:t>物多样性监测网络和数据库。加强国家重点保护和珍稀危野生动植物及其栖息地、原生境保护修复，重点加强达里诺尔国家级自然保护区、乌兰坝国家级自然保护区及白音敖包沙地云杉林等关键区域保护，强化生态廊道建设。完善野生动物疫源病防控体系，开展外来入侵物种专项整治行动。全面禁止非法野生动物交易，严厉打击非法捕猎、采集和贸易活动。</w:t>
      </w:r>
      <w:bookmarkEnd w:id="221"/>
    </w:p>
    <w:p w14:paraId="4B1005EF">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spacing w:val="-6"/>
          <w:szCs w:val="36"/>
          <w:highlight w:val="none"/>
          <w:lang w:val="en-US" w:eastAsia="zh-CN"/>
        </w:rPr>
      </w:pPr>
      <w:r>
        <w:rPr>
          <w:rFonts w:hint="eastAsia" w:eastAsia="仿宋_GB2312" w:cs="方正仿宋_GBK"/>
          <w:b w:val="0"/>
          <w:bCs w:val="0"/>
          <w:color w:val="auto"/>
          <w:szCs w:val="32"/>
          <w:highlight w:val="none"/>
          <w:lang w:val="en-US" w:eastAsia="zh-CN"/>
        </w:rPr>
        <w:t>完善生态文明制度体系。</w:t>
      </w:r>
      <w:r>
        <w:rPr>
          <w:rFonts w:hint="eastAsia" w:ascii="Times New Roman" w:hAnsi="Times New Roman" w:eastAsia="仿宋_GB2312" w:cs="方正仿宋_GBK"/>
          <w:b w:val="0"/>
          <w:bCs w:val="0"/>
          <w:szCs w:val="36"/>
          <w:highlight w:val="none"/>
          <w:lang w:val="en-US" w:eastAsia="zh-CN"/>
        </w:rPr>
        <w:t>健全山水林田湖草沙一体化保护和系统治理机制，</w:t>
      </w:r>
      <w:r>
        <w:rPr>
          <w:rFonts w:hint="eastAsia" w:eastAsia="仿宋_GB2312" w:cs="方正仿宋_GBK"/>
          <w:b w:val="0"/>
          <w:bCs w:val="0"/>
          <w:szCs w:val="36"/>
          <w:highlight w:val="none"/>
          <w:lang w:val="en-US" w:eastAsia="zh-CN"/>
        </w:rPr>
        <w:t>完</w:t>
      </w:r>
      <w:r>
        <w:rPr>
          <w:rFonts w:hint="eastAsia" w:ascii="Times New Roman" w:hAnsi="Times New Roman" w:eastAsia="仿宋_GB2312" w:cs="方正仿宋_GBK"/>
          <w:b w:val="0"/>
          <w:bCs w:val="0"/>
          <w:szCs w:val="36"/>
          <w:highlight w:val="none"/>
          <w:lang w:val="en-US" w:eastAsia="zh-CN"/>
        </w:rPr>
        <w:t>善多元化生态保护修复投入机制。</w:t>
      </w:r>
      <w:r>
        <w:rPr>
          <w:rFonts w:hint="eastAsia" w:ascii="仿宋_GB2312" w:hAnsi="仿宋_GB2312" w:eastAsia="仿宋_GB2312" w:cs="仿宋_GB2312"/>
          <w:b w:val="0"/>
          <w:bCs w:val="0"/>
          <w:sz w:val="32"/>
          <w:szCs w:val="32"/>
          <w:highlight w:val="none"/>
          <w:u w:val="none" w:color="auto"/>
          <w:lang w:val="en-US" w:eastAsia="zh-CN"/>
        </w:rPr>
        <w:t>健全生态环境治理体系，完善生态环境保护体制机制，开展生态保护修复成效评估。完善自然保</w:t>
      </w:r>
      <w:r>
        <w:rPr>
          <w:rFonts w:hint="eastAsia" w:ascii="仿宋_GB2312" w:hAnsi="仿宋_GB2312" w:eastAsia="仿宋_GB2312" w:cs="仿宋_GB2312"/>
          <w:b w:val="0"/>
          <w:bCs w:val="0"/>
          <w:spacing w:val="-6"/>
          <w:sz w:val="32"/>
          <w:szCs w:val="32"/>
          <w:highlight w:val="none"/>
          <w:u w:val="none" w:color="auto"/>
          <w:lang w:val="en-US" w:eastAsia="zh-CN"/>
        </w:rPr>
        <w:t>护地、生态保护红线监管制度。</w:t>
      </w:r>
      <w:r>
        <w:rPr>
          <w:rFonts w:hint="eastAsia" w:ascii="Times New Roman" w:hAnsi="Times New Roman" w:eastAsia="仿宋_GB2312" w:cs="方正仿宋_GBK"/>
          <w:b w:val="0"/>
          <w:bCs w:val="0"/>
          <w:spacing w:val="-6"/>
          <w:szCs w:val="36"/>
          <w:highlight w:val="none"/>
          <w:lang w:val="en-US" w:eastAsia="zh-CN"/>
        </w:rPr>
        <w:t>巩固喀喇沁旗“绿水青山就是金山银山”实践创新基地建设成果</w:t>
      </w:r>
      <w:r>
        <w:rPr>
          <w:rFonts w:hint="eastAsia" w:eastAsia="仿宋_GB2312" w:cs="方正仿宋_GBK"/>
          <w:b w:val="0"/>
          <w:bCs w:val="0"/>
          <w:spacing w:val="-6"/>
          <w:szCs w:val="36"/>
          <w:highlight w:val="none"/>
          <w:lang w:val="en-US" w:eastAsia="zh-CN"/>
        </w:rPr>
        <w:t>。</w:t>
      </w:r>
      <w:r>
        <w:rPr>
          <w:rFonts w:hint="eastAsia" w:ascii="Times New Roman" w:hAnsi="Times New Roman" w:eastAsia="仿宋_GB2312" w:cs="方正仿宋_GBK"/>
          <w:b w:val="0"/>
          <w:bCs w:val="0"/>
          <w:spacing w:val="-6"/>
          <w:szCs w:val="36"/>
          <w:highlight w:val="none"/>
          <w:lang w:val="en-US" w:eastAsia="zh-CN"/>
        </w:rPr>
        <w:t>协同做好生态治理，分级分类建立生态警务工作站点，构建立体化、多维度、多层圈生态防护体系。</w:t>
      </w:r>
    </w:p>
    <w:p w14:paraId="0EC4723C">
      <w:pPr>
        <w:keepNext w:val="0"/>
        <w:keepLines w:val="0"/>
        <w:pageBreakBefore w:val="0"/>
        <w:widowControl/>
        <w:numPr>
          <w:ilvl w:val="0"/>
          <w:numId w:val="4"/>
        </w:numPr>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223" w:name="_Toc9875"/>
      <w:bookmarkStart w:id="224" w:name="_Toc13394"/>
      <w:bookmarkStart w:id="225" w:name="_Toc29711"/>
      <w:bookmarkStart w:id="226" w:name="_Toc5847"/>
      <w:bookmarkStart w:id="227" w:name="_Toc26037"/>
      <w:bookmarkStart w:id="228" w:name="_Toc20189"/>
      <w:bookmarkStart w:id="229" w:name="_Toc1560"/>
      <w:bookmarkStart w:id="230" w:name="_Toc17671"/>
      <w:bookmarkStart w:id="231" w:name="_Toc26588"/>
      <w:bookmarkStart w:id="232" w:name="_Toc23145"/>
      <w:bookmarkStart w:id="233" w:name="_Toc24286"/>
      <w:bookmarkStart w:id="234" w:name="_Toc4219"/>
      <w:bookmarkStart w:id="235" w:name="_Toc18651"/>
      <w:bookmarkStart w:id="236" w:name="_Toc6547"/>
      <w:bookmarkStart w:id="237" w:name="_Toc23419"/>
      <w:bookmarkStart w:id="238" w:name="_Toc27016"/>
      <w:bookmarkStart w:id="239" w:name="_Toc18231"/>
      <w:bookmarkStart w:id="240" w:name="_Toc32060"/>
      <w:bookmarkStart w:id="241" w:name="_Toc21708"/>
      <w:bookmarkStart w:id="242" w:name="_Toc26333"/>
      <w:bookmarkStart w:id="243" w:name="_Toc32415"/>
      <w:bookmarkStart w:id="244" w:name="_Toc4891"/>
      <w:bookmarkStart w:id="245" w:name="_Toc19937"/>
      <w:r>
        <w:rPr>
          <w:rFonts w:hint="eastAsia" w:ascii="楷体_GB2312" w:hAnsi="楷体_GB2312" w:eastAsia="楷体_GB2312" w:cs="楷体_GB2312"/>
          <w:b w:val="0"/>
          <w:bCs w:val="0"/>
          <w:color w:val="auto"/>
          <w:sz w:val="32"/>
          <w:szCs w:val="40"/>
          <w:highlight w:val="none"/>
          <w:lang w:val="en-US" w:eastAsia="zh-CN"/>
        </w:rPr>
        <w:t>推动生态产品价值实现</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14:paraId="331D08E3">
      <w:pPr>
        <w:pStyle w:val="43"/>
        <w:keepNext w:val="0"/>
        <w:keepLines w:val="0"/>
        <w:pageBreakBefore w:val="0"/>
        <w:shd w:val="clear" w:color="auto" w:fill="auto"/>
        <w:kinsoku/>
        <w:wordWrap/>
        <w:topLinePunct w:val="0"/>
        <w:autoSpaceDE/>
        <w:autoSpaceDN/>
        <w:bidi w:val="0"/>
        <w:adjustRightInd/>
        <w:spacing w:line="540" w:lineRule="exact"/>
        <w:ind w:firstLine="0"/>
        <w:jc w:val="both"/>
        <w:textAlignment w:val="auto"/>
        <w:outlineLvl w:val="9"/>
        <w:rPr>
          <w:rFonts w:hint="eastAsia" w:ascii="Times New Roman" w:hAnsi="Times New Roman" w:eastAsia="仿宋_GB2312" w:cs="方正仿宋_GBK"/>
          <w:b w:val="0"/>
          <w:bCs w:val="0"/>
          <w:szCs w:val="36"/>
          <w:highlight w:val="none"/>
          <w:lang w:eastAsia="zh-CN"/>
        </w:rPr>
      </w:pPr>
      <w:r>
        <w:rPr>
          <w:rFonts w:hint="eastAsia" w:eastAsia="仿宋_GB2312" w:cs="方正仿宋_GBK"/>
          <w:b w:val="0"/>
          <w:bCs w:val="0"/>
          <w:szCs w:val="36"/>
          <w:highlight w:val="none"/>
          <w:lang w:val="en-US" w:eastAsia="zh-CN"/>
        </w:rPr>
        <w:t>积极探索推广绿水青山转化为金山银山的路径，</w:t>
      </w:r>
      <w:r>
        <w:rPr>
          <w:rFonts w:hint="eastAsia" w:ascii="Times New Roman" w:hAnsi="Times New Roman" w:eastAsia="仿宋_GB2312" w:cs="方正仿宋_GBK"/>
          <w:b w:val="0"/>
          <w:bCs w:val="0"/>
          <w:szCs w:val="36"/>
          <w:highlight w:val="none"/>
          <w:lang w:eastAsia="zh-CN"/>
        </w:rPr>
        <w:t>探索政府主导、企业和社会各界参与、市场化运作、可持续的生态产品价值实现路径，推动生态优势转化为发展优势。</w:t>
      </w:r>
    </w:p>
    <w:p w14:paraId="695272EE">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szCs w:val="36"/>
          <w:highlight w:val="none"/>
          <w:lang w:val="en-US" w:eastAsia="zh-CN"/>
        </w:rPr>
      </w:pPr>
      <w:bookmarkStart w:id="246" w:name="_Toc14419"/>
      <w:r>
        <w:rPr>
          <w:rFonts w:hint="eastAsia" w:ascii="Times New Roman" w:hAnsi="Times New Roman" w:eastAsia="仿宋_GB2312" w:cs="方正仿宋_GBK"/>
          <w:b w:val="0"/>
          <w:bCs w:val="0"/>
          <w:color w:val="auto"/>
          <w:szCs w:val="32"/>
          <w:highlight w:val="none"/>
          <w:lang w:eastAsia="zh-CN"/>
        </w:rPr>
        <w:t>夯实生态产品价值实现基础</w:t>
      </w:r>
      <w:bookmarkEnd w:id="246"/>
      <w:r>
        <w:rPr>
          <w:rFonts w:hint="eastAsia" w:eastAsia="仿宋_GB2312" w:cs="方正仿宋_GBK"/>
          <w:b w:val="0"/>
          <w:bCs w:val="0"/>
          <w:color w:val="auto"/>
          <w:szCs w:val="32"/>
          <w:highlight w:val="none"/>
          <w:lang w:eastAsia="zh-CN"/>
        </w:rPr>
        <w:t>。</w:t>
      </w:r>
      <w:r>
        <w:rPr>
          <w:rFonts w:hint="eastAsia" w:ascii="Times New Roman" w:hAnsi="Times New Roman" w:eastAsia="仿宋_GB2312" w:cs="方正仿宋_GBK"/>
          <w:b w:val="0"/>
          <w:bCs w:val="0"/>
          <w:szCs w:val="36"/>
          <w:highlight w:val="none"/>
          <w:lang w:eastAsia="zh-CN"/>
        </w:rPr>
        <w:t>建立生态产品信息普查机制，全面摸清各类生态产品数量、质量等底数，形成生态产品目录清单。建立生态产品动态监测制度，及时跟踪掌握生态产品变化情况。深化生态产品价值核算和结果运用，</w:t>
      </w:r>
      <w:r>
        <w:rPr>
          <w:rFonts w:hint="eastAsia" w:ascii="Times New Roman" w:hAnsi="Times New Roman" w:eastAsia="仿宋_GB2312" w:cs="方正仿宋_GBK"/>
          <w:b w:val="0"/>
          <w:bCs w:val="0"/>
          <w:szCs w:val="36"/>
          <w:highlight w:val="none"/>
          <w:lang w:val="en-US" w:eastAsia="zh-CN"/>
        </w:rPr>
        <w:t>充分用好全市全空间生态产品全指标、全周期、全口径的“四全”评估结果，</w:t>
      </w:r>
      <w:r>
        <w:rPr>
          <w:rFonts w:hint="eastAsia" w:ascii="Times New Roman" w:hAnsi="Times New Roman" w:eastAsia="仿宋_GB2312" w:cs="方正仿宋_GBK"/>
          <w:b w:val="0"/>
          <w:bCs w:val="0"/>
          <w:szCs w:val="36"/>
          <w:highlight w:val="none"/>
          <w:lang w:eastAsia="zh-CN"/>
        </w:rPr>
        <w:t>探索建立体现市场供需关系的生态产品价格形成机制，</w:t>
      </w:r>
      <w:r>
        <w:rPr>
          <w:rFonts w:hint="eastAsia" w:ascii="Times New Roman" w:hAnsi="Times New Roman" w:eastAsia="仿宋_GB2312" w:cs="方正仿宋_GBK"/>
          <w:b w:val="0"/>
          <w:bCs w:val="0"/>
          <w:szCs w:val="36"/>
          <w:highlight w:val="none"/>
          <w:lang w:val="en-US" w:eastAsia="zh-CN"/>
        </w:rPr>
        <w:t>着力推动价值转化。</w:t>
      </w:r>
      <w:r>
        <w:rPr>
          <w:rFonts w:hint="eastAsia" w:ascii="Times New Roman" w:hAnsi="Times New Roman" w:eastAsia="仿宋_GB2312" w:cs="方正仿宋_GBK"/>
          <w:b w:val="0"/>
          <w:bCs w:val="0"/>
          <w:szCs w:val="36"/>
          <w:highlight w:val="none"/>
          <w:lang w:eastAsia="zh-CN"/>
        </w:rPr>
        <w:t>开展生态产品价值核算，在条件成熟的</w:t>
      </w:r>
      <w:r>
        <w:rPr>
          <w:rFonts w:hint="eastAsia" w:ascii="Times New Roman" w:hAnsi="Times New Roman" w:eastAsia="仿宋_GB2312" w:cs="方正仿宋_GBK"/>
          <w:b w:val="0"/>
          <w:bCs w:val="0"/>
          <w:szCs w:val="36"/>
          <w:highlight w:val="none"/>
          <w:lang w:val="en-US" w:eastAsia="zh-CN"/>
        </w:rPr>
        <w:t>旗县区</w:t>
      </w:r>
      <w:r>
        <w:rPr>
          <w:rFonts w:hint="eastAsia" w:ascii="Times New Roman" w:hAnsi="Times New Roman" w:eastAsia="仿宋_GB2312" w:cs="方正仿宋_GBK"/>
          <w:b w:val="0"/>
          <w:bCs w:val="0"/>
          <w:szCs w:val="36"/>
          <w:highlight w:val="none"/>
          <w:lang w:eastAsia="zh-CN"/>
        </w:rPr>
        <w:t>先行探索GEP核算应用。</w:t>
      </w:r>
    </w:p>
    <w:p w14:paraId="4B6AEE8C">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szCs w:val="36"/>
          <w:highlight w:val="none"/>
          <w:lang w:val="en-US" w:eastAsia="zh-CN"/>
        </w:rPr>
      </w:pPr>
      <w:bookmarkStart w:id="247" w:name="_Toc22900"/>
      <w:r>
        <w:rPr>
          <w:rFonts w:hint="eastAsia" w:ascii="Times New Roman" w:hAnsi="Times New Roman" w:eastAsia="仿宋_GB2312" w:cs="方正仿宋_GBK"/>
          <w:b w:val="0"/>
          <w:bCs w:val="0"/>
          <w:color w:val="auto"/>
          <w:szCs w:val="32"/>
          <w:highlight w:val="none"/>
          <w:lang w:val="en-US" w:eastAsia="zh-CN"/>
        </w:rPr>
        <w:t>强化生态产品价值实现保障</w:t>
      </w:r>
      <w:bookmarkEnd w:id="247"/>
      <w:r>
        <w:rPr>
          <w:rFonts w:hint="eastAsia" w:eastAsia="仿宋_GB2312" w:cs="方正仿宋_GBK"/>
          <w:b w:val="0"/>
          <w:bCs w:val="0"/>
          <w:color w:val="auto"/>
          <w:szCs w:val="32"/>
          <w:highlight w:val="none"/>
          <w:lang w:val="en-US" w:eastAsia="zh-CN"/>
        </w:rPr>
        <w:t>。</w:t>
      </w:r>
      <w:r>
        <w:rPr>
          <w:rFonts w:hint="eastAsia" w:ascii="Times New Roman" w:hAnsi="Times New Roman" w:eastAsia="仿宋_GB2312" w:cs="方正仿宋_GBK"/>
          <w:b w:val="0"/>
          <w:bCs w:val="0"/>
          <w:szCs w:val="36"/>
          <w:highlight w:val="none"/>
          <w:lang w:val="en-US" w:eastAsia="zh-CN"/>
        </w:rPr>
        <w:t>加大绿色金融支持力度，</w:t>
      </w:r>
      <w:r>
        <w:rPr>
          <w:rFonts w:hint="eastAsia" w:eastAsia="仿宋_GB2312" w:cs="方正仿宋_GBK"/>
          <w:b w:val="0"/>
          <w:bCs w:val="0"/>
          <w:szCs w:val="36"/>
          <w:highlight w:val="none"/>
          <w:lang w:val="en-US" w:eastAsia="zh-CN"/>
        </w:rPr>
        <w:t>在</w:t>
      </w:r>
      <w:r>
        <w:rPr>
          <w:rFonts w:hint="eastAsia" w:ascii="Times New Roman" w:hAnsi="Times New Roman" w:eastAsia="仿宋_GB2312" w:cs="方正仿宋_GBK"/>
          <w:b w:val="0"/>
          <w:bCs w:val="0"/>
          <w:szCs w:val="36"/>
          <w:highlight w:val="none"/>
          <w:lang w:val="en-US" w:eastAsia="zh-CN"/>
        </w:rPr>
        <w:t>授信政策、资源配置等方面给予支持，强化绿色金融产品和服务创新，为重要生态修复项目提供中长期资金支持。不断提升绿色金融服务质效，支持引导银行机构绿色信贷产品服务支撑传统能源清洁高效利用、道路及园林绿化、风力发电、光伏治沙生态修复等领域。健全生态产品保护补偿机制，积极争取中央和自治区财政转移支付支持。</w:t>
      </w:r>
    </w:p>
    <w:p w14:paraId="76C420D2">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szCs w:val="36"/>
          <w:highlight w:val="none"/>
          <w:lang w:val="en-US" w:eastAsia="zh-CN"/>
        </w:rPr>
      </w:pPr>
      <w:bookmarkStart w:id="248" w:name="_Toc30514"/>
      <w:r>
        <w:rPr>
          <w:rFonts w:hint="eastAsia" w:ascii="Times New Roman" w:hAnsi="Times New Roman" w:eastAsia="仿宋_GB2312" w:cs="方正仿宋_GBK"/>
          <w:b w:val="0"/>
          <w:bCs w:val="0"/>
          <w:color w:val="auto"/>
          <w:szCs w:val="32"/>
          <w:highlight w:val="none"/>
          <w:lang w:val="en-US" w:eastAsia="zh-CN"/>
        </w:rPr>
        <w:t>促进重点领域生态产品价值实现</w:t>
      </w:r>
      <w:bookmarkEnd w:id="248"/>
      <w:r>
        <w:rPr>
          <w:rFonts w:hint="eastAsia" w:eastAsia="仿宋_GB2312" w:cs="方正仿宋_GBK"/>
          <w:b w:val="0"/>
          <w:bCs w:val="0"/>
          <w:color w:val="auto"/>
          <w:szCs w:val="32"/>
          <w:highlight w:val="none"/>
          <w:lang w:val="en-US" w:eastAsia="zh-CN"/>
        </w:rPr>
        <w:t>。</w:t>
      </w:r>
      <w:r>
        <w:rPr>
          <w:rFonts w:hint="eastAsia" w:ascii="Times New Roman" w:hAnsi="Times New Roman" w:eastAsia="仿宋_GB2312" w:cs="方正仿宋_GBK"/>
          <w:b w:val="0"/>
          <w:bCs w:val="0"/>
          <w:szCs w:val="36"/>
          <w:highlight w:val="none"/>
          <w:lang w:val="en-US" w:eastAsia="zh-CN"/>
        </w:rPr>
        <w:t>围绕森林、荒漠等重点领域，积极探索生态产品价值实现路径。促进森林生态产品价值实现，立足资源优势</w:t>
      </w:r>
      <w:r>
        <w:rPr>
          <w:rFonts w:hint="eastAsia" w:eastAsia="仿宋_GB2312" w:cs="方正仿宋_GBK"/>
          <w:b w:val="0"/>
          <w:bCs w:val="0"/>
          <w:szCs w:val="36"/>
          <w:highlight w:val="none"/>
          <w:lang w:val="en-US" w:eastAsia="zh-CN"/>
        </w:rPr>
        <w:t>发展</w:t>
      </w:r>
      <w:r>
        <w:rPr>
          <w:rFonts w:hint="eastAsia" w:ascii="Times New Roman" w:hAnsi="Times New Roman" w:eastAsia="仿宋_GB2312" w:cs="方正仿宋_GBK"/>
          <w:b w:val="0"/>
          <w:bCs w:val="0"/>
          <w:szCs w:val="36"/>
          <w:highlight w:val="none"/>
          <w:lang w:val="en-US" w:eastAsia="zh-CN"/>
        </w:rPr>
        <w:t>林下经济，重点发展林下种植、林下养殖、森林康养等产业。促进荒漠生态产品价值实现，依托“三北”</w:t>
      </w:r>
      <w:r>
        <w:rPr>
          <w:rFonts w:hint="eastAsia" w:eastAsia="仿宋_GB2312" w:cs="方正仿宋_GBK"/>
          <w:b w:val="0"/>
          <w:bCs w:val="0"/>
          <w:szCs w:val="36"/>
          <w:highlight w:val="none"/>
          <w:lang w:val="en-US" w:eastAsia="zh-CN"/>
        </w:rPr>
        <w:t>六期</w:t>
      </w:r>
      <w:r>
        <w:rPr>
          <w:rFonts w:hint="eastAsia" w:ascii="Times New Roman" w:hAnsi="Times New Roman" w:eastAsia="仿宋_GB2312" w:cs="方正仿宋_GBK"/>
          <w:b w:val="0"/>
          <w:bCs w:val="0"/>
          <w:szCs w:val="36"/>
          <w:highlight w:val="none"/>
          <w:lang w:val="en-US" w:eastAsia="zh-CN"/>
        </w:rPr>
        <w:t>等重点生态工程，通过植树造林、发展特色种养、沙地旅游等，有效融入治沙和生态产业链条，实现生态效益与经济效益双赢。</w:t>
      </w:r>
      <w:r>
        <w:rPr>
          <w:rFonts w:hint="eastAsia" w:ascii="Times New Roman" w:hAnsi="Times New Roman" w:eastAsia="仿宋_GB2312" w:cs="方正仿宋_GBK"/>
          <w:b w:val="0"/>
          <w:bCs w:val="0"/>
          <w:szCs w:val="36"/>
          <w:highlight w:val="none"/>
          <w:lang w:eastAsia="zh-CN"/>
        </w:rPr>
        <w:t>巩固生态系统固碳作用，稳定现有森林、草原、湿地、土壤等固碳</w:t>
      </w:r>
      <w:r>
        <w:rPr>
          <w:rFonts w:hint="eastAsia" w:eastAsia="仿宋_GB2312" w:cs="方正仿宋_GBK"/>
          <w:b w:val="0"/>
          <w:bCs w:val="0"/>
          <w:szCs w:val="36"/>
          <w:highlight w:val="none"/>
          <w:lang w:val="en-US" w:eastAsia="zh-CN"/>
        </w:rPr>
        <w:t>功能</w:t>
      </w:r>
      <w:r>
        <w:rPr>
          <w:rFonts w:hint="eastAsia" w:ascii="Times New Roman" w:hAnsi="Times New Roman" w:eastAsia="仿宋_GB2312" w:cs="方正仿宋_GBK"/>
          <w:b w:val="0"/>
          <w:bCs w:val="0"/>
          <w:szCs w:val="36"/>
          <w:highlight w:val="none"/>
          <w:lang w:eastAsia="zh-CN"/>
        </w:rPr>
        <w:t>。提升生态系统碳汇增量，实施森林质量精准提升工程，增加森林蓄积量和碳汇量。加强生态系统碳汇基础支撑，建立健全林业碳汇计量监测体系</w:t>
      </w:r>
      <w:r>
        <w:rPr>
          <w:rFonts w:hint="eastAsia" w:eastAsia="仿宋_GB2312" w:cs="方正仿宋_GBK"/>
          <w:b w:val="0"/>
          <w:bCs w:val="0"/>
          <w:szCs w:val="36"/>
          <w:highlight w:val="none"/>
          <w:lang w:eastAsia="zh-CN"/>
        </w:rPr>
        <w:t>。</w:t>
      </w:r>
    </w:p>
    <w:p w14:paraId="096539B0">
      <w:pPr>
        <w:keepNext w:val="0"/>
        <w:keepLines w:val="0"/>
        <w:pageBreakBefore w:val="0"/>
        <w:widowControl/>
        <w:numPr>
          <w:ilvl w:val="0"/>
          <w:numId w:val="4"/>
        </w:numPr>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249" w:name="_Toc10908"/>
      <w:bookmarkStart w:id="250" w:name="_Toc21162"/>
      <w:bookmarkStart w:id="251" w:name="_Toc8757"/>
      <w:bookmarkStart w:id="252" w:name="_Toc13884"/>
      <w:bookmarkStart w:id="253" w:name="_Toc22423"/>
      <w:bookmarkStart w:id="254" w:name="_Toc14973"/>
      <w:bookmarkStart w:id="255" w:name="_Toc10534"/>
      <w:bookmarkStart w:id="256" w:name="_Toc32047"/>
      <w:bookmarkStart w:id="257" w:name="_Toc9397"/>
      <w:bookmarkStart w:id="258" w:name="_Toc3662"/>
      <w:bookmarkStart w:id="259" w:name="_Toc16592"/>
      <w:bookmarkStart w:id="260" w:name="_Toc19869"/>
      <w:bookmarkStart w:id="261" w:name="_Toc11534"/>
      <w:bookmarkStart w:id="262" w:name="_Toc23973"/>
      <w:bookmarkStart w:id="263" w:name="_Toc9952"/>
      <w:bookmarkStart w:id="264" w:name="_Toc21050"/>
      <w:bookmarkStart w:id="265" w:name="_Toc5508"/>
      <w:bookmarkStart w:id="266" w:name="_Toc2014"/>
      <w:bookmarkStart w:id="267" w:name="_Toc15384"/>
      <w:bookmarkStart w:id="268" w:name="_Toc29427"/>
      <w:bookmarkStart w:id="269" w:name="_Toc21260"/>
      <w:bookmarkStart w:id="270" w:name="_Toc10412"/>
      <w:bookmarkStart w:id="271" w:name="_Toc15878"/>
      <w:r>
        <w:rPr>
          <w:rFonts w:hint="eastAsia" w:ascii="楷体_GB2312" w:hAnsi="楷体_GB2312" w:eastAsia="楷体_GB2312" w:cs="楷体_GB2312"/>
          <w:b w:val="0"/>
          <w:bCs w:val="0"/>
          <w:color w:val="auto"/>
          <w:sz w:val="32"/>
          <w:szCs w:val="40"/>
          <w:highlight w:val="none"/>
          <w:lang w:val="en-US" w:eastAsia="zh-CN"/>
        </w:rPr>
        <w:t>积极稳妥推进和实现碳达峰</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14:paraId="7C0E619A">
      <w:pPr>
        <w:pStyle w:val="43"/>
        <w:keepNext w:val="0"/>
        <w:keepLines w:val="0"/>
        <w:pageBreakBefore w:val="0"/>
        <w:shd w:val="clear" w:color="auto" w:fill="auto"/>
        <w:kinsoku/>
        <w:wordWrap/>
        <w:topLinePunct w:val="0"/>
        <w:autoSpaceDE/>
        <w:autoSpaceDN/>
        <w:bidi w:val="0"/>
        <w:adjustRightInd/>
        <w:spacing w:line="540" w:lineRule="exact"/>
        <w:ind w:firstLine="0"/>
        <w:jc w:val="both"/>
        <w:textAlignment w:val="auto"/>
        <w:outlineLvl w:val="9"/>
        <w:rPr>
          <w:rFonts w:hint="eastAsia" w:ascii="Times New Roman" w:hAnsi="Times New Roman" w:eastAsia="仿宋_GB2312" w:cs="方正仿宋_GBK"/>
          <w:b w:val="0"/>
          <w:bCs w:val="0"/>
          <w:szCs w:val="36"/>
          <w:highlight w:val="none"/>
          <w:lang w:eastAsia="zh-CN"/>
        </w:rPr>
      </w:pPr>
      <w:bookmarkStart w:id="272" w:name="_Hlk208420412"/>
      <w:bookmarkStart w:id="273" w:name="_Hlk208420444"/>
      <w:r>
        <w:rPr>
          <w:rFonts w:hint="eastAsia" w:eastAsia="仿宋_GB2312" w:cs="方正仿宋_GBK"/>
          <w:b w:val="0"/>
          <w:bCs w:val="0"/>
          <w:szCs w:val="36"/>
          <w:highlight w:val="none"/>
          <w:lang w:val="en-US" w:eastAsia="zh-CN"/>
        </w:rPr>
        <w:t>统筹发展和减排，以碳达峰碳中和为牵引，推进绿色低碳循环发展，</w:t>
      </w:r>
      <w:r>
        <w:rPr>
          <w:rFonts w:hint="eastAsia" w:ascii="Times New Roman" w:hAnsi="Times New Roman" w:eastAsia="仿宋_GB2312" w:cs="方正仿宋_GBK"/>
          <w:b w:val="0"/>
          <w:bCs w:val="0"/>
          <w:szCs w:val="36"/>
          <w:highlight w:val="none"/>
          <w:lang w:eastAsia="zh-CN"/>
        </w:rPr>
        <w:t>确保如期实现</w:t>
      </w:r>
      <w:r>
        <w:rPr>
          <w:rFonts w:hint="eastAsia" w:eastAsia="仿宋_GB2312" w:cs="方正仿宋_GBK"/>
          <w:b w:val="0"/>
          <w:bCs w:val="0"/>
          <w:szCs w:val="36"/>
          <w:highlight w:val="none"/>
          <w:lang w:val="en-US" w:eastAsia="zh-CN"/>
        </w:rPr>
        <w:t>2030年前</w:t>
      </w:r>
      <w:r>
        <w:rPr>
          <w:rFonts w:hint="eastAsia" w:ascii="Times New Roman" w:hAnsi="Times New Roman" w:eastAsia="仿宋_GB2312" w:cs="方正仿宋_GBK"/>
          <w:b w:val="0"/>
          <w:bCs w:val="0"/>
          <w:szCs w:val="36"/>
          <w:highlight w:val="none"/>
          <w:lang w:eastAsia="zh-CN"/>
        </w:rPr>
        <w:t>碳达峰目标。</w:t>
      </w:r>
    </w:p>
    <w:p w14:paraId="29AF67E5">
      <w:pPr>
        <w:pStyle w:val="43"/>
        <w:keepNext w:val="0"/>
        <w:keepLines w:val="0"/>
        <w:pageBreakBefore w:val="0"/>
        <w:shd w:val="clear" w:color="auto" w:fill="auto"/>
        <w:kinsoku/>
        <w:wordWrap/>
        <w:topLinePunct w:val="0"/>
        <w:autoSpaceDE/>
        <w:autoSpaceDN/>
        <w:bidi w:val="0"/>
        <w:adjustRightInd/>
        <w:spacing w:line="540" w:lineRule="exact"/>
        <w:ind w:firstLine="0"/>
        <w:jc w:val="both"/>
        <w:textAlignment w:val="auto"/>
        <w:outlineLvl w:val="3"/>
        <w:rPr>
          <w:rFonts w:hint="eastAsia" w:ascii="Times New Roman" w:hAnsi="Times New Roman" w:eastAsia="仿宋_GB2312" w:cs="方正仿宋_GBK"/>
          <w:b w:val="0"/>
          <w:bCs w:val="0"/>
          <w:spacing w:val="-6"/>
          <w:szCs w:val="36"/>
          <w:highlight w:val="none"/>
          <w:lang w:eastAsia="zh-CN"/>
        </w:rPr>
      </w:pPr>
      <w:bookmarkStart w:id="274" w:name="_Toc8992"/>
      <w:r>
        <w:rPr>
          <w:rFonts w:hint="eastAsia" w:ascii="Times New Roman" w:hAnsi="Times New Roman" w:eastAsia="仿宋_GB2312" w:cs="方正仿宋_GBK"/>
          <w:b w:val="0"/>
          <w:bCs w:val="0"/>
          <w:color w:val="auto"/>
          <w:szCs w:val="32"/>
          <w:highlight w:val="none"/>
          <w:lang w:eastAsia="zh-CN"/>
        </w:rPr>
        <w:t>全面实施碳排放双控</w:t>
      </w:r>
      <w:r>
        <w:rPr>
          <w:rFonts w:hint="eastAsia" w:eastAsia="仿宋_GB2312" w:cs="方正仿宋_GBK"/>
          <w:b w:val="0"/>
          <w:bCs w:val="0"/>
          <w:color w:val="auto"/>
          <w:szCs w:val="32"/>
          <w:highlight w:val="none"/>
          <w:lang w:val="en-US" w:eastAsia="zh-CN"/>
        </w:rPr>
        <w:t>新机制</w:t>
      </w:r>
      <w:bookmarkEnd w:id="274"/>
      <w:r>
        <w:rPr>
          <w:rFonts w:hint="eastAsia" w:eastAsia="仿宋_GB2312" w:cs="方正仿宋_GBK"/>
          <w:b w:val="0"/>
          <w:bCs w:val="0"/>
          <w:color w:val="auto"/>
          <w:szCs w:val="32"/>
          <w:highlight w:val="none"/>
          <w:lang w:val="en-US" w:eastAsia="zh-CN"/>
        </w:rPr>
        <w:t>。</w:t>
      </w:r>
      <w:r>
        <w:rPr>
          <w:rFonts w:hint="eastAsia" w:ascii="Times New Roman" w:hAnsi="Times New Roman" w:eastAsia="仿宋_GB2312" w:cs="方正仿宋_GBK"/>
          <w:b w:val="0"/>
          <w:bCs w:val="0"/>
          <w:szCs w:val="36"/>
          <w:highlight w:val="none"/>
          <w:lang w:eastAsia="zh-CN"/>
        </w:rPr>
        <w:t>建立以强度控制为主、总量控制为辅的碳排放双控制度体系，实施</w:t>
      </w:r>
      <w:r>
        <w:rPr>
          <w:rFonts w:hint="eastAsia" w:eastAsia="仿宋_GB2312" w:cs="方正仿宋_GBK"/>
          <w:b w:val="0"/>
          <w:bCs w:val="0"/>
          <w:szCs w:val="36"/>
          <w:highlight w:val="none"/>
          <w:lang w:val="en-US" w:eastAsia="zh-CN"/>
        </w:rPr>
        <w:t>地区</w:t>
      </w:r>
      <w:r>
        <w:rPr>
          <w:rFonts w:hint="eastAsia" w:ascii="Times New Roman" w:hAnsi="Times New Roman" w:eastAsia="仿宋_GB2312" w:cs="方正仿宋_GBK"/>
          <w:b w:val="0"/>
          <w:bCs w:val="0"/>
          <w:szCs w:val="36"/>
          <w:highlight w:val="none"/>
          <w:lang w:eastAsia="zh-CN"/>
        </w:rPr>
        <w:t>碳考核、行业碳管控、企业碳管理、项目碳评价、产品</w:t>
      </w:r>
      <w:r>
        <w:rPr>
          <w:rFonts w:hint="eastAsia" w:ascii="Times New Roman" w:hAnsi="Times New Roman" w:eastAsia="仿宋_GB2312" w:cs="方正仿宋_GBK"/>
          <w:b w:val="0"/>
          <w:bCs w:val="0"/>
          <w:spacing w:val="-6"/>
          <w:szCs w:val="36"/>
          <w:highlight w:val="none"/>
          <w:lang w:eastAsia="zh-CN"/>
        </w:rPr>
        <w:t>碳足迹“五碳协同”管理机制。</w:t>
      </w:r>
      <w:r>
        <w:rPr>
          <w:rFonts w:hint="eastAsia" w:eastAsia="仿宋_GB2312" w:cs="方正仿宋_GBK"/>
          <w:b w:val="0"/>
          <w:bCs w:val="0"/>
          <w:spacing w:val="-6"/>
          <w:szCs w:val="36"/>
          <w:highlight w:val="none"/>
          <w:lang w:val="en-US" w:eastAsia="zh-CN"/>
        </w:rPr>
        <w:t>推动实现煤炭、石油消费达峰。</w:t>
      </w:r>
      <w:r>
        <w:rPr>
          <w:rFonts w:hint="eastAsia" w:ascii="Times New Roman" w:hAnsi="Times New Roman" w:eastAsia="仿宋_GB2312" w:cs="方正仿宋_GBK"/>
          <w:b w:val="0"/>
          <w:bCs w:val="0"/>
          <w:spacing w:val="-6"/>
          <w:szCs w:val="36"/>
          <w:highlight w:val="none"/>
          <w:lang w:eastAsia="zh-CN"/>
        </w:rPr>
        <w:t>逐步扩大碳排放权交易市场行业覆盖范围，积极参与全国温室气体自愿减排交易市场。</w:t>
      </w:r>
      <w:r>
        <w:rPr>
          <w:rFonts w:hint="eastAsia" w:ascii="Times New Roman" w:hAnsi="Times New Roman" w:eastAsia="仿宋_GB2312" w:cs="方正仿宋_GBK"/>
          <w:b w:val="0"/>
          <w:bCs w:val="0"/>
          <w:spacing w:val="-6"/>
          <w:szCs w:val="36"/>
          <w:highlight w:val="none"/>
          <w:lang w:val="en" w:eastAsia="zh-CN"/>
        </w:rPr>
        <w:t>加强气候</w:t>
      </w:r>
      <w:r>
        <w:rPr>
          <w:rFonts w:hint="eastAsia" w:ascii="Times New Roman" w:hAnsi="Times New Roman" w:eastAsia="仿宋_GB2312" w:cs="方正仿宋_GBK"/>
          <w:b w:val="0"/>
          <w:bCs w:val="0"/>
          <w:szCs w:val="36"/>
          <w:highlight w:val="none"/>
          <w:lang w:val="en" w:eastAsia="zh-CN"/>
        </w:rPr>
        <w:t>变化监测评估和相关基础数据支撑，提升碳排放总量和强度双控</w:t>
      </w:r>
      <w:r>
        <w:rPr>
          <w:rFonts w:hint="eastAsia" w:ascii="Times New Roman" w:hAnsi="Times New Roman" w:eastAsia="仿宋_GB2312" w:cs="方正仿宋_GBK"/>
          <w:b w:val="0"/>
          <w:bCs w:val="0"/>
          <w:spacing w:val="-6"/>
          <w:szCs w:val="36"/>
          <w:highlight w:val="none"/>
          <w:lang w:val="en" w:eastAsia="zh-CN"/>
        </w:rPr>
        <w:t>的科学性和精准性</w:t>
      </w:r>
      <w:r>
        <w:rPr>
          <w:rFonts w:hint="eastAsia" w:ascii="Times New Roman" w:hAnsi="Times New Roman" w:eastAsia="仿宋_GB2312" w:cs="方正仿宋_GBK"/>
          <w:b w:val="0"/>
          <w:bCs w:val="0"/>
          <w:spacing w:val="-6"/>
          <w:szCs w:val="36"/>
          <w:highlight w:val="none"/>
          <w:lang w:eastAsia="zh-CN"/>
        </w:rPr>
        <w:t>。加强市、旗县</w:t>
      </w:r>
      <w:r>
        <w:rPr>
          <w:rFonts w:hint="eastAsia" w:eastAsia="仿宋_GB2312" w:cs="方正仿宋_GBK"/>
          <w:b w:val="0"/>
          <w:bCs w:val="0"/>
          <w:spacing w:val="-6"/>
          <w:szCs w:val="36"/>
          <w:highlight w:val="none"/>
          <w:lang w:val="en-US" w:eastAsia="zh-CN"/>
        </w:rPr>
        <w:t>区两</w:t>
      </w:r>
      <w:r>
        <w:rPr>
          <w:rFonts w:hint="eastAsia" w:ascii="Times New Roman" w:hAnsi="Times New Roman" w:eastAsia="仿宋_GB2312" w:cs="方正仿宋_GBK"/>
          <w:b w:val="0"/>
          <w:bCs w:val="0"/>
          <w:spacing w:val="-6"/>
          <w:szCs w:val="36"/>
          <w:highlight w:val="none"/>
          <w:lang w:eastAsia="zh-CN"/>
        </w:rPr>
        <w:t>级节能降碳队伍建设</w:t>
      </w:r>
      <w:r>
        <w:rPr>
          <w:rFonts w:hint="eastAsia" w:eastAsia="仿宋_GB2312" w:cs="方正仿宋_GBK"/>
          <w:b w:val="0"/>
          <w:bCs w:val="0"/>
          <w:spacing w:val="-6"/>
          <w:szCs w:val="36"/>
          <w:highlight w:val="none"/>
          <w:lang w:eastAsia="zh-CN"/>
        </w:rPr>
        <w:t>。</w:t>
      </w:r>
      <w:r>
        <w:rPr>
          <w:rFonts w:hint="eastAsia" w:ascii="Times New Roman" w:hAnsi="Times New Roman" w:eastAsia="仿宋_GB2312" w:cs="方正仿宋_GBK"/>
          <w:b w:val="0"/>
          <w:bCs w:val="0"/>
          <w:spacing w:val="-6"/>
          <w:szCs w:val="36"/>
          <w:highlight w:val="none"/>
          <w:lang w:eastAsia="zh-CN"/>
        </w:rPr>
        <w:t>落实碳达峰碳中和“1+N+X”政策体系，加快构建科学高效的考核评价体系。</w:t>
      </w:r>
    </w:p>
    <w:p w14:paraId="287259D9">
      <w:pPr>
        <w:pStyle w:val="43"/>
        <w:keepNext w:val="0"/>
        <w:keepLines w:val="0"/>
        <w:pageBreakBefore w:val="0"/>
        <w:shd w:val="clear" w:color="auto" w:fill="auto"/>
        <w:kinsoku/>
        <w:wordWrap/>
        <w:topLinePunct w:val="0"/>
        <w:autoSpaceDE/>
        <w:autoSpaceDN/>
        <w:bidi w:val="0"/>
        <w:adjustRightInd/>
        <w:spacing w:line="540" w:lineRule="exact"/>
        <w:ind w:firstLine="643"/>
        <w:jc w:val="both"/>
        <w:textAlignment w:val="auto"/>
        <w:outlineLvl w:val="3"/>
        <w:rPr>
          <w:rFonts w:hint="eastAsia" w:ascii="Times New Roman" w:hAnsi="Times New Roman" w:eastAsia="仿宋_GB2312" w:cs="方正仿宋_GBK"/>
          <w:b w:val="0"/>
          <w:bCs w:val="0"/>
          <w:szCs w:val="36"/>
          <w:highlight w:val="none"/>
          <w:lang w:eastAsia="zh-CN"/>
        </w:rPr>
      </w:pPr>
      <w:bookmarkStart w:id="275" w:name="_Toc4870"/>
      <w:r>
        <w:rPr>
          <w:rFonts w:hint="eastAsia" w:ascii="Times New Roman" w:hAnsi="Times New Roman" w:eastAsia="仿宋_GB2312" w:cs="方正仿宋_GBK"/>
          <w:b w:val="0"/>
          <w:bCs w:val="0"/>
          <w:color w:val="auto"/>
          <w:szCs w:val="32"/>
          <w:highlight w:val="none"/>
          <w:lang w:eastAsia="zh-CN"/>
        </w:rPr>
        <w:t>加快建设零碳</w:t>
      </w:r>
      <w:r>
        <w:rPr>
          <w:rFonts w:hint="eastAsia" w:eastAsia="仿宋_GB2312" w:cs="方正仿宋_GBK"/>
          <w:b w:val="0"/>
          <w:bCs w:val="0"/>
          <w:color w:val="auto"/>
          <w:szCs w:val="32"/>
          <w:highlight w:val="none"/>
          <w:lang w:eastAsia="zh-CN"/>
        </w:rPr>
        <w:t>（</w:t>
      </w:r>
      <w:r>
        <w:rPr>
          <w:rFonts w:hint="eastAsia" w:eastAsia="仿宋_GB2312" w:cs="方正仿宋_GBK"/>
          <w:b w:val="0"/>
          <w:bCs w:val="0"/>
          <w:color w:val="auto"/>
          <w:szCs w:val="32"/>
          <w:highlight w:val="none"/>
          <w:lang w:val="en-US" w:eastAsia="zh-CN"/>
        </w:rPr>
        <w:t>低碳</w:t>
      </w:r>
      <w:r>
        <w:rPr>
          <w:rFonts w:hint="eastAsia" w:eastAsia="仿宋_GB2312" w:cs="方正仿宋_GBK"/>
          <w:b w:val="0"/>
          <w:bCs w:val="0"/>
          <w:color w:val="auto"/>
          <w:szCs w:val="32"/>
          <w:highlight w:val="none"/>
          <w:lang w:eastAsia="zh-CN"/>
        </w:rPr>
        <w:t>）</w:t>
      </w:r>
      <w:r>
        <w:rPr>
          <w:rFonts w:hint="eastAsia" w:ascii="Times New Roman" w:hAnsi="Times New Roman" w:eastAsia="仿宋_GB2312" w:cs="方正仿宋_GBK"/>
          <w:b w:val="0"/>
          <w:bCs w:val="0"/>
          <w:color w:val="auto"/>
          <w:szCs w:val="32"/>
          <w:highlight w:val="none"/>
          <w:lang w:val="en-US" w:eastAsia="zh-CN"/>
        </w:rPr>
        <w:t>园区</w:t>
      </w:r>
      <w:bookmarkEnd w:id="272"/>
      <w:bookmarkEnd w:id="273"/>
      <w:bookmarkEnd w:id="275"/>
      <w:r>
        <w:rPr>
          <w:rFonts w:hint="eastAsia" w:eastAsia="仿宋_GB2312" w:cs="方正仿宋_GBK"/>
          <w:b w:val="0"/>
          <w:bCs w:val="0"/>
          <w:color w:val="auto"/>
          <w:szCs w:val="32"/>
          <w:highlight w:val="none"/>
          <w:lang w:val="en-US" w:eastAsia="zh-CN"/>
        </w:rPr>
        <w:t>。</w:t>
      </w:r>
      <w:r>
        <w:rPr>
          <w:rFonts w:hint="eastAsia" w:ascii="Times New Roman" w:hAnsi="Times New Roman" w:eastAsia="仿宋_GB2312" w:cs="方正仿宋_GBK"/>
          <w:b w:val="0"/>
          <w:bCs w:val="0"/>
          <w:szCs w:val="36"/>
          <w:highlight w:val="none"/>
          <w:lang w:eastAsia="zh-CN"/>
        </w:rPr>
        <w:t>以赤峰高新技术产业开发区入选国家级碳达峰试点为契机，深化“绿色能源体系+绿色低碳产业体系+制度标准体系”建设模式，因地制宜、因园施策建设</w:t>
      </w:r>
      <w:r>
        <w:rPr>
          <w:rFonts w:hint="eastAsia" w:eastAsia="仿宋_GB2312" w:cs="方正仿宋_GBK"/>
          <w:b w:val="0"/>
          <w:bCs w:val="0"/>
          <w:szCs w:val="36"/>
          <w:highlight w:val="none"/>
          <w:lang w:val="en-US" w:eastAsia="zh-CN"/>
        </w:rPr>
        <w:t>国家级、</w:t>
      </w:r>
      <w:r>
        <w:rPr>
          <w:rFonts w:hint="eastAsia" w:ascii="Times New Roman" w:hAnsi="Times New Roman" w:eastAsia="仿宋_GB2312" w:cs="方正仿宋_GBK"/>
          <w:b w:val="0"/>
          <w:bCs w:val="0"/>
          <w:szCs w:val="36"/>
          <w:highlight w:val="none"/>
          <w:lang w:eastAsia="zh-CN"/>
        </w:rPr>
        <w:t>自治区级零碳</w:t>
      </w:r>
      <w:r>
        <w:rPr>
          <w:rFonts w:hint="eastAsia" w:eastAsia="仿宋_GB2312" w:cs="方正仿宋_GBK"/>
          <w:b w:val="0"/>
          <w:bCs w:val="0"/>
          <w:szCs w:val="36"/>
          <w:highlight w:val="none"/>
          <w:lang w:eastAsia="zh-CN"/>
        </w:rPr>
        <w:t>（</w:t>
      </w:r>
      <w:r>
        <w:rPr>
          <w:rFonts w:hint="eastAsia" w:eastAsia="仿宋_GB2312" w:cs="方正仿宋_GBK"/>
          <w:b w:val="0"/>
          <w:bCs w:val="0"/>
          <w:szCs w:val="36"/>
          <w:highlight w:val="none"/>
          <w:lang w:val="en-US" w:eastAsia="zh-CN"/>
        </w:rPr>
        <w:t>低碳</w:t>
      </w:r>
      <w:r>
        <w:rPr>
          <w:rFonts w:hint="eastAsia" w:eastAsia="仿宋_GB2312" w:cs="方正仿宋_GBK"/>
          <w:b w:val="0"/>
          <w:bCs w:val="0"/>
          <w:szCs w:val="36"/>
          <w:highlight w:val="none"/>
          <w:lang w:eastAsia="zh-CN"/>
        </w:rPr>
        <w:t>）</w:t>
      </w:r>
      <w:r>
        <w:rPr>
          <w:rFonts w:hint="eastAsia" w:ascii="Times New Roman" w:hAnsi="Times New Roman" w:eastAsia="仿宋_GB2312" w:cs="方正仿宋_GBK"/>
          <w:b w:val="0"/>
          <w:bCs w:val="0"/>
          <w:szCs w:val="36"/>
          <w:highlight w:val="none"/>
          <w:lang w:eastAsia="zh-CN"/>
        </w:rPr>
        <w:t>园区。推进“源网荷储”协同发展，大力发展绿电直连，加快推进制度、技术、管理和商业模式创新，有效破除存量负荷绿电直供、增量配电网等方面的体制机制障碍。按照“能源零碳化、资源高效化、生产清洁化、产品绿色化、用地集约化”导向，优先培育脱碳需求迫切、能源结构以电力为主、脱碳难度较小的行业建设零碳工厂</w:t>
      </w:r>
      <w:r>
        <w:rPr>
          <w:rFonts w:hint="eastAsia" w:eastAsia="仿宋_GB2312" w:cs="方正仿宋_GBK"/>
          <w:b w:val="0"/>
          <w:bCs w:val="0"/>
          <w:szCs w:val="36"/>
          <w:highlight w:val="none"/>
          <w:lang w:eastAsia="zh-CN"/>
        </w:rPr>
        <w:t>，</w:t>
      </w:r>
      <w:r>
        <w:rPr>
          <w:rFonts w:hint="eastAsia" w:ascii="Times New Roman" w:hAnsi="Times New Roman" w:eastAsia="仿宋_GB2312" w:cs="方正仿宋_GBK"/>
          <w:b w:val="0"/>
          <w:bCs w:val="0"/>
          <w:szCs w:val="36"/>
          <w:highlight w:val="none"/>
          <w:lang w:eastAsia="zh-CN"/>
        </w:rPr>
        <w:t>先行先试探索传统行业培育建设路径。</w:t>
      </w:r>
    </w:p>
    <w:p w14:paraId="586CDA71">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szCs w:val="36"/>
          <w:highlight w:val="none"/>
          <w:lang w:eastAsia="zh-CN"/>
        </w:rPr>
      </w:pPr>
      <w:bookmarkStart w:id="276" w:name="_Toc8149"/>
      <w:r>
        <w:rPr>
          <w:rFonts w:hint="eastAsia" w:ascii="Times New Roman" w:hAnsi="Times New Roman" w:eastAsia="仿宋_GB2312" w:cs="方正仿宋_GBK"/>
          <w:b w:val="0"/>
          <w:bCs w:val="0"/>
          <w:color w:val="auto"/>
          <w:szCs w:val="32"/>
          <w:highlight w:val="none"/>
          <w:lang w:val="en-US" w:eastAsia="zh-CN"/>
        </w:rPr>
        <w:t>加快重点领域绿色低碳转型</w:t>
      </w:r>
      <w:bookmarkEnd w:id="276"/>
      <w:r>
        <w:rPr>
          <w:rFonts w:hint="eastAsia" w:eastAsia="仿宋_GB2312" w:cs="方正仿宋_GBK"/>
          <w:b w:val="0"/>
          <w:bCs w:val="0"/>
          <w:color w:val="auto"/>
          <w:szCs w:val="32"/>
          <w:highlight w:val="none"/>
          <w:lang w:val="en-US" w:eastAsia="zh-CN"/>
        </w:rPr>
        <w:t>。</w:t>
      </w:r>
      <w:r>
        <w:rPr>
          <w:rFonts w:hint="eastAsia" w:ascii="Times New Roman" w:hAnsi="Times New Roman" w:eastAsia="仿宋_GB2312" w:cs="方正仿宋_GBK"/>
          <w:b w:val="0"/>
          <w:bCs w:val="0"/>
          <w:szCs w:val="36"/>
          <w:highlight w:val="none"/>
          <w:lang w:eastAsia="zh-CN"/>
        </w:rPr>
        <w:t>坚持节能降碳与优化用能结构并举，推进工业、能源、交通运输、城乡建设等重点领域绿色低碳转型。坚决遏制高能耗高排放项目盲目上马，对新</w:t>
      </w:r>
      <w:r>
        <w:rPr>
          <w:rFonts w:hint="eastAsia" w:eastAsia="仿宋_GB2312" w:cs="方正仿宋_GBK"/>
          <w:b w:val="0"/>
          <w:bCs w:val="0"/>
          <w:szCs w:val="36"/>
          <w:highlight w:val="none"/>
          <w:lang w:eastAsia="zh-CN"/>
        </w:rPr>
        <w:t>（</w:t>
      </w:r>
      <w:r>
        <w:rPr>
          <w:rFonts w:hint="eastAsia" w:ascii="Times New Roman" w:hAnsi="Times New Roman" w:eastAsia="仿宋_GB2312" w:cs="方正仿宋_GBK"/>
          <w:b w:val="0"/>
          <w:bCs w:val="0"/>
          <w:szCs w:val="36"/>
          <w:highlight w:val="none"/>
          <w:lang w:eastAsia="zh-CN"/>
        </w:rPr>
        <w:t>改、扩</w:t>
      </w:r>
      <w:r>
        <w:rPr>
          <w:rFonts w:hint="eastAsia" w:eastAsia="仿宋_GB2312" w:cs="方正仿宋_GBK"/>
          <w:b w:val="0"/>
          <w:bCs w:val="0"/>
          <w:szCs w:val="36"/>
          <w:highlight w:val="none"/>
          <w:lang w:eastAsia="zh-CN"/>
        </w:rPr>
        <w:t>）</w:t>
      </w:r>
      <w:r>
        <w:rPr>
          <w:rFonts w:hint="eastAsia" w:ascii="Times New Roman" w:hAnsi="Times New Roman" w:eastAsia="仿宋_GB2312" w:cs="方正仿宋_GBK"/>
          <w:b w:val="0"/>
          <w:bCs w:val="0"/>
          <w:szCs w:val="36"/>
          <w:highlight w:val="none"/>
          <w:lang w:eastAsia="zh-CN"/>
        </w:rPr>
        <w:t>建</w:t>
      </w:r>
      <w:r>
        <w:rPr>
          <w:rFonts w:hint="eastAsia" w:eastAsia="仿宋_GB2312" w:cs="方正仿宋_GBK"/>
          <w:b w:val="0"/>
          <w:bCs w:val="0"/>
          <w:szCs w:val="36"/>
          <w:highlight w:val="none"/>
          <w:lang w:eastAsia="zh-CN"/>
        </w:rPr>
        <w:t>“</w:t>
      </w:r>
      <w:r>
        <w:rPr>
          <w:rFonts w:hint="eastAsia" w:ascii="Times New Roman" w:hAnsi="Times New Roman" w:eastAsia="仿宋_GB2312" w:cs="方正仿宋_GBK"/>
          <w:b w:val="0"/>
          <w:bCs w:val="0"/>
          <w:szCs w:val="36"/>
          <w:highlight w:val="none"/>
          <w:lang w:eastAsia="zh-CN"/>
        </w:rPr>
        <w:t>两高</w:t>
      </w:r>
      <w:r>
        <w:rPr>
          <w:rFonts w:hint="eastAsia" w:eastAsia="仿宋_GB2312" w:cs="方正仿宋_GBK"/>
          <w:b w:val="0"/>
          <w:bCs w:val="0"/>
          <w:szCs w:val="36"/>
          <w:highlight w:val="none"/>
          <w:lang w:eastAsia="zh-CN"/>
        </w:rPr>
        <w:t>”</w:t>
      </w:r>
      <w:r>
        <w:rPr>
          <w:rFonts w:hint="eastAsia" w:ascii="Times New Roman" w:hAnsi="Times New Roman" w:eastAsia="仿宋_GB2312" w:cs="方正仿宋_GBK"/>
          <w:b w:val="0"/>
          <w:bCs w:val="0"/>
          <w:szCs w:val="36"/>
          <w:highlight w:val="none"/>
          <w:lang w:eastAsia="zh-CN"/>
        </w:rPr>
        <w:t>工业项目实施碳排放等量或减量置换</w:t>
      </w:r>
      <w:r>
        <w:rPr>
          <w:rFonts w:hint="eastAsia" w:eastAsia="仿宋_GB2312" w:cs="方正仿宋_GBK"/>
          <w:b w:val="0"/>
          <w:bCs w:val="0"/>
          <w:szCs w:val="36"/>
          <w:highlight w:val="none"/>
          <w:lang w:eastAsia="zh-CN"/>
        </w:rPr>
        <w:t>。</w:t>
      </w:r>
      <w:r>
        <w:rPr>
          <w:rFonts w:hint="eastAsia" w:ascii="Times New Roman" w:hAnsi="Times New Roman" w:eastAsia="仿宋_GB2312" w:cs="方正仿宋_GBK"/>
          <w:b w:val="0"/>
          <w:bCs w:val="0"/>
          <w:szCs w:val="36"/>
          <w:highlight w:val="none"/>
          <w:lang w:eastAsia="zh-CN"/>
        </w:rPr>
        <w:t>开展工业重点行业能效对标提升行动</w:t>
      </w:r>
      <w:r>
        <w:rPr>
          <w:rFonts w:hint="eastAsia" w:eastAsia="仿宋_GB2312" w:cs="方正仿宋_GBK"/>
          <w:b w:val="0"/>
          <w:bCs w:val="0"/>
          <w:szCs w:val="36"/>
          <w:highlight w:val="none"/>
          <w:lang w:eastAsia="zh-CN"/>
        </w:rPr>
        <w:t>，</w:t>
      </w:r>
      <w:r>
        <w:rPr>
          <w:rFonts w:hint="eastAsia" w:ascii="Times New Roman" w:hAnsi="Times New Roman" w:eastAsia="仿宋_GB2312" w:cs="方正仿宋_GBK"/>
          <w:b w:val="0"/>
          <w:bCs w:val="0"/>
          <w:szCs w:val="36"/>
          <w:highlight w:val="none"/>
          <w:lang w:eastAsia="zh-CN"/>
        </w:rPr>
        <w:t>统筹推进存量煤电机组低碳化改造</w:t>
      </w:r>
      <w:r>
        <w:rPr>
          <w:rFonts w:hint="eastAsia" w:eastAsia="仿宋_GB2312" w:cs="方正仿宋_GBK"/>
          <w:b w:val="0"/>
          <w:bCs w:val="0"/>
          <w:szCs w:val="36"/>
          <w:highlight w:val="none"/>
          <w:lang w:eastAsia="zh-CN"/>
        </w:rPr>
        <w:t>，</w:t>
      </w:r>
      <w:r>
        <w:rPr>
          <w:rFonts w:hint="eastAsia" w:eastAsia="仿宋_GB2312" w:cs="方正仿宋_GBK"/>
          <w:b w:val="0"/>
          <w:bCs w:val="0"/>
          <w:szCs w:val="36"/>
          <w:highlight w:val="none"/>
          <w:lang w:val="en-US" w:eastAsia="zh-CN"/>
        </w:rPr>
        <w:t>落实</w:t>
      </w:r>
      <w:r>
        <w:rPr>
          <w:rFonts w:hint="eastAsia" w:ascii="Times New Roman" w:hAnsi="Times New Roman" w:eastAsia="仿宋_GB2312" w:cs="方正仿宋_GBK"/>
          <w:b w:val="0"/>
          <w:bCs w:val="0"/>
          <w:szCs w:val="36"/>
          <w:highlight w:val="none"/>
          <w:lang w:eastAsia="zh-CN"/>
        </w:rPr>
        <w:t>绿电、绿氢、电能替代</w:t>
      </w:r>
      <w:r>
        <w:rPr>
          <w:rFonts w:hint="eastAsia" w:eastAsia="仿宋_GB2312" w:cs="方正仿宋_GBK"/>
          <w:b w:val="0"/>
          <w:bCs w:val="0"/>
          <w:szCs w:val="36"/>
          <w:highlight w:val="none"/>
          <w:lang w:val="en-US" w:eastAsia="zh-CN"/>
        </w:rPr>
        <w:t>行动</w:t>
      </w:r>
      <w:r>
        <w:rPr>
          <w:rFonts w:hint="eastAsia" w:ascii="Times New Roman" w:hAnsi="Times New Roman" w:eastAsia="仿宋_GB2312" w:cs="方正仿宋_GBK"/>
          <w:b w:val="0"/>
          <w:bCs w:val="0"/>
          <w:szCs w:val="36"/>
          <w:highlight w:val="none"/>
          <w:lang w:eastAsia="zh-CN"/>
        </w:rPr>
        <w:t>，</w:t>
      </w:r>
      <w:r>
        <w:rPr>
          <w:rFonts w:hint="eastAsia" w:ascii="Times New Roman" w:hAnsi="Times New Roman" w:eastAsia="仿宋_GB2312" w:cs="方正仿宋_GBK"/>
          <w:b w:val="0"/>
          <w:bCs w:val="0"/>
          <w:szCs w:val="36"/>
          <w:highlight w:val="none"/>
          <w:lang w:val="en-US" w:eastAsia="zh-CN"/>
        </w:rPr>
        <w:t>因地制宜布局建设用户侧新型储能设施</w:t>
      </w:r>
      <w:r>
        <w:rPr>
          <w:rFonts w:hint="eastAsia" w:eastAsia="仿宋_GB2312" w:cs="方正仿宋_GBK"/>
          <w:b w:val="0"/>
          <w:bCs w:val="0"/>
          <w:szCs w:val="36"/>
          <w:highlight w:val="none"/>
          <w:lang w:val="en-US" w:eastAsia="zh-CN"/>
        </w:rPr>
        <w:t>，</w:t>
      </w:r>
      <w:r>
        <w:rPr>
          <w:rFonts w:hint="eastAsia" w:ascii="Times New Roman" w:hAnsi="Times New Roman" w:eastAsia="仿宋_GB2312" w:cs="方正仿宋_GBK"/>
          <w:b w:val="0"/>
          <w:bCs w:val="0"/>
          <w:szCs w:val="36"/>
          <w:highlight w:val="none"/>
          <w:lang w:eastAsia="zh-CN"/>
        </w:rPr>
        <w:t>提高终端用能电气化绿色化水平。“一业一策</w:t>
      </w:r>
      <w:r>
        <w:rPr>
          <w:rFonts w:hint="eastAsia" w:eastAsia="仿宋_GB2312" w:cs="方正仿宋_GBK"/>
          <w:b w:val="0"/>
          <w:bCs w:val="0"/>
          <w:szCs w:val="36"/>
          <w:highlight w:val="none"/>
          <w:lang w:eastAsia="zh-CN"/>
        </w:rPr>
        <w:t>”</w:t>
      </w:r>
      <w:r>
        <w:rPr>
          <w:rFonts w:hint="eastAsia" w:ascii="Times New Roman" w:hAnsi="Times New Roman" w:eastAsia="仿宋_GB2312" w:cs="方正仿宋_GBK"/>
          <w:b w:val="0"/>
          <w:bCs w:val="0"/>
          <w:szCs w:val="36"/>
          <w:highlight w:val="none"/>
          <w:lang w:eastAsia="zh-CN"/>
        </w:rPr>
        <w:t>推动电解铝、铁合金、数据中心等行业深度脱碳。优化交通运输结构，大力发展多式联运，推进“公转铁”运输，推广新能源汽车、氢能重卡等低碳交通运输工具。持续开展既有建筑节能改造，发展绿色建筑和超低能耗建筑。</w:t>
      </w:r>
      <w:r>
        <w:rPr>
          <w:rFonts w:hint="eastAsia" w:ascii="Times New Roman" w:hAnsi="Times New Roman" w:eastAsia="仿宋_GB2312" w:cs="方正仿宋_GBK"/>
          <w:b w:val="0"/>
          <w:bCs w:val="0"/>
          <w:szCs w:val="36"/>
          <w:highlight w:val="none"/>
          <w:lang w:val="en-US" w:eastAsia="zh-CN"/>
        </w:rPr>
        <w:t>完善适应气候变化治理体系，有效控制非二氧化碳温室气体排放。</w:t>
      </w:r>
      <w:r>
        <w:rPr>
          <w:rFonts w:hint="eastAsia" w:ascii="Times New Roman" w:hAnsi="Times New Roman" w:eastAsia="仿宋_GB2312" w:cs="方正仿宋_GBK"/>
          <w:b w:val="0"/>
          <w:bCs w:val="0"/>
          <w:szCs w:val="36"/>
          <w:highlight w:val="none"/>
          <w:lang w:eastAsia="zh-CN"/>
        </w:rPr>
        <w:t>围绕源头减碳、过程降碳、末端固碳等重点环节</w:t>
      </w:r>
      <w:r>
        <w:rPr>
          <w:rFonts w:hint="eastAsia" w:eastAsia="仿宋_GB2312" w:cs="方正仿宋_GBK"/>
          <w:b w:val="0"/>
          <w:bCs w:val="0"/>
          <w:szCs w:val="36"/>
          <w:highlight w:val="none"/>
          <w:lang w:eastAsia="zh-CN"/>
        </w:rPr>
        <w:t>，</w:t>
      </w:r>
      <w:r>
        <w:rPr>
          <w:rFonts w:hint="eastAsia" w:ascii="Times New Roman" w:hAnsi="Times New Roman" w:eastAsia="仿宋_GB2312" w:cs="方正仿宋_GBK"/>
          <w:b w:val="0"/>
          <w:bCs w:val="0"/>
          <w:szCs w:val="36"/>
          <w:highlight w:val="none"/>
          <w:lang w:eastAsia="zh-CN"/>
        </w:rPr>
        <w:t>实施零碳低碳负碳先进技术</w:t>
      </w:r>
      <w:r>
        <w:rPr>
          <w:rFonts w:hint="eastAsia" w:eastAsia="仿宋_GB2312" w:cs="方正仿宋_GBK"/>
          <w:b w:val="0"/>
          <w:bCs w:val="0"/>
          <w:szCs w:val="36"/>
          <w:highlight w:val="none"/>
          <w:lang w:val="en-US" w:eastAsia="zh-CN"/>
        </w:rPr>
        <w:t>应用</w:t>
      </w:r>
      <w:r>
        <w:rPr>
          <w:rFonts w:hint="eastAsia" w:ascii="Times New Roman" w:hAnsi="Times New Roman" w:eastAsia="仿宋_GB2312" w:cs="方正仿宋_GBK"/>
          <w:b w:val="0"/>
          <w:bCs w:val="0"/>
          <w:szCs w:val="36"/>
          <w:highlight w:val="none"/>
          <w:lang w:eastAsia="zh-CN"/>
        </w:rPr>
        <w:t>工程</w:t>
      </w:r>
      <w:r>
        <w:rPr>
          <w:rFonts w:hint="eastAsia" w:eastAsia="仿宋_GB2312" w:cs="方正仿宋_GBK"/>
          <w:b w:val="0"/>
          <w:bCs w:val="0"/>
          <w:szCs w:val="36"/>
          <w:highlight w:val="none"/>
          <w:lang w:eastAsia="zh-CN"/>
        </w:rPr>
        <w:t>。</w:t>
      </w:r>
    </w:p>
    <w:p w14:paraId="3FEA9F98">
      <w:pPr>
        <w:pStyle w:val="43"/>
        <w:keepNext w:val="0"/>
        <w:keepLines w:val="0"/>
        <w:pageBreakBefore w:val="0"/>
        <w:shd w:val="clear" w:color="auto" w:fill="auto"/>
        <w:kinsoku/>
        <w:wordWrap/>
        <w:topLinePunct w:val="0"/>
        <w:autoSpaceDE/>
        <w:autoSpaceDN/>
        <w:bidi w:val="0"/>
        <w:adjustRightInd/>
        <w:spacing w:line="540" w:lineRule="exact"/>
        <w:ind w:firstLine="0"/>
        <w:jc w:val="both"/>
        <w:textAlignment w:val="auto"/>
        <w:outlineLvl w:val="3"/>
        <w:rPr>
          <w:rFonts w:hint="eastAsia" w:ascii="Times New Roman" w:hAnsi="Times New Roman" w:eastAsia="仿宋_GB2312" w:cs="方正仿宋_GBK"/>
          <w:b w:val="0"/>
          <w:bCs w:val="0"/>
          <w:szCs w:val="36"/>
          <w:highlight w:val="none"/>
          <w:lang w:eastAsia="zh-CN"/>
        </w:rPr>
      </w:pPr>
      <w:bookmarkStart w:id="277" w:name="_Toc21692"/>
      <w:r>
        <w:rPr>
          <w:rFonts w:hint="eastAsia" w:eastAsia="仿宋_GB2312" w:cs="方正仿宋_GBK"/>
          <w:b w:val="0"/>
          <w:bCs w:val="0"/>
          <w:color w:val="auto"/>
          <w:szCs w:val="32"/>
          <w:highlight w:val="none"/>
          <w:lang w:val="en-US" w:eastAsia="zh-CN"/>
        </w:rPr>
        <w:t>加快形成绿色生产生活方式</w:t>
      </w:r>
      <w:bookmarkEnd w:id="277"/>
      <w:r>
        <w:rPr>
          <w:rFonts w:hint="eastAsia" w:eastAsia="仿宋_GB2312" w:cs="方正仿宋_GBK"/>
          <w:b w:val="0"/>
          <w:bCs w:val="0"/>
          <w:color w:val="auto"/>
          <w:szCs w:val="32"/>
          <w:highlight w:val="none"/>
          <w:lang w:val="en-US" w:eastAsia="zh-CN"/>
        </w:rPr>
        <w:t>。</w:t>
      </w:r>
      <w:r>
        <w:rPr>
          <w:rFonts w:hint="eastAsia" w:ascii="Times New Roman" w:hAnsi="Times New Roman" w:eastAsia="仿宋_GB2312" w:cs="方正仿宋_GBK"/>
          <w:b w:val="0"/>
          <w:bCs w:val="0"/>
          <w:szCs w:val="36"/>
          <w:highlight w:val="none"/>
          <w:lang w:eastAsia="zh-CN"/>
        </w:rPr>
        <w:t>深入实施全面节约战略，完善资源总量管理和全面节约制度</w:t>
      </w:r>
      <w:r>
        <w:rPr>
          <w:rFonts w:hint="eastAsia" w:eastAsia="仿宋_GB2312" w:cs="方正仿宋_GBK"/>
          <w:b w:val="0"/>
          <w:bCs w:val="0"/>
          <w:szCs w:val="36"/>
          <w:highlight w:val="none"/>
          <w:lang w:eastAsia="zh-CN"/>
        </w:rPr>
        <w:t>，</w:t>
      </w:r>
      <w:r>
        <w:rPr>
          <w:rFonts w:hint="eastAsia" w:ascii="Times New Roman" w:hAnsi="Times New Roman" w:eastAsia="仿宋_GB2312" w:cs="方正仿宋_GBK"/>
          <w:b w:val="0"/>
          <w:bCs w:val="0"/>
          <w:szCs w:val="36"/>
          <w:highlight w:val="none"/>
          <w:lang w:eastAsia="zh-CN"/>
        </w:rPr>
        <w:t>加快形成节约集约生产方式和绿色简约生活方式。推进节约用水</w:t>
      </w:r>
      <w:r>
        <w:rPr>
          <w:rFonts w:hint="eastAsia" w:eastAsia="仿宋_GB2312" w:cs="方正仿宋_GBK"/>
          <w:b w:val="0"/>
          <w:bCs w:val="0"/>
          <w:szCs w:val="36"/>
          <w:highlight w:val="none"/>
          <w:lang w:eastAsia="zh-CN"/>
        </w:rPr>
        <w:t>，</w:t>
      </w:r>
      <w:r>
        <w:rPr>
          <w:rFonts w:hint="eastAsia" w:ascii="仿宋_GB2312" w:hAnsi="仿宋_GB2312" w:eastAsia="仿宋_GB2312" w:cs="仿宋_GB2312"/>
          <w:b w:val="0"/>
          <w:bCs w:val="0"/>
          <w:sz w:val="32"/>
          <w:szCs w:val="32"/>
          <w:highlight w:val="none"/>
          <w:u w:val="none" w:color="auto"/>
          <w:lang w:val="en-US" w:eastAsia="zh-CN"/>
        </w:rPr>
        <w:t>全方位贯彻“四水四定”原则，全面压实治水责任，深化水权分配改革，</w:t>
      </w:r>
      <w:r>
        <w:rPr>
          <w:rFonts w:hint="eastAsia" w:ascii="Times New Roman" w:hAnsi="Times New Roman" w:eastAsia="仿宋_GB2312" w:cs="方正仿宋_GBK"/>
          <w:b w:val="0"/>
          <w:bCs w:val="0"/>
          <w:szCs w:val="36"/>
          <w:highlight w:val="none"/>
          <w:lang w:eastAsia="zh-CN"/>
        </w:rPr>
        <w:t>提高水资源集约安全利用水平。开展农业节水增效行动，</w:t>
      </w:r>
      <w:r>
        <w:rPr>
          <w:rFonts w:hint="eastAsia" w:eastAsia="仿宋_GB2312" w:cs="方正仿宋_GBK"/>
          <w:b w:val="0"/>
          <w:bCs w:val="0"/>
          <w:szCs w:val="36"/>
          <w:highlight w:val="none"/>
          <w:lang w:val="en-US" w:eastAsia="zh-CN"/>
        </w:rPr>
        <w:t>深化</w:t>
      </w:r>
      <w:r>
        <w:rPr>
          <w:rFonts w:hint="eastAsia" w:ascii="仿宋_GB2312" w:hAnsi="仿宋_GB2312" w:eastAsia="仿宋_GB2312" w:cs="仿宋_GB2312"/>
          <w:b w:val="0"/>
          <w:bCs w:val="0"/>
          <w:sz w:val="32"/>
          <w:szCs w:val="32"/>
          <w:highlight w:val="none"/>
          <w:u w:val="none" w:color="auto"/>
          <w:lang w:val="en-US" w:eastAsia="zh-CN"/>
        </w:rPr>
        <w:t>农业水价综合改革，</w:t>
      </w:r>
      <w:r>
        <w:rPr>
          <w:rFonts w:hint="eastAsia" w:ascii="Times New Roman" w:hAnsi="Times New Roman" w:eastAsia="仿宋_GB2312" w:cs="方正仿宋_GBK"/>
          <w:b w:val="0"/>
          <w:bCs w:val="0"/>
          <w:szCs w:val="36"/>
          <w:highlight w:val="none"/>
          <w:lang w:eastAsia="zh-CN"/>
        </w:rPr>
        <w:t>大力发展高效节水灌溉工程</w:t>
      </w:r>
      <w:r>
        <w:rPr>
          <w:rFonts w:hint="eastAsia" w:eastAsia="仿宋_GB2312" w:cs="方正仿宋_GBK"/>
          <w:b w:val="0"/>
          <w:bCs w:val="0"/>
          <w:szCs w:val="36"/>
          <w:highlight w:val="none"/>
          <w:lang w:eastAsia="zh-CN"/>
        </w:rPr>
        <w:t>。</w:t>
      </w:r>
      <w:r>
        <w:rPr>
          <w:rFonts w:hint="eastAsia" w:ascii="Times New Roman" w:hAnsi="Times New Roman" w:eastAsia="仿宋_GB2312" w:cs="方正仿宋_GBK"/>
          <w:b w:val="0"/>
          <w:bCs w:val="0"/>
          <w:szCs w:val="36"/>
          <w:highlight w:val="none"/>
          <w:lang w:eastAsia="zh-CN"/>
        </w:rPr>
        <w:t>严格工业项目用水约束，抓好火电、钢铁、煤制油气等重点行业节水改造</w:t>
      </w:r>
      <w:r>
        <w:rPr>
          <w:rFonts w:hint="eastAsia" w:eastAsia="仿宋_GB2312" w:cs="方正仿宋_GBK"/>
          <w:b w:val="0"/>
          <w:bCs w:val="0"/>
          <w:szCs w:val="36"/>
          <w:highlight w:val="none"/>
          <w:lang w:eastAsia="zh-CN"/>
        </w:rPr>
        <w:t>。</w:t>
      </w:r>
      <w:r>
        <w:rPr>
          <w:rFonts w:hint="eastAsia" w:ascii="Times New Roman" w:hAnsi="Times New Roman" w:eastAsia="仿宋_GB2312" w:cs="方正仿宋_GBK"/>
          <w:b w:val="0"/>
          <w:bCs w:val="0"/>
          <w:szCs w:val="36"/>
          <w:highlight w:val="none"/>
          <w:lang w:eastAsia="zh-CN"/>
        </w:rPr>
        <w:t>加强非常规水综合利用。实施城镇公共供水管网建设改造，加大管网漏损治理力度。</w:t>
      </w:r>
      <w:r>
        <w:rPr>
          <w:rFonts w:hint="eastAsia" w:eastAsia="仿宋_GB2312" w:cs="方正仿宋_GBK"/>
          <w:b w:val="0"/>
          <w:bCs w:val="0"/>
          <w:szCs w:val="36"/>
          <w:highlight w:val="none"/>
          <w:lang w:val="en-US" w:eastAsia="zh-CN"/>
        </w:rPr>
        <w:t>规范地下水取用管理，</w:t>
      </w:r>
      <w:r>
        <w:rPr>
          <w:rFonts w:hint="eastAsia" w:ascii="Times New Roman" w:hAnsi="Times New Roman" w:eastAsia="仿宋_GB2312" w:cs="方正仿宋_GBK"/>
          <w:b w:val="0"/>
          <w:bCs w:val="0"/>
          <w:szCs w:val="36"/>
          <w:highlight w:val="none"/>
          <w:lang w:eastAsia="zh-CN"/>
        </w:rPr>
        <w:t>推进</w:t>
      </w:r>
      <w:r>
        <w:rPr>
          <w:rFonts w:hint="eastAsia" w:eastAsia="仿宋_GB2312" w:cs="方正仿宋_GBK"/>
          <w:b w:val="0"/>
          <w:bCs w:val="0"/>
          <w:szCs w:val="36"/>
          <w:highlight w:val="none"/>
          <w:lang w:val="en-US" w:eastAsia="zh-CN"/>
        </w:rPr>
        <w:t>西辽河流域</w:t>
      </w:r>
      <w:r>
        <w:rPr>
          <w:rFonts w:hint="eastAsia" w:ascii="Times New Roman" w:hAnsi="Times New Roman" w:eastAsia="仿宋_GB2312" w:cs="方正仿宋_GBK"/>
          <w:b w:val="0"/>
          <w:bCs w:val="0"/>
          <w:szCs w:val="36"/>
          <w:highlight w:val="none"/>
          <w:lang w:eastAsia="zh-CN"/>
        </w:rPr>
        <w:t>地下水超采治理。到</w:t>
      </w:r>
      <w:r>
        <w:rPr>
          <w:rFonts w:hint="eastAsia" w:eastAsia="仿宋_GB2312" w:cs="方正仿宋_GBK"/>
          <w:b w:val="0"/>
          <w:bCs w:val="0"/>
          <w:szCs w:val="36"/>
          <w:highlight w:val="none"/>
          <w:lang w:val="en-US" w:eastAsia="zh-CN"/>
        </w:rPr>
        <w:t>2030年</w:t>
      </w:r>
      <w:r>
        <w:rPr>
          <w:rFonts w:hint="eastAsia" w:ascii="Times New Roman" w:hAnsi="Times New Roman" w:eastAsia="仿宋_GB2312" w:cs="方正仿宋_GBK"/>
          <w:b w:val="0"/>
          <w:bCs w:val="0"/>
          <w:szCs w:val="36"/>
          <w:highlight w:val="none"/>
          <w:lang w:eastAsia="zh-CN"/>
        </w:rPr>
        <w:t>，农田灌溉水有效利用系数达到</w:t>
      </w:r>
      <w:r>
        <w:rPr>
          <w:rFonts w:hint="eastAsia" w:eastAsia="仿宋_GB2312" w:cs="方正仿宋_GBK"/>
          <w:b w:val="0"/>
          <w:bCs w:val="0"/>
          <w:szCs w:val="36"/>
          <w:highlight w:val="none"/>
          <w:lang w:val="en-US" w:eastAsia="zh-CN"/>
        </w:rPr>
        <w:t>0.665，</w:t>
      </w:r>
      <w:r>
        <w:rPr>
          <w:rFonts w:hint="eastAsia" w:ascii="Times New Roman" w:hAnsi="Times New Roman" w:eastAsia="仿宋_GB2312" w:cs="方正仿宋_GBK"/>
          <w:b w:val="0"/>
          <w:bCs w:val="0"/>
          <w:szCs w:val="36"/>
          <w:highlight w:val="none"/>
          <w:lang w:eastAsia="zh-CN"/>
        </w:rPr>
        <w:t>万元GDP用水量、万元工业增加值用水量较2025年</w:t>
      </w:r>
      <w:r>
        <w:rPr>
          <w:rFonts w:hint="eastAsia" w:eastAsia="仿宋_GB2312" w:cs="方正仿宋_GBK"/>
          <w:b w:val="0"/>
          <w:bCs w:val="0"/>
          <w:szCs w:val="36"/>
          <w:highlight w:val="none"/>
          <w:lang w:val="en-US" w:eastAsia="zh-CN"/>
        </w:rPr>
        <w:t>分别</w:t>
      </w:r>
      <w:r>
        <w:rPr>
          <w:rFonts w:hint="eastAsia" w:ascii="Times New Roman" w:hAnsi="Times New Roman" w:eastAsia="仿宋_GB2312" w:cs="方正仿宋_GBK"/>
          <w:b w:val="0"/>
          <w:bCs w:val="0"/>
          <w:szCs w:val="36"/>
          <w:highlight w:val="none"/>
          <w:lang w:eastAsia="zh-CN"/>
        </w:rPr>
        <w:t>下降</w:t>
      </w:r>
      <w:r>
        <w:rPr>
          <w:rFonts w:hint="eastAsia" w:eastAsia="仿宋_GB2312" w:cs="方正仿宋_GBK"/>
          <w:b w:val="0"/>
          <w:bCs w:val="0"/>
          <w:szCs w:val="36"/>
          <w:highlight w:val="none"/>
          <w:lang w:val="en-US" w:eastAsia="zh-CN"/>
        </w:rPr>
        <w:t>10</w:t>
      </w:r>
      <w:r>
        <w:rPr>
          <w:rFonts w:hint="eastAsia" w:ascii="Times New Roman" w:hAnsi="Times New Roman" w:eastAsia="仿宋_GB2312" w:cs="方正仿宋_GBK"/>
          <w:b w:val="0"/>
          <w:bCs w:val="0"/>
          <w:szCs w:val="36"/>
          <w:highlight w:val="none"/>
          <w:lang w:eastAsia="zh-CN"/>
        </w:rPr>
        <w:t>%和</w:t>
      </w:r>
      <w:r>
        <w:rPr>
          <w:rFonts w:hint="eastAsia" w:eastAsia="仿宋_GB2312" w:cs="方正仿宋_GBK"/>
          <w:b w:val="0"/>
          <w:bCs w:val="0"/>
          <w:szCs w:val="36"/>
          <w:highlight w:val="none"/>
          <w:lang w:val="en-US" w:eastAsia="zh-CN"/>
        </w:rPr>
        <w:t>10</w:t>
      </w:r>
      <w:r>
        <w:rPr>
          <w:rFonts w:hint="eastAsia" w:ascii="Times New Roman" w:hAnsi="Times New Roman" w:eastAsia="仿宋_GB2312" w:cs="方正仿宋_GBK"/>
          <w:b w:val="0"/>
          <w:bCs w:val="0"/>
          <w:szCs w:val="36"/>
          <w:highlight w:val="none"/>
          <w:lang w:eastAsia="zh-CN"/>
        </w:rPr>
        <w:t>%。持续强化高效用地</w:t>
      </w:r>
      <w:r>
        <w:rPr>
          <w:rFonts w:hint="eastAsia" w:eastAsia="仿宋_GB2312" w:cs="方正仿宋_GBK"/>
          <w:b w:val="0"/>
          <w:bCs w:val="0"/>
          <w:szCs w:val="36"/>
          <w:highlight w:val="none"/>
          <w:lang w:eastAsia="zh-CN"/>
        </w:rPr>
        <w:t>，</w:t>
      </w:r>
      <w:r>
        <w:rPr>
          <w:rFonts w:hint="eastAsia" w:ascii="Times New Roman" w:hAnsi="Times New Roman" w:eastAsia="仿宋_GB2312" w:cs="方正仿宋_GBK"/>
          <w:b w:val="0"/>
          <w:bCs w:val="0"/>
          <w:szCs w:val="36"/>
          <w:highlight w:val="none"/>
          <w:lang w:eastAsia="zh-CN"/>
        </w:rPr>
        <w:t>推进新增耕地高效利用，统筹推进工矿废旧地复垦利用</w:t>
      </w:r>
      <w:r>
        <w:rPr>
          <w:rFonts w:hint="eastAsia" w:eastAsia="仿宋_GB2312" w:cs="方正仿宋_GBK"/>
          <w:b w:val="0"/>
          <w:bCs w:val="0"/>
          <w:szCs w:val="36"/>
          <w:highlight w:val="none"/>
          <w:lang w:eastAsia="zh-CN"/>
        </w:rPr>
        <w:t>，</w:t>
      </w:r>
      <w:r>
        <w:rPr>
          <w:rFonts w:hint="eastAsia" w:ascii="Times New Roman" w:hAnsi="Times New Roman" w:eastAsia="仿宋_GB2312" w:cs="方正仿宋_GBK"/>
          <w:b w:val="0"/>
          <w:bCs w:val="0"/>
          <w:szCs w:val="36"/>
          <w:highlight w:val="none"/>
          <w:lang w:eastAsia="zh-CN"/>
        </w:rPr>
        <w:t>推进城镇低效用地再开发</w:t>
      </w:r>
      <w:r>
        <w:rPr>
          <w:rFonts w:hint="eastAsia" w:eastAsia="仿宋_GB2312" w:cs="方正仿宋_GBK"/>
          <w:b w:val="0"/>
          <w:bCs w:val="0"/>
          <w:szCs w:val="36"/>
          <w:highlight w:val="none"/>
          <w:lang w:eastAsia="zh-CN"/>
        </w:rPr>
        <w:t>，</w:t>
      </w:r>
      <w:r>
        <w:rPr>
          <w:rFonts w:hint="eastAsia" w:ascii="Times New Roman" w:hAnsi="Times New Roman" w:eastAsia="仿宋_GB2312" w:cs="方正仿宋_GBK"/>
          <w:b w:val="0"/>
          <w:bCs w:val="0"/>
          <w:szCs w:val="36"/>
          <w:highlight w:val="none"/>
          <w:lang w:eastAsia="zh-CN"/>
        </w:rPr>
        <w:t>开展全域土地综合整治。提升资源循环利用水平</w:t>
      </w:r>
      <w:r>
        <w:rPr>
          <w:rFonts w:hint="eastAsia" w:eastAsia="仿宋_GB2312" w:cs="方正仿宋_GBK"/>
          <w:b w:val="0"/>
          <w:bCs w:val="0"/>
          <w:szCs w:val="36"/>
          <w:highlight w:val="none"/>
          <w:lang w:eastAsia="zh-CN"/>
        </w:rPr>
        <w:t>，</w:t>
      </w:r>
      <w:r>
        <w:rPr>
          <w:rFonts w:hint="eastAsia" w:ascii="Times New Roman" w:hAnsi="Times New Roman" w:eastAsia="仿宋_GB2312" w:cs="方正仿宋_GBK"/>
          <w:b w:val="0"/>
          <w:bCs w:val="0"/>
          <w:szCs w:val="36"/>
          <w:highlight w:val="none"/>
          <w:lang w:eastAsia="zh-CN"/>
        </w:rPr>
        <w:t>加强传统大宗工业固废综合利用，持续提高</w:t>
      </w:r>
      <w:r>
        <w:rPr>
          <w:rFonts w:hint="eastAsia" w:eastAsia="仿宋_GB2312" w:cs="方正仿宋_GBK"/>
          <w:b w:val="0"/>
          <w:bCs w:val="0"/>
          <w:szCs w:val="36"/>
          <w:highlight w:val="none"/>
        </w:rPr>
        <w:t>冶金渣等综合利用水平</w:t>
      </w:r>
      <w:r>
        <w:rPr>
          <w:rFonts w:hint="eastAsia" w:eastAsia="仿宋_GB2312" w:cs="方正仿宋_GBK"/>
          <w:b w:val="0"/>
          <w:bCs w:val="0"/>
          <w:szCs w:val="36"/>
          <w:highlight w:val="none"/>
          <w:lang w:eastAsia="zh-CN"/>
        </w:rPr>
        <w:t>，</w:t>
      </w:r>
      <w:r>
        <w:rPr>
          <w:rFonts w:hint="eastAsia" w:eastAsia="仿宋_GB2312" w:cs="方正仿宋_GBK"/>
          <w:b w:val="0"/>
          <w:bCs w:val="0"/>
          <w:szCs w:val="36"/>
          <w:highlight w:val="none"/>
          <w:lang w:val="en-US" w:eastAsia="zh-CN"/>
        </w:rPr>
        <w:t>发展</w:t>
      </w:r>
      <w:r>
        <w:rPr>
          <w:rFonts w:hint="eastAsia" w:eastAsia="仿宋_GB2312" w:cs="方正仿宋_GBK"/>
          <w:b w:val="0"/>
          <w:bCs w:val="0"/>
          <w:szCs w:val="36"/>
          <w:highlight w:val="none"/>
        </w:rPr>
        <w:t>废钢铁、废有色金属、废塑料等再生资源精深加工产业。推进新兴产业废弃物循环利用，构建风电、光伏设备和动力电池循环利用体系。推动生活方式绿色转型</w:t>
      </w:r>
      <w:r>
        <w:rPr>
          <w:rFonts w:hint="eastAsia" w:eastAsia="仿宋_GB2312" w:cs="方正仿宋_GBK"/>
          <w:b w:val="0"/>
          <w:bCs w:val="0"/>
          <w:szCs w:val="36"/>
          <w:highlight w:val="none"/>
          <w:lang w:eastAsia="zh-CN"/>
        </w:rPr>
        <w:t>，</w:t>
      </w:r>
      <w:r>
        <w:rPr>
          <w:rFonts w:hint="eastAsia" w:eastAsia="仿宋_GB2312" w:cs="方正仿宋_GBK"/>
          <w:b w:val="0"/>
          <w:bCs w:val="0"/>
          <w:szCs w:val="36"/>
          <w:highlight w:val="none"/>
        </w:rPr>
        <w:t>大力倡导简约适度、绿色低碳、文明健康的生活理念和方式</w:t>
      </w:r>
      <w:r>
        <w:rPr>
          <w:rFonts w:hint="eastAsia" w:eastAsia="仿宋_GB2312" w:cs="方正仿宋_GBK"/>
          <w:b w:val="0"/>
          <w:bCs w:val="0"/>
          <w:szCs w:val="36"/>
          <w:highlight w:val="none"/>
          <w:lang w:eastAsia="zh-CN"/>
        </w:rPr>
        <w:t>。</w:t>
      </w:r>
      <w:r>
        <w:rPr>
          <w:rFonts w:hint="eastAsia" w:eastAsia="仿宋_GB2312" w:cs="方正仿宋_GBK"/>
          <w:b w:val="0"/>
          <w:bCs w:val="0"/>
          <w:szCs w:val="36"/>
          <w:highlight w:val="none"/>
        </w:rPr>
        <w:t>开展绿色低碳全民行动，</w:t>
      </w:r>
      <w:r>
        <w:rPr>
          <w:rFonts w:hint="eastAsia" w:eastAsia="仿宋_GB2312" w:cs="方正仿宋_GBK"/>
          <w:b w:val="0"/>
          <w:bCs w:val="0"/>
          <w:szCs w:val="36"/>
          <w:highlight w:val="none"/>
          <w:lang w:val="en-US" w:eastAsia="zh-CN"/>
        </w:rPr>
        <w:t>深化绿色机关、绿色家庭、绿色社区建设。</w:t>
      </w:r>
      <w:r>
        <w:rPr>
          <w:rFonts w:hint="eastAsia" w:eastAsia="仿宋_GB2312" w:cs="方正仿宋_GBK"/>
          <w:b w:val="0"/>
          <w:bCs w:val="0"/>
          <w:szCs w:val="36"/>
          <w:highlight w:val="none"/>
        </w:rPr>
        <w:t>深入推进垃圾分类和资源化利用，提高可回收物再生利用和资源化水平。鼓励消费者购买绿色产品，开展新能源汽车和绿色智能家电、节水器具等下乡活动。</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2"/>
      </w:tblGrid>
      <w:tr w14:paraId="48E5F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832" w:type="dxa"/>
            <w:noWrap w:val="0"/>
            <w:vAlign w:val="top"/>
          </w:tcPr>
          <w:p w14:paraId="16657B28">
            <w:pPr>
              <w:keepNext w:val="0"/>
              <w:keepLines w:val="0"/>
              <w:pageBreakBefore w:val="0"/>
              <w:kinsoku/>
              <w:wordWrap/>
              <w:topLinePunct w:val="0"/>
              <w:autoSpaceDE/>
              <w:autoSpaceDN/>
              <w:bidi w:val="0"/>
              <w:adjustRightInd/>
              <w:spacing w:line="540" w:lineRule="exact"/>
              <w:ind w:firstLine="464" w:firstLineChars="200"/>
              <w:jc w:val="center"/>
              <w:textAlignment w:val="auto"/>
              <w:rPr>
                <w:rFonts w:ascii="Times New Roman" w:hAnsi="Times New Roman" w:eastAsia="方正仿宋_GBK" w:cs="Times New Roman"/>
                <w:b w:val="0"/>
                <w:bCs w:val="0"/>
                <w:sz w:val="24"/>
                <w:highlight w:val="none"/>
              </w:rPr>
            </w:pPr>
            <w:r>
              <w:rPr>
                <w:rFonts w:hint="eastAsia" w:ascii="Times New Roman" w:hAnsi="Times New Roman" w:eastAsia="仿宋_GB2312" w:cs="Times New Roman"/>
                <w:b w:val="0"/>
                <w:bCs w:val="0"/>
                <w:sz w:val="24"/>
                <w:highlight w:val="none"/>
              </w:rPr>
              <w:t>专栏2</w:t>
            </w:r>
            <w:r>
              <w:rPr>
                <w:rFonts w:hint="eastAsia" w:ascii="Times New Roman" w:hAnsi="Times New Roman" w:eastAsia="仿宋_GB2312" w:cs="Times New Roman"/>
                <w:b w:val="0"/>
                <w:bCs w:val="0"/>
                <w:sz w:val="24"/>
                <w:highlight w:val="none"/>
                <w:lang w:val="en-US" w:eastAsia="zh-CN"/>
              </w:rPr>
              <w:t xml:space="preserve"> 生态安全屏障</w:t>
            </w:r>
            <w:r>
              <w:rPr>
                <w:rFonts w:hint="eastAsia" w:ascii="Times New Roman" w:hAnsi="Times New Roman" w:eastAsia="仿宋_GB2312" w:cs="Times New Roman"/>
                <w:b w:val="0"/>
                <w:bCs w:val="0"/>
                <w:sz w:val="24"/>
                <w:highlight w:val="none"/>
              </w:rPr>
              <w:t>重大工程</w:t>
            </w:r>
          </w:p>
        </w:tc>
      </w:tr>
      <w:tr w14:paraId="1AC07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2" w:type="dxa"/>
            <w:noWrap w:val="0"/>
            <w:vAlign w:val="top"/>
          </w:tcPr>
          <w:p w14:paraId="15F06DD0">
            <w:pPr>
              <w:pStyle w:val="32"/>
              <w:keepNext w:val="0"/>
              <w:keepLines w:val="0"/>
              <w:pageBreakBefore w:val="0"/>
              <w:kinsoku/>
              <w:wordWrap/>
              <w:topLinePunct w:val="0"/>
              <w:autoSpaceDE/>
              <w:autoSpaceDN/>
              <w:bidi w:val="0"/>
              <w:adjustRightInd/>
              <w:spacing w:line="540" w:lineRule="exact"/>
              <w:ind w:firstLineChars="200"/>
              <w:textAlignment w:val="auto"/>
              <w:rPr>
                <w:rFonts w:hint="default" w:ascii="Times New Roman" w:hAnsi="Times New Roman" w:eastAsia="仿宋_GB2312" w:cs="Times New Roman"/>
                <w:b w:val="0"/>
                <w:bCs w:val="0"/>
                <w:sz w:val="24"/>
                <w:highlight w:val="none"/>
                <w:lang w:val="en-US" w:eastAsia="zh-CN"/>
              </w:rPr>
            </w:pPr>
            <w:r>
              <w:rPr>
                <w:rFonts w:hint="eastAsia" w:ascii="Times New Roman" w:hAnsi="Times New Roman" w:eastAsia="仿宋_GB2312" w:cs="Times New Roman"/>
                <w:b w:val="0"/>
                <w:bCs w:val="0"/>
                <w:sz w:val="24"/>
                <w:highlight w:val="none"/>
                <w:lang w:val="en-US" w:eastAsia="zh-CN"/>
              </w:rPr>
              <w:t>沙地治理</w:t>
            </w:r>
            <w:r>
              <w:rPr>
                <w:rFonts w:hint="eastAsia" w:ascii="Times New Roman" w:hAnsi="Times New Roman" w:eastAsia="仿宋_GB2312" w:cs="Times New Roman"/>
                <w:b w:val="0"/>
                <w:bCs w:val="0"/>
                <w:sz w:val="24"/>
                <w:highlight w:val="none"/>
              </w:rPr>
              <w:t>重点工程：重点</w:t>
            </w:r>
            <w:r>
              <w:rPr>
                <w:rFonts w:hint="eastAsia" w:ascii="Times New Roman" w:hAnsi="Times New Roman" w:eastAsia="仿宋_GB2312" w:cs="Times New Roman"/>
                <w:b w:val="0"/>
                <w:bCs w:val="0"/>
                <w:sz w:val="24"/>
                <w:highlight w:val="none"/>
                <w:lang w:val="en-US" w:eastAsia="zh-CN"/>
              </w:rPr>
              <w:t>推进</w:t>
            </w:r>
            <w:r>
              <w:rPr>
                <w:rFonts w:hint="eastAsia" w:ascii="Times New Roman" w:hAnsi="Times New Roman" w:eastAsia="仿宋_GB2312" w:cs="Times New Roman"/>
                <w:b w:val="0"/>
                <w:bCs w:val="0"/>
                <w:sz w:val="24"/>
                <w:highlight w:val="none"/>
                <w:lang w:eastAsia="zh-CN"/>
              </w:rPr>
              <w:t>科尔沁沙地综合治理、浑善达克沙地综合治理、“三北”工程林草湿荒一体化保护修复、防沙治沙和风电光伏一体化工程</w:t>
            </w:r>
            <w:r>
              <w:rPr>
                <w:rFonts w:hint="eastAsia" w:ascii="Times New Roman" w:hAnsi="Times New Roman" w:eastAsia="仿宋_GB2312" w:cs="Times New Roman"/>
                <w:b w:val="0"/>
                <w:bCs w:val="0"/>
                <w:sz w:val="24"/>
                <w:highlight w:val="none"/>
                <w:lang w:val="en-US" w:eastAsia="zh-CN"/>
              </w:rPr>
              <w:t>等工程项目。</w:t>
            </w:r>
          </w:p>
          <w:p w14:paraId="42A5D4B0">
            <w:pPr>
              <w:pStyle w:val="32"/>
              <w:keepNext w:val="0"/>
              <w:keepLines w:val="0"/>
              <w:pageBreakBefore w:val="0"/>
              <w:kinsoku/>
              <w:wordWrap/>
              <w:topLinePunct w:val="0"/>
              <w:autoSpaceDE/>
              <w:autoSpaceDN/>
              <w:bidi w:val="0"/>
              <w:adjustRightInd/>
              <w:spacing w:line="540" w:lineRule="exact"/>
              <w:ind w:firstLineChars="200"/>
              <w:textAlignment w:val="auto"/>
              <w:rPr>
                <w:rFonts w:hint="eastAsia" w:ascii="Times New Roman" w:hAnsi="Times New Roman" w:eastAsia="仿宋_GB2312" w:cs="Times New Roman"/>
                <w:b w:val="0"/>
                <w:bCs w:val="0"/>
                <w:sz w:val="24"/>
                <w:highlight w:val="none"/>
                <w:lang w:val="en-US" w:eastAsia="zh-CN"/>
              </w:rPr>
            </w:pPr>
            <w:r>
              <w:rPr>
                <w:rFonts w:hint="eastAsia" w:ascii="Times New Roman" w:hAnsi="Times New Roman" w:eastAsia="仿宋_GB2312" w:cs="Times New Roman"/>
                <w:b w:val="0"/>
                <w:bCs w:val="0"/>
                <w:sz w:val="24"/>
                <w:highlight w:val="none"/>
                <w:lang w:val="en-US" w:eastAsia="zh-CN"/>
              </w:rPr>
              <w:t>流域治理重点工程</w:t>
            </w:r>
            <w:r>
              <w:rPr>
                <w:rFonts w:hint="eastAsia" w:ascii="Times New Roman" w:hAnsi="Times New Roman" w:eastAsia="仿宋_GB2312" w:cs="Times New Roman"/>
                <w:b w:val="0"/>
                <w:bCs w:val="0"/>
                <w:sz w:val="24"/>
                <w:highlight w:val="none"/>
              </w:rPr>
              <w:t>：重点</w:t>
            </w:r>
            <w:r>
              <w:rPr>
                <w:rFonts w:hint="eastAsia" w:ascii="Times New Roman" w:hAnsi="Times New Roman" w:eastAsia="仿宋_GB2312" w:cs="Times New Roman"/>
                <w:b w:val="0"/>
                <w:bCs w:val="0"/>
                <w:sz w:val="24"/>
                <w:highlight w:val="none"/>
                <w:lang w:val="en-US" w:eastAsia="zh-CN"/>
              </w:rPr>
              <w:t>推进辽河流域西拉木伦河治理、辽河流域新开河治理、重点中小河流防洪治理（老哈河、东辽河、西辽河）、小流域综合治理提质增效项目（巴林右旗、克什克腾旗、翁牛特旗、宁城县、敖汉旗）、</w:t>
            </w:r>
            <w:r>
              <w:rPr>
                <w:rFonts w:hint="eastAsia" w:ascii="Times New Roman" w:hAnsi="Times New Roman" w:eastAsia="仿宋_GB2312" w:cs="Times New Roman"/>
                <w:b w:val="0"/>
                <w:bCs w:val="0"/>
                <w:sz w:val="24"/>
                <w:highlight w:val="none"/>
              </w:rPr>
              <w:t>乌力吉木仁河</w:t>
            </w:r>
            <w:r>
              <w:rPr>
                <w:rFonts w:hint="eastAsia" w:ascii="Times New Roman" w:hAnsi="Times New Roman" w:eastAsia="仿宋_GB2312" w:cs="Times New Roman"/>
                <w:b w:val="0"/>
                <w:bCs w:val="0"/>
                <w:sz w:val="24"/>
                <w:highlight w:val="none"/>
                <w:lang w:val="en-US" w:eastAsia="zh-CN"/>
              </w:rPr>
              <w:t>水</w:t>
            </w:r>
            <w:r>
              <w:rPr>
                <w:rFonts w:hint="eastAsia" w:ascii="Times New Roman" w:hAnsi="Times New Roman" w:eastAsia="仿宋_GB2312" w:cs="Times New Roman"/>
                <w:b w:val="0"/>
                <w:bCs w:val="0"/>
                <w:sz w:val="24"/>
                <w:highlight w:val="none"/>
              </w:rPr>
              <w:t>生态修复</w:t>
            </w:r>
            <w:r>
              <w:rPr>
                <w:rFonts w:hint="eastAsia" w:ascii="Times New Roman" w:hAnsi="Times New Roman" w:eastAsia="仿宋_GB2312" w:cs="Times New Roman"/>
                <w:b w:val="0"/>
                <w:bCs w:val="0"/>
                <w:sz w:val="24"/>
                <w:highlight w:val="none"/>
                <w:lang w:val="en-US" w:eastAsia="zh-CN"/>
              </w:rPr>
              <w:t>治理</w:t>
            </w:r>
            <w:r>
              <w:rPr>
                <w:rFonts w:hint="eastAsia" w:ascii="Times New Roman" w:hAnsi="Times New Roman" w:eastAsia="仿宋_GB2312" w:cs="Times New Roman"/>
                <w:b w:val="0"/>
                <w:bCs w:val="0"/>
                <w:sz w:val="24"/>
                <w:highlight w:val="none"/>
                <w:lang w:eastAsia="zh-CN"/>
              </w:rPr>
              <w:t>、</w:t>
            </w:r>
            <w:r>
              <w:rPr>
                <w:rFonts w:hint="eastAsia" w:ascii="Times New Roman" w:hAnsi="Times New Roman" w:eastAsia="仿宋_GB2312" w:cs="Times New Roman"/>
                <w:b w:val="0"/>
                <w:bCs w:val="0"/>
                <w:sz w:val="24"/>
                <w:highlight w:val="none"/>
              </w:rPr>
              <w:t>八里罕河幸福河湖建设</w:t>
            </w:r>
            <w:r>
              <w:rPr>
                <w:rFonts w:hint="eastAsia" w:ascii="Times New Roman" w:hAnsi="Times New Roman" w:eastAsia="仿宋_GB2312" w:cs="Times New Roman"/>
                <w:b w:val="0"/>
                <w:bCs w:val="0"/>
                <w:sz w:val="24"/>
                <w:highlight w:val="none"/>
                <w:lang w:eastAsia="zh-CN"/>
              </w:rPr>
              <w:t>、锡泊河幸福河湖建设</w:t>
            </w:r>
            <w:r>
              <w:rPr>
                <w:rFonts w:hint="eastAsia" w:ascii="Times New Roman" w:hAnsi="Times New Roman" w:eastAsia="仿宋_GB2312" w:cs="Times New Roman"/>
                <w:b w:val="0"/>
                <w:bCs w:val="0"/>
                <w:sz w:val="24"/>
                <w:highlight w:val="none"/>
                <w:lang w:val="en-US" w:eastAsia="zh-CN"/>
              </w:rPr>
              <w:t>、敖汉旗河道治理（黑城子河等）、元宝山区河道治理（楼子店河等）、松山区河道治理（嘎河等）、红山区河道治理（英金河、昭苏河等）等工程项目。</w:t>
            </w:r>
          </w:p>
          <w:p w14:paraId="447ABDFB">
            <w:pPr>
              <w:pStyle w:val="32"/>
              <w:keepNext w:val="0"/>
              <w:keepLines w:val="0"/>
              <w:pageBreakBefore w:val="0"/>
              <w:kinsoku/>
              <w:wordWrap/>
              <w:topLinePunct w:val="0"/>
              <w:autoSpaceDE/>
              <w:autoSpaceDN/>
              <w:bidi w:val="0"/>
              <w:adjustRightInd/>
              <w:spacing w:line="540" w:lineRule="exact"/>
              <w:textAlignment w:val="auto"/>
              <w:rPr>
                <w:rFonts w:hint="eastAsia" w:eastAsia="仿宋_GB2312"/>
                <w:b w:val="0"/>
                <w:bCs w:val="0"/>
                <w:sz w:val="24"/>
                <w:highlight w:val="none"/>
                <w:lang w:val="en-US" w:eastAsia="zh-CN"/>
              </w:rPr>
            </w:pPr>
            <w:r>
              <w:rPr>
                <w:rFonts w:hint="eastAsia" w:eastAsia="仿宋_GB2312"/>
                <w:b w:val="0"/>
                <w:bCs w:val="0"/>
                <w:sz w:val="24"/>
                <w:highlight w:val="none"/>
                <w:lang w:val="en-US" w:eastAsia="zh-CN"/>
              </w:rPr>
              <w:t>水生态修复重点工程：重点推进达里湖东岸生态保护修复工程、黑里河流域水生态保护修复等工程项目。</w:t>
            </w:r>
          </w:p>
          <w:p w14:paraId="5D494FCE">
            <w:pPr>
              <w:pStyle w:val="32"/>
              <w:keepNext w:val="0"/>
              <w:keepLines w:val="0"/>
              <w:pageBreakBefore w:val="0"/>
              <w:kinsoku/>
              <w:wordWrap/>
              <w:topLinePunct w:val="0"/>
              <w:autoSpaceDE/>
              <w:autoSpaceDN/>
              <w:bidi w:val="0"/>
              <w:adjustRightInd/>
              <w:spacing w:line="540" w:lineRule="exact"/>
              <w:textAlignment w:val="auto"/>
              <w:rPr>
                <w:rFonts w:hint="eastAsia" w:eastAsia="仿宋_GB2312"/>
                <w:b w:val="0"/>
                <w:bCs w:val="0"/>
                <w:sz w:val="24"/>
                <w:highlight w:val="none"/>
                <w:lang w:val="en-US" w:eastAsia="zh-CN"/>
              </w:rPr>
            </w:pPr>
            <w:r>
              <w:rPr>
                <w:rFonts w:hint="default" w:eastAsia="仿宋_GB2312"/>
                <w:b w:val="0"/>
                <w:bCs w:val="0"/>
                <w:sz w:val="24"/>
                <w:highlight w:val="none"/>
                <w:lang w:val="en-US" w:eastAsia="zh-CN"/>
              </w:rPr>
              <w:t>大气环境治理工程：重点推进水泥</w:t>
            </w:r>
            <w:r>
              <w:rPr>
                <w:rFonts w:hint="eastAsia" w:eastAsia="仿宋_GB2312"/>
                <w:b w:val="0"/>
                <w:bCs w:val="0"/>
                <w:sz w:val="24"/>
                <w:highlight w:val="none"/>
                <w:lang w:val="en-US" w:eastAsia="zh-CN"/>
              </w:rPr>
              <w:t>等</w:t>
            </w:r>
            <w:r>
              <w:rPr>
                <w:rFonts w:hint="default" w:eastAsia="仿宋_GB2312"/>
                <w:b w:val="0"/>
                <w:bCs w:val="0"/>
                <w:sz w:val="24"/>
                <w:highlight w:val="none"/>
                <w:lang w:val="en-US" w:eastAsia="zh-CN"/>
              </w:rPr>
              <w:t>行业企业超低排放改造</w:t>
            </w:r>
            <w:r>
              <w:rPr>
                <w:rFonts w:hint="eastAsia" w:eastAsia="仿宋_GB2312"/>
                <w:b w:val="0"/>
                <w:bCs w:val="0"/>
                <w:sz w:val="24"/>
                <w:highlight w:val="none"/>
                <w:lang w:val="en-US" w:eastAsia="zh-CN"/>
              </w:rPr>
              <w:t>。</w:t>
            </w:r>
          </w:p>
          <w:p w14:paraId="7DE060FC">
            <w:pPr>
              <w:pStyle w:val="32"/>
              <w:keepNext w:val="0"/>
              <w:keepLines w:val="0"/>
              <w:pageBreakBefore w:val="0"/>
              <w:kinsoku/>
              <w:wordWrap/>
              <w:topLinePunct w:val="0"/>
              <w:autoSpaceDE/>
              <w:autoSpaceDN/>
              <w:bidi w:val="0"/>
              <w:adjustRightInd/>
              <w:spacing w:line="540" w:lineRule="exact"/>
              <w:textAlignment w:val="auto"/>
              <w:rPr>
                <w:rFonts w:hint="default" w:eastAsia="仿宋_GB2312"/>
                <w:b w:val="0"/>
                <w:bCs w:val="0"/>
                <w:sz w:val="24"/>
                <w:highlight w:val="none"/>
                <w:lang w:val="en-US" w:eastAsia="zh-CN"/>
              </w:rPr>
            </w:pPr>
            <w:r>
              <w:rPr>
                <w:rFonts w:hint="eastAsia" w:eastAsia="仿宋_GB2312"/>
                <w:b w:val="0"/>
                <w:bCs w:val="0"/>
                <w:sz w:val="24"/>
                <w:highlight w:val="none"/>
                <w:lang w:val="en-US" w:eastAsia="zh-CN"/>
              </w:rPr>
              <w:t>土壤环境治理工程：重点推进农用地土壤重金属污染溯源、土壤污染重点监管单位周边土壤及地下水监测等项目。</w:t>
            </w:r>
          </w:p>
        </w:tc>
      </w:tr>
    </w:tbl>
    <w:p w14:paraId="0EB8CF2C">
      <w:pPr>
        <w:keepNext w:val="0"/>
        <w:keepLines w:val="0"/>
        <w:pageBreakBefore w:val="0"/>
        <w:kinsoku/>
        <w:wordWrap/>
        <w:topLinePunct w:val="0"/>
        <w:autoSpaceDE/>
        <w:autoSpaceDN/>
        <w:bidi w:val="0"/>
        <w:adjustRightInd/>
        <w:spacing w:line="540" w:lineRule="exact"/>
        <w:textAlignment w:val="auto"/>
        <w:rPr>
          <w:rFonts w:hint="eastAsia"/>
          <w:b w:val="0"/>
          <w:bCs w:val="0"/>
          <w:highlight w:val="none"/>
          <w:lang w:eastAsia="zh-CN"/>
        </w:rPr>
      </w:pPr>
    </w:p>
    <w:p w14:paraId="06C14AD4">
      <w:pPr>
        <w:keepNext w:val="0"/>
        <w:keepLines w:val="0"/>
        <w:pageBreakBefore w:val="0"/>
        <w:widowControl/>
        <w:numPr>
          <w:ilvl w:val="0"/>
          <w:numId w:val="2"/>
        </w:numPr>
        <w:kinsoku/>
        <w:wordWrap/>
        <w:overflowPunct/>
        <w:topLinePunct w:val="0"/>
        <w:autoSpaceDE/>
        <w:autoSpaceDN/>
        <w:bidi w:val="0"/>
        <w:adjustRightInd/>
        <w:snapToGrid/>
        <w:spacing w:before="157" w:beforeLines="50" w:after="157" w:afterLines="50" w:line="540" w:lineRule="exact"/>
        <w:jc w:val="center"/>
        <w:textAlignment w:val="auto"/>
        <w:outlineLvl w:val="1"/>
        <w:rPr>
          <w:rFonts w:hint="eastAsia" w:ascii="黑体" w:hAnsi="黑体" w:eastAsia="黑体" w:cs="黑体"/>
          <w:b w:val="0"/>
          <w:bCs w:val="0"/>
          <w:sz w:val="32"/>
          <w:szCs w:val="32"/>
          <w:highlight w:val="none"/>
          <w:lang w:val="en-US" w:eastAsia="zh-CN"/>
        </w:rPr>
      </w:pPr>
      <w:bookmarkStart w:id="278" w:name="_Toc16177"/>
      <w:bookmarkStart w:id="279" w:name="_Toc6661"/>
      <w:bookmarkStart w:id="280" w:name="_Toc21204"/>
      <w:bookmarkStart w:id="281" w:name="_Toc10870"/>
      <w:bookmarkStart w:id="282" w:name="_Toc28400"/>
      <w:bookmarkStart w:id="283" w:name="_Toc11392"/>
      <w:bookmarkStart w:id="284" w:name="_Toc21002"/>
      <w:bookmarkStart w:id="285" w:name="_Toc17681"/>
      <w:bookmarkStart w:id="286" w:name="_Toc23172"/>
      <w:bookmarkStart w:id="287" w:name="_Toc5816"/>
      <w:bookmarkStart w:id="288" w:name="_Toc9357"/>
      <w:bookmarkStart w:id="289" w:name="_Toc7140"/>
      <w:bookmarkStart w:id="290" w:name="_Toc6129"/>
      <w:bookmarkStart w:id="291" w:name="_Toc29336"/>
      <w:bookmarkStart w:id="292" w:name="_Toc7449"/>
      <w:bookmarkStart w:id="293" w:name="_Toc10245"/>
      <w:bookmarkStart w:id="294" w:name="_Toc30206"/>
      <w:bookmarkStart w:id="295" w:name="_Toc8763"/>
      <w:bookmarkStart w:id="296" w:name="_Toc15942"/>
      <w:bookmarkStart w:id="297" w:name="_Toc23316"/>
      <w:bookmarkStart w:id="298" w:name="_Toc22935"/>
      <w:bookmarkStart w:id="299" w:name="_Toc24260"/>
      <w:bookmarkStart w:id="300" w:name="_Toc20502"/>
      <w:bookmarkStart w:id="301" w:name="_Toc11229"/>
      <w:bookmarkStart w:id="302" w:name="_Toc29096"/>
      <w:r>
        <w:rPr>
          <w:rFonts w:hint="eastAsia" w:ascii="黑体" w:hAnsi="黑体" w:eastAsia="黑体" w:cs="黑体"/>
          <w:b w:val="0"/>
          <w:bCs w:val="0"/>
          <w:sz w:val="32"/>
          <w:szCs w:val="32"/>
          <w:highlight w:val="none"/>
          <w:lang w:val="en-US" w:eastAsia="zh-CN"/>
        </w:rPr>
        <w:t>构建现代化产业体系，巩固壮大实体经济根基</w:t>
      </w:r>
      <w:bookmarkEnd w:id="278"/>
      <w:bookmarkEnd w:id="279"/>
      <w:bookmarkEnd w:id="280"/>
      <w:bookmarkEnd w:id="281"/>
      <w:bookmarkEnd w:id="282"/>
    </w:p>
    <w:p w14:paraId="6581A744">
      <w:pPr>
        <w:pStyle w:val="43"/>
        <w:keepNext w:val="0"/>
        <w:keepLines w:val="0"/>
        <w:pageBreakBefore w:val="0"/>
        <w:widowControl/>
        <w:shd w:val="clear" w:color="auto" w:fill="auto"/>
        <w:kinsoku/>
        <w:wordWrap/>
        <w:overflowPunct/>
        <w:topLinePunct w:val="0"/>
        <w:autoSpaceDE/>
        <w:autoSpaceDN/>
        <w:bidi w:val="0"/>
        <w:adjustRightInd/>
        <w:snapToGrid/>
        <w:spacing w:before="157" w:beforeLines="50" w:after="157" w:afterLines="50" w:line="540" w:lineRule="exact"/>
        <w:jc w:val="both"/>
        <w:textAlignment w:val="auto"/>
        <w:outlineLvl w:val="9"/>
        <w:rPr>
          <w:rFonts w:hint="eastAsia" w:ascii="Times New Roman" w:hAnsi="Times New Roman" w:eastAsia="仿宋_GB2312" w:cs="方正仿宋_GBK"/>
          <w:b w:val="0"/>
          <w:bCs w:val="0"/>
          <w:sz w:val="32"/>
          <w:szCs w:val="32"/>
          <w:highlight w:val="none"/>
          <w:lang w:val="en-US" w:eastAsia="zh-CN"/>
        </w:rPr>
      </w:pPr>
      <w:r>
        <w:rPr>
          <w:rFonts w:hint="eastAsia" w:eastAsia="仿宋_GB2312" w:cs="方正仿宋_GBK"/>
          <w:b w:val="0"/>
          <w:bCs w:val="0"/>
          <w:sz w:val="32"/>
          <w:szCs w:val="32"/>
          <w:highlight w:val="none"/>
          <w:lang w:val="en-US" w:eastAsia="zh-CN"/>
        </w:rPr>
        <w:t>坚持以经济建设为中心，</w:t>
      </w:r>
      <w:r>
        <w:rPr>
          <w:rFonts w:hint="eastAsia" w:ascii="Times New Roman" w:hAnsi="Times New Roman" w:eastAsia="仿宋_GB2312" w:cs="方正仿宋_GBK"/>
          <w:b w:val="0"/>
          <w:bCs w:val="0"/>
          <w:sz w:val="32"/>
          <w:szCs w:val="32"/>
          <w:highlight w:val="none"/>
          <w:lang w:val="en-US" w:eastAsia="zh-CN"/>
        </w:rPr>
        <w:t>把</w:t>
      </w:r>
      <w:r>
        <w:rPr>
          <w:rFonts w:hint="eastAsia" w:eastAsia="仿宋_GB2312" w:cs="方正仿宋_GBK"/>
          <w:b w:val="0"/>
          <w:bCs w:val="0"/>
          <w:sz w:val="32"/>
          <w:szCs w:val="32"/>
          <w:highlight w:val="none"/>
          <w:lang w:val="en-US" w:eastAsia="zh-CN"/>
        </w:rPr>
        <w:t>构建现代化产业体系</w:t>
      </w:r>
      <w:r>
        <w:rPr>
          <w:rFonts w:hint="eastAsia" w:ascii="Times New Roman" w:hAnsi="Times New Roman" w:eastAsia="仿宋_GB2312" w:cs="方正仿宋_GBK"/>
          <w:b w:val="0"/>
          <w:bCs w:val="0"/>
          <w:sz w:val="32"/>
          <w:szCs w:val="32"/>
          <w:highlight w:val="none"/>
          <w:lang w:val="en-US" w:eastAsia="zh-CN"/>
        </w:rPr>
        <w:t>作为经济高质量发展的基础性、支撑性、决定性因素，瞄准智能化、绿色化、融合化方向，推动链条化、集群化发展，巩固壮大实体经济根基。</w:t>
      </w:r>
    </w:p>
    <w:p w14:paraId="1285B708">
      <w:pPr>
        <w:keepNext w:val="0"/>
        <w:keepLines w:val="0"/>
        <w:pageBreakBefore w:val="0"/>
        <w:widowControl/>
        <w:numPr>
          <w:ilvl w:val="0"/>
          <w:numId w:val="5"/>
        </w:numPr>
        <w:shd w:val="clear" w:color="auto" w:fill="auto"/>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303" w:name="_Toc19378"/>
      <w:bookmarkStart w:id="304" w:name="_Toc11158"/>
      <w:bookmarkStart w:id="305" w:name="_Toc24460"/>
      <w:bookmarkStart w:id="306" w:name="_Toc4904"/>
      <w:bookmarkStart w:id="307" w:name="_Toc27654"/>
      <w:r>
        <w:rPr>
          <w:rFonts w:hint="eastAsia" w:ascii="楷体_GB2312" w:hAnsi="楷体_GB2312" w:eastAsia="楷体_GB2312" w:cs="楷体_GB2312"/>
          <w:b w:val="0"/>
          <w:bCs w:val="0"/>
          <w:color w:val="auto"/>
          <w:sz w:val="32"/>
          <w:szCs w:val="40"/>
          <w:highlight w:val="none"/>
          <w:lang w:val="en-US" w:eastAsia="zh-CN"/>
        </w:rPr>
        <w:t>深入实施工业强市战略</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3"/>
      <w:bookmarkEnd w:id="304"/>
      <w:bookmarkEnd w:id="305"/>
      <w:bookmarkEnd w:id="306"/>
      <w:bookmarkEnd w:id="307"/>
    </w:p>
    <w:p w14:paraId="1D46D3A9">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rPr>
          <w:rFonts w:hint="eastAsia" w:eastAsia="仿宋_GB2312" w:cs="方正仿宋_GBK"/>
          <w:b w:val="0"/>
          <w:bCs w:val="0"/>
          <w:highlight w:val="none"/>
          <w:lang w:val="en-US" w:eastAsia="zh-CN"/>
        </w:rPr>
      </w:pPr>
      <w:r>
        <w:rPr>
          <w:rFonts w:hint="eastAsia" w:eastAsia="仿宋_GB2312" w:cs="方正仿宋_GBK"/>
          <w:b w:val="0"/>
          <w:bCs w:val="0"/>
          <w:highlight w:val="none"/>
          <w:lang w:val="en-US" w:eastAsia="zh-CN"/>
        </w:rPr>
        <w:t>锚定再造一个“工业赤峰”奋斗目标，</w:t>
      </w:r>
      <w:r>
        <w:rPr>
          <w:rFonts w:hint="eastAsia" w:ascii="Times New Roman" w:hAnsi="Times New Roman" w:eastAsia="仿宋_GB2312" w:cs="方正仿宋_GBK"/>
          <w:b w:val="0"/>
          <w:bCs w:val="0"/>
          <w:highlight w:val="none"/>
        </w:rPr>
        <w:t>依托资源优势和产业基础，</w:t>
      </w:r>
      <w:r>
        <w:rPr>
          <w:rFonts w:hint="eastAsia" w:eastAsia="仿宋_GB2312" w:cs="方正仿宋_GBK"/>
          <w:b w:val="0"/>
          <w:bCs w:val="0"/>
          <w:highlight w:val="none"/>
          <w:lang w:val="en-US" w:eastAsia="zh-CN"/>
        </w:rPr>
        <w:t>全方位推进质量强市建设，</w:t>
      </w:r>
      <w:r>
        <w:rPr>
          <w:rFonts w:hint="eastAsia" w:ascii="Times New Roman" w:hAnsi="Times New Roman" w:eastAsia="仿宋_GB2312" w:cs="方正仿宋_GBK"/>
          <w:b w:val="0"/>
          <w:bCs w:val="0"/>
          <w:highlight w:val="none"/>
          <w:lang w:val="en-US" w:eastAsia="zh-CN"/>
        </w:rPr>
        <w:t>接续实施“工业倍增”行动</w:t>
      </w:r>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highlight w:val="none"/>
        </w:rPr>
        <w:t>构建“五链条</w:t>
      </w:r>
      <w:r>
        <w:rPr>
          <w:rFonts w:hint="eastAsia" w:eastAsia="仿宋_GB2312" w:cs="方正仿宋_GBK"/>
          <w:b w:val="0"/>
          <w:bCs w:val="0"/>
          <w:highlight w:val="none"/>
          <w:lang w:eastAsia="zh-CN"/>
        </w:rPr>
        <w:t>、</w:t>
      </w:r>
      <w:r>
        <w:rPr>
          <w:rFonts w:hint="eastAsia" w:ascii="Times New Roman" w:hAnsi="Times New Roman" w:eastAsia="仿宋_GB2312" w:cs="方正仿宋_GBK"/>
          <w:b w:val="0"/>
          <w:bCs w:val="0"/>
          <w:highlight w:val="none"/>
        </w:rPr>
        <w:t>两集群”现代</w:t>
      </w:r>
      <w:r>
        <w:rPr>
          <w:rFonts w:hint="eastAsia" w:eastAsia="仿宋_GB2312" w:cs="方正仿宋_GBK"/>
          <w:b w:val="0"/>
          <w:bCs w:val="0"/>
          <w:highlight w:val="none"/>
          <w:lang w:val="en-US" w:eastAsia="zh-CN"/>
        </w:rPr>
        <w:t>化</w:t>
      </w:r>
      <w:r>
        <w:rPr>
          <w:rFonts w:hint="eastAsia" w:ascii="Times New Roman" w:hAnsi="Times New Roman" w:eastAsia="仿宋_GB2312" w:cs="方正仿宋_GBK"/>
          <w:b w:val="0"/>
          <w:bCs w:val="0"/>
          <w:highlight w:val="none"/>
        </w:rPr>
        <w:t>工业体系，</w:t>
      </w:r>
      <w:r>
        <w:rPr>
          <w:rFonts w:hint="eastAsia" w:ascii="Times New Roman" w:hAnsi="Times New Roman" w:eastAsia="仿宋_GB2312" w:cs="方正仿宋_GBK"/>
          <w:b w:val="0"/>
          <w:bCs w:val="0"/>
          <w:highlight w:val="none"/>
          <w:lang w:val="en-US" w:eastAsia="zh-CN"/>
        </w:rPr>
        <w:t>全面提升工业经济支撑力、带动力、竞争力，更好助力自治区建设国家重要能源和战略资</w:t>
      </w:r>
      <w:r>
        <w:rPr>
          <w:rFonts w:hint="eastAsia" w:eastAsia="仿宋_GB2312" w:cs="方正仿宋_GBK"/>
          <w:b w:val="0"/>
          <w:bCs w:val="0"/>
          <w:highlight w:val="none"/>
          <w:lang w:val="en-US" w:eastAsia="zh-CN"/>
        </w:rPr>
        <w:t>源基地。到2030年，全市工业总产值达到4000亿元。</w:t>
      </w:r>
    </w:p>
    <w:p w14:paraId="0D0CD164">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rPr>
          <w:rFonts w:hint="eastAsia" w:eastAsia="仿宋_GB2312" w:cs="方正仿宋_GBK"/>
          <w:b w:val="0"/>
          <w:bCs w:val="0"/>
          <w:highlight w:val="none"/>
          <w:lang w:val="en-US" w:eastAsia="zh-CN"/>
        </w:rPr>
      </w:pPr>
      <w:bookmarkStart w:id="308" w:name="_Toc15552"/>
      <w:bookmarkStart w:id="309" w:name="_Toc20074"/>
      <w:bookmarkStart w:id="310" w:name="_Toc19310"/>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eastAsia="仿宋_GB2312" w:cs="方正仿宋_GBK"/>
          <w:b w:val="0"/>
          <w:bCs w:val="0"/>
          <w:highlight w:val="none"/>
          <w:lang w:val="en-US" w:eastAsia="zh-CN"/>
        </w:rPr>
        <w:t>优化提升传统产业</w:t>
      </w:r>
      <w:bookmarkEnd w:id="308"/>
      <w:bookmarkEnd w:id="309"/>
      <w:bookmarkEnd w:id="310"/>
      <w:r>
        <w:rPr>
          <w:rFonts w:hint="eastAsia" w:eastAsia="仿宋_GB2312" w:cs="方正仿宋_GBK"/>
          <w:b w:val="0"/>
          <w:bCs w:val="0"/>
          <w:highlight w:val="none"/>
          <w:lang w:val="en-US" w:eastAsia="zh-CN"/>
        </w:rPr>
        <w:t>。加快应用高新技术和先进适用技术，改造传统产业和传统企业，推进延链补链强链，推动传统产业向绿色化、高端化、智能化方向转型升级。</w:t>
      </w:r>
    </w:p>
    <w:p w14:paraId="2DA597D5">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rPr>
          <w:rFonts w:hint="eastAsia" w:ascii="Times New Roman" w:hAnsi="Times New Roman" w:eastAsia="仿宋_GB2312" w:cs="方正仿宋_GBK"/>
          <w:b w:val="0"/>
          <w:bCs w:val="0"/>
          <w:highlight w:val="none"/>
          <w:lang w:val="en-US" w:eastAsia="zh-CN"/>
        </w:rPr>
      </w:pPr>
      <w:r>
        <w:rPr>
          <w:rFonts w:hint="default" w:eastAsia="仿宋_GB2312" w:cs="方正仿宋_GBK"/>
          <w:b w:val="0"/>
          <w:bCs w:val="0"/>
          <w:highlight w:val="none"/>
          <w:lang w:val="en-US" w:eastAsia="zh-CN"/>
        </w:rPr>
        <w:t>推动矿产资源扩量增储与精深转化</w:t>
      </w:r>
      <w:r>
        <w:rPr>
          <w:rFonts w:hint="eastAsia" w:eastAsia="仿宋_GB2312" w:cs="方正仿宋_GBK"/>
          <w:b w:val="0"/>
          <w:bCs w:val="0"/>
          <w:highlight w:val="none"/>
          <w:lang w:val="en-US" w:eastAsia="zh-CN"/>
        </w:rPr>
        <w:t>。</w:t>
      </w:r>
      <w:r>
        <w:rPr>
          <w:rFonts w:hint="default" w:eastAsia="仿宋_GB2312" w:cs="方正仿宋_GBK"/>
          <w:b w:val="0"/>
          <w:bCs w:val="0"/>
          <w:highlight w:val="none"/>
          <w:lang w:val="en-US" w:eastAsia="zh-CN"/>
        </w:rPr>
        <w:t>深入实施找矿突破行动</w:t>
      </w:r>
      <w:r>
        <w:rPr>
          <w:rFonts w:hint="eastAsia" w:ascii="Times New Roman" w:hAnsi="Times New Roman" w:eastAsia="仿宋_GB2312" w:cs="方正仿宋_GBK"/>
          <w:b w:val="0"/>
          <w:bCs w:val="0"/>
          <w:highlight w:val="none"/>
          <w:lang w:eastAsia="zh-CN"/>
        </w:rPr>
        <w:t>，按照“做大规模、做长链条、做出影响”</w:t>
      </w:r>
      <w:r>
        <w:rPr>
          <w:rFonts w:hint="eastAsia" w:eastAsia="仿宋_GB2312" w:cs="方正仿宋_GBK"/>
          <w:b w:val="0"/>
          <w:bCs w:val="0"/>
          <w:highlight w:val="none"/>
          <w:lang w:val="en-US" w:eastAsia="zh-CN"/>
        </w:rPr>
        <w:t>的矿业经济发展</w:t>
      </w:r>
      <w:r>
        <w:rPr>
          <w:rFonts w:hint="eastAsia" w:ascii="Times New Roman" w:hAnsi="Times New Roman" w:eastAsia="仿宋_GB2312" w:cs="方正仿宋_GBK"/>
          <w:b w:val="0"/>
          <w:bCs w:val="0"/>
          <w:highlight w:val="none"/>
          <w:lang w:eastAsia="zh-CN"/>
        </w:rPr>
        <w:t>思路，不断发掘矿产资源潜力，</w:t>
      </w:r>
      <w:r>
        <w:rPr>
          <w:rFonts w:hint="eastAsia" w:eastAsia="仿宋_GB2312" w:cs="方正仿宋_GBK"/>
          <w:b w:val="0"/>
          <w:bCs w:val="0"/>
          <w:highlight w:val="none"/>
          <w:lang w:val="en-US" w:eastAsia="zh-CN"/>
        </w:rPr>
        <w:t>推动</w:t>
      </w:r>
      <w:r>
        <w:rPr>
          <w:rFonts w:hint="eastAsia" w:ascii="Times New Roman" w:hAnsi="Times New Roman" w:eastAsia="仿宋_GB2312" w:cs="方正仿宋_GBK"/>
          <w:b w:val="0"/>
          <w:bCs w:val="0"/>
          <w:highlight w:val="none"/>
          <w:lang w:eastAsia="zh-CN"/>
        </w:rPr>
        <w:t>探、采、选、冶、加全产业链一体化绿色发展，为矿业经济二次振兴和工业倍增提供重要支撑。</w:t>
      </w:r>
      <w:r>
        <w:rPr>
          <w:rFonts w:hint="eastAsia" w:eastAsia="仿宋_GB2312" w:cs="方正仿宋_GBK"/>
          <w:b w:val="0"/>
          <w:bCs w:val="0"/>
          <w:highlight w:val="none"/>
          <w:lang w:val="en-US" w:eastAsia="zh-CN"/>
        </w:rPr>
        <w:t>做大矿业经济规模，加强铜、锡、金、锂等国家紧缺战略性矿种和铅、锌、银等优势矿种勘查，深入实施“就矿找矿”、深部探矿，努力实现增储上产；推动矿山整合，提升矿业经济开发利用水平。做长矿业产业链条，按照“资源保障、冶炼集群、精深加工、全链发展”的路径，上游重点加大矿山开采力度，切实保障资源供给；中游重点稳定现有冶炼规模；下游以打造锂基、铝基、冶金等产业链条和新材料产业集群为重点，积极引进一批精深加工企业和项目，进一步拉长产业链条。全面推进绿色矿山建设，到2028年底，绿色矿山建设工作机制更加完善，持证在产的90%大型矿山、80%中型矿山要达到绿色矿山标准要求，持证在产的小型矿山和剩余储量可采年限不足3年的生产矿山应参照绿色矿山标准管理。</w:t>
      </w:r>
    </w:p>
    <w:p w14:paraId="598F392E">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highlight w:val="none"/>
        </w:rPr>
      </w:pPr>
      <w:r>
        <w:rPr>
          <w:rFonts w:hint="default" w:eastAsia="仿宋_GB2312" w:cs="方正仿宋_GBK"/>
          <w:b w:val="0"/>
          <w:bCs w:val="0"/>
          <w:color w:val="auto"/>
          <w:sz w:val="32"/>
          <w:szCs w:val="32"/>
          <w:highlight w:val="none"/>
          <w:lang w:val="en-US" w:eastAsia="zh-CN"/>
        </w:rPr>
        <w:t>推动医药产业全链条发展</w:t>
      </w:r>
      <w:r>
        <w:rPr>
          <w:rFonts w:hint="eastAsia" w:eastAsia="仿宋_GB2312" w:cs="方正仿宋_GBK"/>
          <w:b w:val="0"/>
          <w:bCs w:val="0"/>
          <w:sz w:val="32"/>
          <w:szCs w:val="32"/>
          <w:highlight w:val="none"/>
          <w:lang w:val="en-US" w:eastAsia="zh-CN"/>
        </w:rPr>
        <w:t>。</w:t>
      </w:r>
      <w:r>
        <w:rPr>
          <w:rFonts w:hint="eastAsia" w:ascii="Times New Roman" w:hAnsi="Times New Roman" w:eastAsia="仿宋_GB2312" w:cs="方正仿宋_GBK"/>
          <w:b w:val="0"/>
          <w:bCs w:val="0"/>
          <w:color w:val="auto"/>
          <w:sz w:val="32"/>
          <w:szCs w:val="32"/>
          <w:highlight w:val="none"/>
          <w:lang w:val="en-US" w:eastAsia="zh-CN"/>
        </w:rPr>
        <w:t>以做优原料药、做强化学制剂、做精中蒙药为重点</w:t>
      </w:r>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sz w:val="32"/>
          <w:szCs w:val="32"/>
          <w:highlight w:val="none"/>
        </w:rPr>
        <w:t>全力释放现有企业产能，积极引进高附加值化学原料药、医药中间体、中药（蒙药）制剂等项目，打造医药产业集群。</w:t>
      </w:r>
      <w:r>
        <w:rPr>
          <w:rFonts w:hint="eastAsia" w:ascii="Times New Roman" w:hAnsi="Times New Roman" w:eastAsia="仿宋_GB2312" w:cs="方正仿宋_GBK"/>
          <w:b w:val="0"/>
          <w:bCs w:val="0"/>
          <w:highlight w:val="none"/>
        </w:rPr>
        <w:t>大力发展原料药，</w:t>
      </w:r>
      <w:r>
        <w:rPr>
          <w:rFonts w:hint="eastAsia" w:eastAsia="仿宋_GB2312" w:cs="方正仿宋_GBK"/>
          <w:b w:val="0"/>
          <w:bCs w:val="0"/>
          <w:highlight w:val="none"/>
          <w:lang w:val="en-US" w:eastAsia="zh-CN"/>
        </w:rPr>
        <w:t>充分</w:t>
      </w:r>
      <w:r>
        <w:rPr>
          <w:rFonts w:hint="eastAsia" w:ascii="Times New Roman" w:hAnsi="Times New Roman" w:eastAsia="仿宋_GB2312" w:cs="方正仿宋_GBK"/>
          <w:b w:val="0"/>
          <w:bCs w:val="0"/>
          <w:highlight w:val="none"/>
        </w:rPr>
        <w:t>释放现有企业产能</w:t>
      </w:r>
      <w:r>
        <w:rPr>
          <w:rFonts w:hint="eastAsia" w:eastAsia="仿宋_GB2312" w:cs="方正仿宋_GBK"/>
          <w:b w:val="0"/>
          <w:bCs w:val="0"/>
          <w:highlight w:val="none"/>
          <w:lang w:eastAsia="zh-CN"/>
        </w:rPr>
        <w:t>，</w:t>
      </w:r>
      <w:r>
        <w:rPr>
          <w:rFonts w:hint="eastAsia" w:eastAsia="仿宋_GB2312" w:cs="方正仿宋_GBK"/>
          <w:b w:val="0"/>
          <w:bCs w:val="0"/>
          <w:highlight w:val="none"/>
          <w:lang w:val="en-US" w:eastAsia="zh-CN"/>
        </w:rPr>
        <w:t>壮大原料药规模</w:t>
      </w:r>
      <w:r>
        <w:rPr>
          <w:rFonts w:hint="eastAsia" w:ascii="Times New Roman" w:hAnsi="Times New Roman" w:eastAsia="仿宋_GB2312" w:cs="方正仿宋_GBK"/>
          <w:b w:val="0"/>
          <w:bCs w:val="0"/>
          <w:highlight w:val="none"/>
        </w:rPr>
        <w:t>。创新发展化学制剂，通过“仿创”结合加速化学药新品种生产，推动化学药产业快速发展。振兴发展中蒙药，</w:t>
      </w:r>
      <w:r>
        <w:rPr>
          <w:rFonts w:hint="eastAsia" w:ascii="Times New Roman" w:hAnsi="Times New Roman" w:eastAsia="仿宋_GB2312" w:cs="方正仿宋_GBK"/>
          <w:b w:val="0"/>
          <w:bCs w:val="0"/>
          <w:color w:val="auto"/>
          <w:sz w:val="32"/>
          <w:szCs w:val="32"/>
          <w:highlight w:val="none"/>
        </w:rPr>
        <w:t>稳步提升特色中药材</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蒙药材</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种植规模和品质，发展壮大饮片、配方颗粒、制剂产业链</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highlight w:val="none"/>
        </w:rPr>
        <w:t>打造“道地药材种植</w:t>
      </w:r>
      <w:r>
        <w:rPr>
          <w:rFonts w:hint="eastAsia" w:eastAsia="仿宋_GB2312" w:cs="方正仿宋_GBK"/>
          <w:b w:val="0"/>
          <w:bCs w:val="0"/>
          <w:highlight w:val="none"/>
          <w:lang w:eastAsia="zh-CN"/>
        </w:rPr>
        <w:t>—</w:t>
      </w:r>
      <w:r>
        <w:rPr>
          <w:rFonts w:hint="eastAsia" w:ascii="Times New Roman" w:hAnsi="Times New Roman" w:eastAsia="仿宋_GB2312" w:cs="方正仿宋_GBK"/>
          <w:b w:val="0"/>
          <w:bCs w:val="0"/>
          <w:highlight w:val="none"/>
        </w:rPr>
        <w:t>中蒙药生产</w:t>
      </w:r>
      <w:r>
        <w:rPr>
          <w:rFonts w:hint="eastAsia" w:ascii="Times New Roman" w:hAnsi="Times New Roman" w:eastAsia="仿宋_GB2312" w:cs="方正仿宋_GBK"/>
          <w:b w:val="0"/>
          <w:bCs w:val="0"/>
          <w:highlight w:val="none"/>
          <w:lang w:eastAsia="zh-CN"/>
        </w:rPr>
        <w:t>、</w:t>
      </w:r>
      <w:r>
        <w:rPr>
          <w:rFonts w:hint="eastAsia" w:ascii="Times New Roman" w:hAnsi="Times New Roman" w:eastAsia="仿宋_GB2312" w:cs="方正仿宋_GBK"/>
          <w:b w:val="0"/>
          <w:bCs w:val="0"/>
          <w:highlight w:val="none"/>
        </w:rPr>
        <w:t>销售</w:t>
      </w:r>
      <w:r>
        <w:rPr>
          <w:rFonts w:hint="eastAsia" w:ascii="Times New Roman" w:hAnsi="Times New Roman" w:eastAsia="仿宋_GB2312" w:cs="方正仿宋_GBK"/>
          <w:b w:val="0"/>
          <w:bCs w:val="0"/>
          <w:color w:val="auto"/>
          <w:sz w:val="32"/>
          <w:szCs w:val="32"/>
          <w:highlight w:val="none"/>
        </w:rPr>
        <w:t>—临床应用</w:t>
      </w:r>
      <w:r>
        <w:rPr>
          <w:rFonts w:hint="eastAsia" w:ascii="Times New Roman" w:hAnsi="Times New Roman" w:eastAsia="仿宋_GB2312" w:cs="方正仿宋_GBK"/>
          <w:b w:val="0"/>
          <w:bCs w:val="0"/>
          <w:highlight w:val="none"/>
        </w:rPr>
        <w:t>”于一体的中药（蒙药）产业链条。到20</w:t>
      </w:r>
      <w:r>
        <w:rPr>
          <w:rFonts w:hint="eastAsia" w:ascii="Times New Roman" w:hAnsi="Times New Roman" w:eastAsia="仿宋_GB2312" w:cs="方正仿宋_GBK"/>
          <w:b w:val="0"/>
          <w:bCs w:val="0"/>
          <w:highlight w:val="none"/>
          <w:lang w:val="en-US" w:eastAsia="zh-CN"/>
        </w:rPr>
        <w:t>30</w:t>
      </w:r>
      <w:r>
        <w:rPr>
          <w:rFonts w:hint="eastAsia" w:ascii="Times New Roman" w:hAnsi="Times New Roman" w:eastAsia="仿宋_GB2312" w:cs="方正仿宋_GBK"/>
          <w:b w:val="0"/>
          <w:bCs w:val="0"/>
          <w:highlight w:val="none"/>
        </w:rPr>
        <w:t>年</w:t>
      </w:r>
      <w:r>
        <w:rPr>
          <w:rFonts w:hint="eastAsia" w:ascii="Times New Roman" w:hAnsi="Times New Roman" w:eastAsia="仿宋_GB2312" w:cs="方正仿宋_GBK"/>
          <w:b w:val="0"/>
          <w:bCs w:val="0"/>
          <w:highlight w:val="none"/>
          <w:lang w:eastAsia="zh-CN"/>
        </w:rPr>
        <w:t>，</w:t>
      </w:r>
      <w:r>
        <w:rPr>
          <w:rFonts w:hint="eastAsia" w:ascii="Times New Roman" w:hAnsi="Times New Roman" w:eastAsia="仿宋_GB2312" w:cs="方正仿宋_GBK"/>
          <w:b w:val="0"/>
          <w:bCs w:val="0"/>
          <w:highlight w:val="none"/>
          <w:lang w:val="en-US" w:eastAsia="zh-CN"/>
        </w:rPr>
        <w:t>力争医药产业产值</w:t>
      </w:r>
      <w:r>
        <w:rPr>
          <w:rFonts w:hint="eastAsia" w:ascii="Times New Roman" w:hAnsi="Times New Roman" w:eastAsia="仿宋_GB2312" w:cs="方正仿宋_GBK"/>
          <w:b w:val="0"/>
          <w:bCs w:val="0"/>
          <w:highlight w:val="none"/>
        </w:rPr>
        <w:t>达到</w:t>
      </w:r>
      <w:r>
        <w:rPr>
          <w:rFonts w:hint="eastAsia" w:ascii="Times New Roman" w:hAnsi="Times New Roman" w:eastAsia="仿宋_GB2312" w:cs="方正仿宋_GBK"/>
          <w:b w:val="0"/>
          <w:bCs w:val="0"/>
          <w:highlight w:val="none"/>
          <w:lang w:val="en-US" w:eastAsia="zh-CN"/>
        </w:rPr>
        <w:t>35</w:t>
      </w:r>
      <w:r>
        <w:rPr>
          <w:rFonts w:hint="eastAsia" w:ascii="Times New Roman" w:hAnsi="Times New Roman" w:eastAsia="仿宋_GB2312" w:cs="方正仿宋_GBK"/>
          <w:b w:val="0"/>
          <w:bCs w:val="0"/>
          <w:highlight w:val="none"/>
        </w:rPr>
        <w:t>亿元。</w:t>
      </w:r>
    </w:p>
    <w:p w14:paraId="281CF133">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color w:val="auto"/>
          <w:highlight w:val="none"/>
        </w:rPr>
      </w:pPr>
      <w:r>
        <w:rPr>
          <w:rFonts w:hint="default" w:eastAsia="仿宋_GB2312" w:cs="方正仿宋_GBK"/>
          <w:b w:val="0"/>
          <w:bCs w:val="0"/>
          <w:color w:val="auto"/>
          <w:sz w:val="32"/>
          <w:szCs w:val="32"/>
          <w:highlight w:val="none"/>
          <w:lang w:val="en-US" w:eastAsia="zh-CN"/>
        </w:rPr>
        <w:t>推动</w:t>
      </w:r>
      <w:r>
        <w:rPr>
          <w:rFonts w:hint="default" w:ascii="Times New Roman" w:hAnsi="Times New Roman" w:eastAsia="仿宋_GB2312" w:cs="方正仿宋_GBK"/>
          <w:b w:val="0"/>
          <w:bCs w:val="0"/>
          <w:color w:val="auto"/>
          <w:highlight w:val="none"/>
          <w:lang w:val="en-US" w:eastAsia="zh-CN"/>
        </w:rPr>
        <w:t>绒毛纺织</w:t>
      </w:r>
      <w:r>
        <w:rPr>
          <w:rFonts w:hint="default" w:eastAsia="仿宋_GB2312" w:cs="方正仿宋_GBK"/>
          <w:b w:val="0"/>
          <w:bCs w:val="0"/>
          <w:color w:val="auto"/>
          <w:highlight w:val="none"/>
          <w:lang w:val="en-US" w:eastAsia="zh-CN"/>
        </w:rPr>
        <w:t>提质创新</w:t>
      </w:r>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color w:val="auto"/>
          <w:sz w:val="32"/>
          <w:szCs w:val="32"/>
          <w:highlight w:val="none"/>
        </w:rPr>
        <w:t>坚持推动纺织产业向集群化、高端化、品牌化方向发展，</w:t>
      </w:r>
      <w:r>
        <w:rPr>
          <w:rFonts w:hint="eastAsia" w:ascii="Times New Roman" w:hAnsi="Times New Roman" w:eastAsia="仿宋_GB2312" w:cs="方正仿宋_GBK"/>
          <w:b w:val="0"/>
          <w:bCs w:val="0"/>
          <w:color w:val="auto"/>
          <w:highlight w:val="none"/>
        </w:rPr>
        <w:t>支持绒毛加工企业实施一批改造升级项目，提高羊绒深加工水平</w:t>
      </w:r>
      <w:r>
        <w:rPr>
          <w:rFonts w:hint="eastAsia" w:ascii="Times New Roman" w:hAnsi="Times New Roman" w:eastAsia="仿宋_GB2312" w:cs="方正仿宋_GBK"/>
          <w:b w:val="0"/>
          <w:bCs w:val="0"/>
          <w:color w:val="auto"/>
          <w:sz w:val="32"/>
          <w:szCs w:val="32"/>
          <w:highlight w:val="none"/>
        </w:rPr>
        <w:t>，进一步强化全链条生产能力。</w:t>
      </w:r>
      <w:r>
        <w:rPr>
          <w:rFonts w:hint="eastAsia" w:ascii="Times New Roman" w:hAnsi="Times New Roman" w:eastAsia="仿宋_GB2312" w:cs="方正仿宋_GBK"/>
          <w:b w:val="0"/>
          <w:bCs w:val="0"/>
          <w:color w:val="auto"/>
          <w:highlight w:val="none"/>
        </w:rPr>
        <w:t>鼓励绒毛企业进行艺术创作和品牌创新，</w:t>
      </w:r>
      <w:r>
        <w:rPr>
          <w:rFonts w:hint="eastAsia" w:eastAsia="仿宋_GB2312" w:cs="方正仿宋_GBK"/>
          <w:b w:val="0"/>
          <w:bCs w:val="0"/>
          <w:color w:val="auto"/>
          <w:highlight w:val="none"/>
          <w:lang w:val="en-US" w:eastAsia="zh-CN"/>
        </w:rPr>
        <w:t>鼓励自主品牌走向国际市场，</w:t>
      </w:r>
      <w:r>
        <w:rPr>
          <w:rFonts w:hint="eastAsia" w:ascii="Times New Roman" w:hAnsi="Times New Roman" w:eastAsia="仿宋_GB2312" w:cs="方正仿宋_GBK"/>
          <w:b w:val="0"/>
          <w:bCs w:val="0"/>
          <w:color w:val="auto"/>
          <w:highlight w:val="none"/>
        </w:rPr>
        <w:t>提升羊绒制品竞争力</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rPr>
        <w:t>到20</w:t>
      </w:r>
      <w:r>
        <w:rPr>
          <w:rFonts w:hint="eastAsia" w:ascii="Times New Roman" w:hAnsi="Times New Roman" w:eastAsia="仿宋_GB2312" w:cs="方正仿宋_GBK"/>
          <w:b w:val="0"/>
          <w:bCs w:val="0"/>
          <w:color w:val="auto"/>
          <w:highlight w:val="none"/>
          <w:lang w:eastAsia="zh-CN"/>
        </w:rPr>
        <w:t>3</w:t>
      </w:r>
      <w:r>
        <w:rPr>
          <w:rFonts w:hint="eastAsia" w:ascii="Times New Roman" w:hAnsi="Times New Roman" w:eastAsia="仿宋_GB2312" w:cs="方正仿宋_GBK"/>
          <w:b w:val="0"/>
          <w:bCs w:val="0"/>
          <w:color w:val="auto"/>
          <w:highlight w:val="none"/>
          <w:lang w:val="en-US" w:eastAsia="zh-CN"/>
        </w:rPr>
        <w:t>0</w:t>
      </w:r>
      <w:r>
        <w:rPr>
          <w:rFonts w:hint="eastAsia" w:ascii="Times New Roman" w:hAnsi="Times New Roman" w:eastAsia="仿宋_GB2312" w:cs="方正仿宋_GBK"/>
          <w:b w:val="0"/>
          <w:bCs w:val="0"/>
          <w:color w:val="auto"/>
          <w:highlight w:val="none"/>
        </w:rPr>
        <w:t>年</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力争绒毛纺织加工产业产值</w:t>
      </w:r>
      <w:r>
        <w:rPr>
          <w:rFonts w:hint="eastAsia" w:ascii="Times New Roman" w:hAnsi="Times New Roman" w:eastAsia="仿宋_GB2312" w:cs="方正仿宋_GBK"/>
          <w:b w:val="0"/>
          <w:bCs w:val="0"/>
          <w:color w:val="auto"/>
          <w:highlight w:val="none"/>
        </w:rPr>
        <w:t>达到</w:t>
      </w:r>
      <w:r>
        <w:rPr>
          <w:rFonts w:hint="eastAsia" w:ascii="Times New Roman" w:hAnsi="Times New Roman" w:eastAsia="仿宋_GB2312" w:cs="方正仿宋_GBK"/>
          <w:b w:val="0"/>
          <w:bCs w:val="0"/>
          <w:color w:val="auto"/>
          <w:highlight w:val="none"/>
          <w:lang w:val="en-US" w:eastAsia="zh-CN"/>
        </w:rPr>
        <w:t>30</w:t>
      </w:r>
      <w:r>
        <w:rPr>
          <w:rFonts w:hint="eastAsia" w:ascii="Times New Roman" w:hAnsi="Times New Roman" w:eastAsia="仿宋_GB2312" w:cs="方正仿宋_GBK"/>
          <w:b w:val="0"/>
          <w:bCs w:val="0"/>
          <w:color w:val="auto"/>
          <w:highlight w:val="none"/>
        </w:rPr>
        <w:t>亿元。</w:t>
      </w:r>
    </w:p>
    <w:p w14:paraId="7B7561A4">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color w:val="auto"/>
          <w:highlight w:val="none"/>
        </w:rPr>
      </w:pPr>
      <w:r>
        <w:rPr>
          <w:rFonts w:hint="default" w:ascii="Times New Roman" w:hAnsi="Times New Roman" w:eastAsia="仿宋_GB2312" w:cs="方正仿宋_GBK"/>
          <w:b w:val="0"/>
          <w:bCs w:val="0"/>
          <w:color w:val="auto"/>
          <w:highlight w:val="none"/>
        </w:rPr>
        <w:t>推动建材行业多元发展</w:t>
      </w:r>
      <w:r>
        <w:rPr>
          <w:rFonts w:hint="eastAsia" w:eastAsia="仿宋_GB2312" w:cs="方正仿宋_GBK"/>
          <w:b w:val="0"/>
          <w:bCs w:val="0"/>
          <w:highlight w:val="none"/>
          <w:lang w:eastAsia="zh-CN"/>
        </w:rPr>
        <w:t>。</w:t>
      </w:r>
      <w:r>
        <w:rPr>
          <w:rFonts w:hint="eastAsia" w:ascii="Times New Roman" w:hAnsi="Times New Roman" w:eastAsia="仿宋_GB2312" w:cs="方正仿宋_GBK"/>
          <w:b w:val="0"/>
          <w:bCs w:val="0"/>
          <w:color w:val="auto"/>
          <w:highlight w:val="none"/>
        </w:rPr>
        <w:t>以推动建材产品向高端化、智能化、绿色化方向发展为重点，优化产业结构，引导传统建材企业转型</w:t>
      </w:r>
      <w:r>
        <w:rPr>
          <w:rFonts w:hint="eastAsia" w:ascii="Times New Roman" w:hAnsi="Times New Roman" w:eastAsia="仿宋_GB2312" w:cs="方正仿宋_GBK"/>
          <w:b w:val="0"/>
          <w:bCs w:val="0"/>
          <w:color w:val="auto"/>
          <w:highlight w:val="none"/>
          <w:lang w:val="en-US" w:eastAsia="zh-CN"/>
        </w:rPr>
        <w:t>提质</w:t>
      </w:r>
      <w:r>
        <w:rPr>
          <w:rFonts w:hint="eastAsia" w:ascii="Times New Roman" w:hAnsi="Times New Roman" w:eastAsia="仿宋_GB2312" w:cs="方正仿宋_GBK"/>
          <w:b w:val="0"/>
          <w:bCs w:val="0"/>
          <w:color w:val="auto"/>
          <w:highlight w:val="none"/>
        </w:rPr>
        <w:t>，提高产业集中度。</w:t>
      </w:r>
      <w:r>
        <w:rPr>
          <w:rFonts w:hint="eastAsia" w:eastAsia="仿宋_GB2312" w:cs="方正仿宋_GBK"/>
          <w:b w:val="0"/>
          <w:bCs w:val="0"/>
          <w:color w:val="auto"/>
          <w:highlight w:val="none"/>
          <w:lang w:val="en-US" w:eastAsia="zh-CN"/>
        </w:rPr>
        <w:t>培育管道管材配套设施项目，延长产业链条。</w:t>
      </w:r>
      <w:r>
        <w:rPr>
          <w:rFonts w:hint="eastAsia" w:ascii="Times New Roman" w:hAnsi="Times New Roman" w:eastAsia="仿宋_GB2312" w:cs="方正仿宋_GBK"/>
          <w:b w:val="0"/>
          <w:bCs w:val="0"/>
          <w:color w:val="auto"/>
          <w:highlight w:val="none"/>
        </w:rPr>
        <w:t>到20</w:t>
      </w:r>
      <w:r>
        <w:rPr>
          <w:rFonts w:hint="eastAsia" w:ascii="Times New Roman" w:hAnsi="Times New Roman" w:eastAsia="仿宋_GB2312" w:cs="方正仿宋_GBK"/>
          <w:b w:val="0"/>
          <w:bCs w:val="0"/>
          <w:color w:val="auto"/>
          <w:highlight w:val="none"/>
          <w:lang w:val="en-US" w:eastAsia="zh-CN"/>
        </w:rPr>
        <w:t>30</w:t>
      </w:r>
      <w:r>
        <w:rPr>
          <w:rFonts w:hint="eastAsia" w:ascii="Times New Roman" w:hAnsi="Times New Roman" w:eastAsia="仿宋_GB2312" w:cs="方正仿宋_GBK"/>
          <w:b w:val="0"/>
          <w:bCs w:val="0"/>
          <w:color w:val="auto"/>
          <w:highlight w:val="none"/>
        </w:rPr>
        <w:t>年</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力争建材产业产值</w:t>
      </w:r>
      <w:r>
        <w:rPr>
          <w:rFonts w:hint="eastAsia" w:ascii="Times New Roman" w:hAnsi="Times New Roman" w:eastAsia="仿宋_GB2312" w:cs="方正仿宋_GBK"/>
          <w:b w:val="0"/>
          <w:bCs w:val="0"/>
          <w:color w:val="auto"/>
          <w:highlight w:val="none"/>
        </w:rPr>
        <w:t>达到</w:t>
      </w:r>
      <w:r>
        <w:rPr>
          <w:rFonts w:hint="eastAsia" w:ascii="Times New Roman" w:hAnsi="Times New Roman" w:eastAsia="仿宋_GB2312" w:cs="方正仿宋_GBK"/>
          <w:b w:val="0"/>
          <w:bCs w:val="0"/>
          <w:color w:val="auto"/>
          <w:highlight w:val="none"/>
          <w:lang w:val="en-US" w:eastAsia="zh-CN"/>
        </w:rPr>
        <w:t>80</w:t>
      </w:r>
      <w:r>
        <w:rPr>
          <w:rFonts w:hint="eastAsia" w:ascii="Times New Roman" w:hAnsi="Times New Roman" w:eastAsia="仿宋_GB2312" w:cs="方正仿宋_GBK"/>
          <w:b w:val="0"/>
          <w:bCs w:val="0"/>
          <w:color w:val="auto"/>
          <w:highlight w:val="none"/>
        </w:rPr>
        <w:t>亿元。</w:t>
      </w:r>
    </w:p>
    <w:p w14:paraId="0F74FE77">
      <w:pPr>
        <w:pStyle w:val="43"/>
        <w:keepNext w:val="0"/>
        <w:keepLines w:val="0"/>
        <w:pageBreakBefore w:val="0"/>
        <w:shd w:val="clear" w:color="auto" w:fill="auto"/>
        <w:kinsoku/>
        <w:wordWrap/>
        <w:topLinePunct w:val="0"/>
        <w:autoSpaceDE/>
        <w:autoSpaceDN/>
        <w:bidi w:val="0"/>
        <w:adjustRightInd/>
        <w:spacing w:after="0" w:afterAutospacing="0" w:line="540" w:lineRule="exact"/>
        <w:ind w:firstLine="624" w:firstLineChars="200"/>
        <w:textAlignment w:val="auto"/>
        <w:outlineLvl w:val="9"/>
        <w:rPr>
          <w:rFonts w:hint="eastAsia" w:ascii="Times New Roman" w:hAnsi="Times New Roman" w:eastAsia="方正仿宋_GBK" w:cs="方正仿宋_GBK"/>
          <w:b w:val="0"/>
          <w:bCs w:val="0"/>
          <w:color w:val="auto"/>
          <w:spacing w:val="-6"/>
          <w:sz w:val="32"/>
          <w:szCs w:val="32"/>
          <w:highlight w:val="none"/>
        </w:rPr>
      </w:pPr>
      <w:r>
        <w:rPr>
          <w:rFonts w:hint="default" w:eastAsia="仿宋_GB2312" w:cs="方正仿宋_GBK"/>
          <w:b w:val="0"/>
          <w:bCs w:val="0"/>
          <w:color w:val="auto"/>
          <w:highlight w:val="none"/>
          <w:lang w:val="en-US" w:eastAsia="zh-CN"/>
        </w:rPr>
        <w:t>推动产业数智化绿色化发展</w:t>
      </w:r>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color w:val="auto"/>
          <w:sz w:val="32"/>
          <w:szCs w:val="32"/>
          <w:highlight w:val="none"/>
          <w:lang w:val="en-US" w:eastAsia="zh-CN"/>
        </w:rPr>
        <w:t>持续实施技改提能行动和大规模设备更新工程，加快冶金、化工、建材等重点行业高端化、智能化、数字化、绿色化改造。</w:t>
      </w:r>
      <w:r>
        <w:rPr>
          <w:rFonts w:hint="eastAsia" w:ascii="Times New Roman" w:hAnsi="Times New Roman" w:eastAsia="仿宋_GB2312" w:cs="方正仿宋_GBK"/>
          <w:b w:val="0"/>
          <w:bCs w:val="0"/>
          <w:color w:val="auto"/>
          <w:sz w:val="32"/>
          <w:szCs w:val="32"/>
          <w:highlight w:val="none"/>
        </w:rPr>
        <w:t>探索</w:t>
      </w:r>
      <w:r>
        <w:rPr>
          <w:rFonts w:hint="eastAsia" w:ascii="Times New Roman" w:hAnsi="Times New Roman" w:eastAsia="仿宋_GB2312" w:cs="方正仿宋_GBK"/>
          <w:b w:val="0"/>
          <w:bCs w:val="0"/>
          <w:color w:val="auto"/>
          <w:sz w:val="32"/>
          <w:szCs w:val="32"/>
          <w:highlight w:val="none"/>
          <w:lang w:val="en-US" w:eastAsia="zh-CN"/>
        </w:rPr>
        <w:t>冶金、化工等重点产业</w:t>
      </w:r>
      <w:r>
        <w:rPr>
          <w:rFonts w:hint="eastAsia" w:ascii="Times New Roman" w:hAnsi="Times New Roman" w:eastAsia="仿宋_GB2312" w:cs="方正仿宋_GBK"/>
          <w:b w:val="0"/>
          <w:bCs w:val="0"/>
          <w:color w:val="auto"/>
          <w:sz w:val="32"/>
          <w:szCs w:val="32"/>
          <w:highlight w:val="none"/>
        </w:rPr>
        <w:t>与绿氢、碳捕集利用与封存</w:t>
      </w:r>
      <w:r>
        <w:rPr>
          <w:rFonts w:hint="eastAsia" w:eastAsia="仿宋_GB2312" w:cs="方正仿宋_GBK"/>
          <w:b w:val="0"/>
          <w:bCs w:val="0"/>
          <w:color w:val="auto"/>
          <w:sz w:val="32"/>
          <w:szCs w:val="32"/>
          <w:highlight w:val="none"/>
          <w:lang w:eastAsia="zh-CN"/>
        </w:rPr>
        <w:t>（</w:t>
      </w:r>
      <w:r>
        <w:rPr>
          <w:rFonts w:hint="eastAsia" w:eastAsia="仿宋_GB2312" w:cs="方正仿宋_GBK"/>
          <w:b w:val="0"/>
          <w:bCs w:val="0"/>
          <w:color w:val="auto"/>
          <w:sz w:val="32"/>
          <w:szCs w:val="32"/>
          <w:highlight w:val="none"/>
          <w:lang w:val="en-US" w:eastAsia="zh-CN"/>
        </w:rPr>
        <w:t>CCUS</w:t>
      </w:r>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耦合发展模式，积极推进</w:t>
      </w:r>
      <w:r>
        <w:rPr>
          <w:rFonts w:hint="eastAsia" w:ascii="Times New Roman" w:hAnsi="Times New Roman" w:eastAsia="仿宋_GB2312" w:cs="方正仿宋_GBK"/>
          <w:b w:val="0"/>
          <w:bCs w:val="0"/>
          <w:color w:val="auto"/>
          <w:sz w:val="32"/>
          <w:szCs w:val="32"/>
          <w:highlight w:val="none"/>
          <w:lang w:val="en-US" w:eastAsia="zh-CN"/>
        </w:rPr>
        <w:t>前沿</w:t>
      </w:r>
      <w:r>
        <w:rPr>
          <w:rFonts w:hint="eastAsia" w:ascii="Times New Roman" w:hAnsi="Times New Roman" w:eastAsia="仿宋_GB2312" w:cs="方正仿宋_GBK"/>
          <w:b w:val="0"/>
          <w:bCs w:val="0"/>
          <w:color w:val="auto"/>
          <w:sz w:val="32"/>
          <w:szCs w:val="32"/>
          <w:highlight w:val="none"/>
        </w:rPr>
        <w:t>技术研发和工业化应用。加快工业数字化转型</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以工业互联网赋能制造业数字化转型为主线，打造一批技术引领、集成协同、绿色低碳的智能工厂。推行普惠性“上云用数赋智”服务，扩大数字化转型系统解决方案场景覆盖领域，创新数字化、网络化、智能化改造应用场景赋能模式</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支持企业建设企业级工业互联网平台，实现生产、仓储、物流、销售等环节数字化管理和协同。鼓励企</w:t>
      </w:r>
      <w:r>
        <w:rPr>
          <w:rFonts w:hint="eastAsia" w:ascii="Times New Roman" w:hAnsi="Times New Roman" w:eastAsia="仿宋_GB2312" w:cs="方正仿宋_GBK"/>
          <w:b w:val="0"/>
          <w:bCs w:val="0"/>
          <w:color w:val="auto"/>
          <w:spacing w:val="-6"/>
          <w:sz w:val="32"/>
          <w:szCs w:val="32"/>
          <w:highlight w:val="none"/>
        </w:rPr>
        <w:t>业使用行业级或区域级工业互联网平台。推广应用工业机器人、智能传感、AGV小车等智能装备，实现关键工序的自动化、智能化。</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9"/>
      </w:tblGrid>
      <w:tr w14:paraId="4BA3B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074D1552">
            <w:pPr>
              <w:keepNext w:val="0"/>
              <w:keepLines w:val="0"/>
              <w:pageBreakBefore w:val="0"/>
              <w:kinsoku/>
              <w:wordWrap/>
              <w:topLinePunct w:val="0"/>
              <w:autoSpaceDE/>
              <w:autoSpaceDN/>
              <w:bidi w:val="0"/>
              <w:adjustRightInd/>
              <w:spacing w:line="540" w:lineRule="exact"/>
              <w:ind w:firstLine="464" w:firstLineChars="200"/>
              <w:jc w:val="center"/>
              <w:textAlignment w:val="auto"/>
              <w:rPr>
                <w:rFonts w:ascii="Times New Roman" w:hAnsi="Times New Roman" w:eastAsia="方正仿宋_GBK" w:cs="Times New Roman"/>
                <w:b w:val="0"/>
                <w:bCs w:val="0"/>
                <w:sz w:val="24"/>
                <w:highlight w:val="none"/>
              </w:rPr>
            </w:pPr>
            <w:r>
              <w:rPr>
                <w:rFonts w:hint="eastAsia" w:ascii="Times New Roman" w:hAnsi="Times New Roman" w:eastAsia="仿宋_GB2312" w:cs="Times New Roman"/>
                <w:b w:val="0"/>
                <w:bCs w:val="0"/>
                <w:sz w:val="24"/>
                <w:highlight w:val="none"/>
              </w:rPr>
              <w:t>专栏</w:t>
            </w:r>
            <w:r>
              <w:rPr>
                <w:rFonts w:hint="eastAsia" w:ascii="Times New Roman" w:hAnsi="Times New Roman" w:eastAsia="仿宋_GB2312" w:cs="Times New Roman"/>
                <w:b w:val="0"/>
                <w:bCs w:val="0"/>
                <w:sz w:val="24"/>
                <w:highlight w:val="none"/>
                <w:lang w:val="en-US" w:eastAsia="zh-CN"/>
              </w:rPr>
              <w:t>3 传统产业提升</w:t>
            </w:r>
            <w:r>
              <w:rPr>
                <w:rFonts w:hint="eastAsia" w:ascii="Times New Roman" w:hAnsi="Times New Roman" w:eastAsia="仿宋_GB2312" w:cs="Times New Roman"/>
                <w:b w:val="0"/>
                <w:bCs w:val="0"/>
                <w:sz w:val="24"/>
                <w:highlight w:val="none"/>
              </w:rPr>
              <w:t>重大工程</w:t>
            </w:r>
          </w:p>
        </w:tc>
      </w:tr>
      <w:tr w14:paraId="4BD5F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0966F381">
            <w:pPr>
              <w:keepNext w:val="0"/>
              <w:keepLines w:val="0"/>
              <w:pageBreakBefore w:val="0"/>
              <w:kinsoku/>
              <w:wordWrap/>
              <w:topLinePunct w:val="0"/>
              <w:autoSpaceDE/>
              <w:autoSpaceDN/>
              <w:bidi w:val="0"/>
              <w:adjustRightInd/>
              <w:spacing w:line="540" w:lineRule="exact"/>
              <w:ind w:firstLine="464" w:firstLineChars="200"/>
              <w:textAlignment w:val="auto"/>
              <w:rPr>
                <w:rFonts w:hint="default" w:ascii="Times New Roman" w:hAnsi="Times New Roman" w:eastAsia="仿宋_GB2312" w:cs="Times New Roman"/>
                <w:b w:val="0"/>
                <w:bCs w:val="0"/>
                <w:sz w:val="24"/>
                <w:highlight w:val="none"/>
                <w:lang w:val="en-US" w:eastAsia="zh-CN"/>
              </w:rPr>
            </w:pPr>
            <w:r>
              <w:rPr>
                <w:rFonts w:hint="eastAsia" w:ascii="Times New Roman" w:hAnsi="Times New Roman" w:eastAsia="仿宋_GB2312" w:cs="Times New Roman"/>
                <w:b w:val="0"/>
                <w:bCs w:val="0"/>
                <w:sz w:val="24"/>
                <w:highlight w:val="none"/>
                <w:lang w:val="en-US" w:eastAsia="zh-CN"/>
              </w:rPr>
              <w:t>医药产业重点工程：按照全力释放存量、扩大增量、提高质量发展思路，重点引进创新药、高端仿制药、中药饮片加工、中成药生产、传统蒙药新剂型研发、生物药品制造等相关项目。</w:t>
            </w:r>
          </w:p>
          <w:p w14:paraId="60404B5D">
            <w:pPr>
              <w:keepNext w:val="0"/>
              <w:keepLines w:val="0"/>
              <w:pageBreakBefore w:val="0"/>
              <w:kinsoku/>
              <w:wordWrap/>
              <w:topLinePunct w:val="0"/>
              <w:autoSpaceDE/>
              <w:autoSpaceDN/>
              <w:bidi w:val="0"/>
              <w:adjustRightInd/>
              <w:spacing w:line="540" w:lineRule="exact"/>
              <w:ind w:firstLine="464" w:firstLineChars="200"/>
              <w:textAlignment w:val="auto"/>
              <w:rPr>
                <w:rFonts w:hint="default" w:ascii="Times New Roman" w:hAnsi="Times New Roman" w:eastAsia="仿宋_GB2312" w:cs="Times New Roman"/>
                <w:b w:val="0"/>
                <w:bCs w:val="0"/>
                <w:sz w:val="24"/>
                <w:highlight w:val="none"/>
                <w:lang w:val="en-US" w:eastAsia="zh-CN"/>
              </w:rPr>
            </w:pPr>
            <w:r>
              <w:rPr>
                <w:rFonts w:hint="eastAsia" w:ascii="Times New Roman" w:hAnsi="Times New Roman" w:eastAsia="仿宋_GB2312" w:cs="Times New Roman"/>
                <w:b w:val="0"/>
                <w:bCs w:val="0"/>
                <w:sz w:val="24"/>
                <w:highlight w:val="none"/>
                <w:lang w:val="en-US" w:eastAsia="zh-CN"/>
              </w:rPr>
              <w:t>绒毛纺织重点工程：按照“绿色、精品、高端”发展方向，强化创新链、拉长产业链、完善交易链，重点推进羊绒产业园、高端时尚羊绒面料数字化研发等工程项目。</w:t>
            </w:r>
          </w:p>
          <w:p w14:paraId="06848D2D">
            <w:pPr>
              <w:keepNext w:val="0"/>
              <w:keepLines w:val="0"/>
              <w:pageBreakBefore w:val="0"/>
              <w:kinsoku/>
              <w:wordWrap/>
              <w:topLinePunct w:val="0"/>
              <w:autoSpaceDE/>
              <w:autoSpaceDN/>
              <w:bidi w:val="0"/>
              <w:adjustRightInd/>
              <w:spacing w:line="540" w:lineRule="exact"/>
              <w:ind w:firstLine="464" w:firstLineChars="200"/>
              <w:textAlignment w:val="auto"/>
              <w:rPr>
                <w:rFonts w:hint="eastAsia" w:ascii="Times New Roman" w:hAnsi="Times New Roman" w:eastAsia="仿宋_GB2312" w:cs="Times New Roman"/>
                <w:b w:val="0"/>
                <w:bCs w:val="0"/>
                <w:sz w:val="24"/>
                <w:highlight w:val="none"/>
                <w:lang w:val="en-US" w:eastAsia="zh-CN"/>
              </w:rPr>
            </w:pPr>
            <w:r>
              <w:rPr>
                <w:rFonts w:hint="eastAsia" w:ascii="Times New Roman" w:hAnsi="Times New Roman" w:eastAsia="仿宋_GB2312" w:cs="Times New Roman"/>
                <w:b w:val="0"/>
                <w:bCs w:val="0"/>
                <w:sz w:val="24"/>
                <w:highlight w:val="none"/>
                <w:lang w:val="en-US" w:eastAsia="zh-CN"/>
              </w:rPr>
              <w:t>食品加工重点工程：按照“粮头食尾”、“畜头肉尾”、“农头工尾”发展思路，大力发展农畜产品精深加工，培育引进一批精深加工企业，推动生产加工、产品研新等环节延链补链强链。</w:t>
            </w:r>
          </w:p>
          <w:p w14:paraId="5815E66C">
            <w:pPr>
              <w:keepNext w:val="0"/>
              <w:keepLines w:val="0"/>
              <w:pageBreakBefore w:val="0"/>
              <w:kinsoku/>
              <w:wordWrap/>
              <w:topLinePunct w:val="0"/>
              <w:autoSpaceDE/>
              <w:autoSpaceDN/>
              <w:bidi w:val="0"/>
              <w:adjustRightInd/>
              <w:spacing w:line="540" w:lineRule="exact"/>
              <w:ind w:firstLine="464" w:firstLineChars="200"/>
              <w:textAlignment w:val="auto"/>
              <w:rPr>
                <w:rFonts w:hint="default" w:ascii="Times New Roman" w:hAnsi="Times New Roman" w:eastAsia="仿宋_GB2312" w:cs="Times New Roman"/>
                <w:b w:val="0"/>
                <w:bCs w:val="0"/>
                <w:sz w:val="24"/>
                <w:highlight w:val="none"/>
                <w:lang w:val="en-US" w:eastAsia="zh-CN"/>
              </w:rPr>
            </w:pPr>
            <w:r>
              <w:rPr>
                <w:rFonts w:hint="eastAsia" w:ascii="Times New Roman" w:hAnsi="Times New Roman" w:eastAsia="仿宋_GB2312" w:cs="Times New Roman"/>
                <w:b w:val="0"/>
                <w:bCs w:val="0"/>
                <w:sz w:val="24"/>
                <w:highlight w:val="none"/>
                <w:lang w:val="en-US" w:eastAsia="zh-CN"/>
              </w:rPr>
              <w:t>建材产业重点工程：按照调整产品结构、淘汰落后产能、推动绿色低碳的发展思路，推动水泥企业兼并重组，发展花岗岩石材加工、混凝土预制件等产品。</w:t>
            </w:r>
          </w:p>
          <w:p w14:paraId="01DCE42C">
            <w:pPr>
              <w:keepNext w:val="0"/>
              <w:keepLines w:val="0"/>
              <w:pageBreakBefore w:val="0"/>
              <w:kinsoku/>
              <w:wordWrap/>
              <w:topLinePunct w:val="0"/>
              <w:autoSpaceDE/>
              <w:autoSpaceDN/>
              <w:bidi w:val="0"/>
              <w:adjustRightInd/>
              <w:spacing w:line="540" w:lineRule="exact"/>
              <w:ind w:firstLine="464" w:firstLineChars="200"/>
              <w:textAlignment w:val="auto"/>
              <w:rPr>
                <w:rFonts w:hint="default" w:ascii="Times New Roman" w:hAnsi="Times New Roman" w:eastAsia="方正仿宋_GBK" w:cs="Times New Roman"/>
                <w:b w:val="0"/>
                <w:bCs w:val="0"/>
                <w:highlight w:val="none"/>
                <w:lang w:val="en-US" w:eastAsia="zh-CN"/>
              </w:rPr>
            </w:pPr>
            <w:r>
              <w:rPr>
                <w:rFonts w:hint="eastAsia" w:ascii="Times New Roman" w:hAnsi="Times New Roman" w:eastAsia="仿宋_GB2312" w:cs="Times New Roman"/>
                <w:b w:val="0"/>
                <w:bCs w:val="0"/>
                <w:sz w:val="24"/>
                <w:szCs w:val="28"/>
                <w:highlight w:val="none"/>
                <w:lang w:val="en-US" w:eastAsia="zh-CN"/>
              </w:rPr>
              <w:t>传统产业数字化绿色化重点工程：推进冶金、化工、建材等重点行业和重点企业绿色低碳发展、智慧化改造和数字化转型，培育建设一批国家级、自治区级绿色工厂、绿色工业园区及绿色供应链企业。支持产业数智化改造，实施企业“智改数转网联”行动，建设一批智能工厂、智能车间、智能生产线。</w:t>
            </w:r>
          </w:p>
        </w:tc>
      </w:tr>
    </w:tbl>
    <w:p w14:paraId="1DDF191E">
      <w:pPr>
        <w:keepNext w:val="0"/>
        <w:keepLines w:val="0"/>
        <w:pageBreakBefore w:val="0"/>
        <w:kinsoku/>
        <w:wordWrap/>
        <w:topLinePunct w:val="0"/>
        <w:autoSpaceDE/>
        <w:autoSpaceDN/>
        <w:bidi w:val="0"/>
        <w:adjustRightInd/>
        <w:spacing w:line="540" w:lineRule="exact"/>
        <w:textAlignment w:val="auto"/>
        <w:rPr>
          <w:rFonts w:hint="default"/>
          <w:b w:val="0"/>
          <w:bCs w:val="0"/>
          <w:highlight w:val="none"/>
        </w:rPr>
      </w:pPr>
    </w:p>
    <w:p w14:paraId="3E1BC29C">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color w:val="auto"/>
          <w:highlight w:val="none"/>
          <w:lang w:val="en-US" w:eastAsia="zh-CN"/>
        </w:rPr>
      </w:pPr>
      <w:bookmarkStart w:id="311" w:name="_Toc10403"/>
      <w:bookmarkStart w:id="312" w:name="_Toc10227"/>
      <w:bookmarkStart w:id="313" w:name="_Toc7764"/>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Times New Roman" w:hAnsi="Times New Roman" w:eastAsia="仿宋_GB2312" w:cs="方正仿宋_GBK"/>
          <w:b w:val="0"/>
          <w:bCs w:val="0"/>
          <w:color w:val="auto"/>
          <w:sz w:val="32"/>
          <w:szCs w:val="32"/>
          <w:highlight w:val="none"/>
          <w:lang w:val="en-US" w:eastAsia="zh-CN"/>
        </w:rPr>
        <w:t>打造优势产业集群</w:t>
      </w:r>
      <w:bookmarkEnd w:id="311"/>
      <w:bookmarkEnd w:id="312"/>
      <w:bookmarkEnd w:id="313"/>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highlight w:val="none"/>
          <w:lang w:val="en-US" w:eastAsia="zh-CN"/>
        </w:rPr>
        <w:t>加快推进锂基、铝基、冶金、化工、氢能五条千亿</w:t>
      </w:r>
      <w:r>
        <w:rPr>
          <w:rFonts w:hint="eastAsia" w:ascii="Times New Roman" w:hAnsi="Times New Roman" w:eastAsia="仿宋_GB2312" w:cs="方正仿宋_GBK"/>
          <w:b w:val="0"/>
          <w:bCs w:val="0"/>
          <w:color w:val="auto"/>
          <w:highlight w:val="none"/>
          <w:lang w:val="en-US" w:eastAsia="zh-CN"/>
        </w:rPr>
        <w:t>级产业链和新能源、新材料两大产业集群建设。</w:t>
      </w:r>
    </w:p>
    <w:p w14:paraId="5F01C9FA">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方正仿宋_GBK" w:cs="方正仿宋_GBK"/>
          <w:b w:val="0"/>
          <w:bCs w:val="0"/>
          <w:highlight w:val="none"/>
        </w:rPr>
      </w:pPr>
      <w:r>
        <w:rPr>
          <w:rFonts w:hint="eastAsia" w:ascii="Times New Roman" w:hAnsi="Times New Roman" w:eastAsia="仿宋_GB2312" w:cs="方正仿宋_GBK"/>
          <w:b w:val="0"/>
          <w:bCs w:val="0"/>
          <w:color w:val="auto"/>
          <w:highlight w:val="none"/>
          <w:lang w:val="en-US" w:eastAsia="zh-CN"/>
        </w:rPr>
        <w:t>打造新能源全链条产业集群。大力发展现代能源经济，打造自治区绿色能源综合应用先行区，构建全国重要现代</w:t>
      </w:r>
      <w:r>
        <w:rPr>
          <w:rFonts w:hint="eastAsia" w:eastAsia="仿宋_GB2312" w:cs="方正仿宋_GBK"/>
          <w:b w:val="0"/>
          <w:bCs w:val="0"/>
          <w:highlight w:val="none"/>
          <w:lang w:val="en-US" w:eastAsia="zh-CN"/>
        </w:rPr>
        <w:t>能源产业基地。加快推进“沙戈荒”新能源基地建设，抓好总装机800万千瓦大基地收尾工程，争取更多保障性新能源竞配指标和新能源外送通道大基地落地建设，力促新增新能源重点转向以绿电直连为代表的市场化消纳模式。到2030年，全市新能源总装机规模达到4000万千瓦。做大新能源就地消纳规模，以建设绿色高载能产业承接基地、自治区绿色氢氨醇一体化产业基地为目标，加速实施总装机1000万千瓦源网荷储一体化项目，统筹布局总装机1000万千瓦风光制绿色氢氨醇一体化项目。到2030年，全市绿电直连消纳新能源总装机规模达到1600万千瓦。大力发展新型储能，以建设蒙东储能产业基地为目标，着力打造以大规模独立共享储能电站群和克旗、宁城、左旗三大抽水蓄能电站为骨干、新能源配储为补充的多元储能体系。到2030年，全市储能装机规模达到800万千瓦。大力发展新能源制造，以建设好蒙东新能源装备制造产业链基地为目标，加快壮大风电、光伏、氢能、储能装备制造产业集群。到2030年，全市新能源装备制造规模在“十四五”基础上实现倍增。</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9"/>
      </w:tblGrid>
      <w:tr w14:paraId="46DC7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61019EE0">
            <w:pPr>
              <w:keepNext w:val="0"/>
              <w:keepLines w:val="0"/>
              <w:pageBreakBefore w:val="0"/>
              <w:kinsoku/>
              <w:wordWrap/>
              <w:topLinePunct w:val="0"/>
              <w:autoSpaceDE/>
              <w:autoSpaceDN/>
              <w:bidi w:val="0"/>
              <w:adjustRightInd/>
              <w:spacing w:line="540" w:lineRule="exact"/>
              <w:ind w:firstLine="464" w:firstLineChars="200"/>
              <w:jc w:val="center"/>
              <w:textAlignment w:val="auto"/>
              <w:rPr>
                <w:rFonts w:ascii="Times New Roman" w:hAnsi="Times New Roman" w:eastAsia="方正仿宋_GBK" w:cs="Times New Roman"/>
                <w:b w:val="0"/>
                <w:bCs w:val="0"/>
                <w:sz w:val="24"/>
                <w:highlight w:val="none"/>
              </w:rPr>
            </w:pPr>
            <w:r>
              <w:rPr>
                <w:rFonts w:hint="eastAsia" w:ascii="Times New Roman" w:hAnsi="Times New Roman" w:eastAsia="仿宋_GB2312" w:cs="Times New Roman"/>
                <w:b w:val="0"/>
                <w:bCs w:val="0"/>
                <w:sz w:val="24"/>
                <w:highlight w:val="none"/>
              </w:rPr>
              <w:t>专栏</w:t>
            </w:r>
            <w:r>
              <w:rPr>
                <w:rFonts w:hint="eastAsia" w:ascii="Times New Roman" w:hAnsi="Times New Roman" w:eastAsia="仿宋_GB2312" w:cs="Times New Roman"/>
                <w:b w:val="0"/>
                <w:bCs w:val="0"/>
                <w:sz w:val="24"/>
                <w:highlight w:val="none"/>
                <w:lang w:val="en-US" w:eastAsia="zh-CN"/>
              </w:rPr>
              <w:t>4 新能源产业集群</w:t>
            </w:r>
            <w:r>
              <w:rPr>
                <w:rFonts w:hint="eastAsia" w:ascii="Times New Roman" w:hAnsi="Times New Roman" w:eastAsia="仿宋_GB2312" w:cs="Times New Roman"/>
                <w:b w:val="0"/>
                <w:bCs w:val="0"/>
                <w:sz w:val="24"/>
                <w:highlight w:val="none"/>
              </w:rPr>
              <w:t>重大工程</w:t>
            </w:r>
          </w:p>
        </w:tc>
      </w:tr>
      <w:tr w14:paraId="2962B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14958C8C">
            <w:pPr>
              <w:keepNext w:val="0"/>
              <w:keepLines w:val="0"/>
              <w:pageBreakBefore w:val="0"/>
              <w:kinsoku/>
              <w:wordWrap/>
              <w:topLinePunct w:val="0"/>
              <w:autoSpaceDE/>
              <w:autoSpaceDN/>
              <w:bidi w:val="0"/>
              <w:adjustRightInd/>
              <w:spacing w:line="540" w:lineRule="exact"/>
              <w:ind w:firstLine="464" w:firstLineChars="200"/>
              <w:textAlignment w:val="auto"/>
              <w:rPr>
                <w:rFonts w:hint="eastAsia" w:ascii="Times New Roman" w:hAnsi="Times New Roman" w:eastAsia="仿宋_GB2312"/>
                <w:b w:val="0"/>
                <w:bCs w:val="0"/>
                <w:sz w:val="24"/>
                <w:szCs w:val="24"/>
                <w:highlight w:val="none"/>
                <w:lang w:val="en-US" w:eastAsia="zh-CN"/>
              </w:rPr>
            </w:pPr>
            <w:r>
              <w:rPr>
                <w:rFonts w:hint="eastAsia" w:ascii="Times New Roman" w:hAnsi="Times New Roman" w:eastAsia="仿宋_GB2312"/>
                <w:b w:val="0"/>
                <w:bCs w:val="0"/>
                <w:sz w:val="24"/>
                <w:szCs w:val="24"/>
                <w:highlight w:val="none"/>
                <w:lang w:val="en-US" w:eastAsia="zh-CN"/>
              </w:rPr>
              <w:t>保障性新能源重点工程：重点推进总装机800万千瓦大型风光基地、总装机1150万千瓦新能源外送基地等“沙戈荒”大基地工程。</w:t>
            </w:r>
          </w:p>
          <w:p w14:paraId="3A00E106">
            <w:pPr>
              <w:keepNext w:val="0"/>
              <w:keepLines w:val="0"/>
              <w:pageBreakBefore w:val="0"/>
              <w:kinsoku/>
              <w:wordWrap/>
              <w:topLinePunct w:val="0"/>
              <w:autoSpaceDE/>
              <w:autoSpaceDN/>
              <w:bidi w:val="0"/>
              <w:adjustRightInd/>
              <w:spacing w:line="540" w:lineRule="exact"/>
              <w:ind w:firstLine="464" w:firstLineChars="200"/>
              <w:textAlignment w:val="auto"/>
              <w:rPr>
                <w:rFonts w:hint="eastAsia" w:ascii="Times New Roman" w:hAnsi="Times New Roman" w:eastAsia="仿宋_GB2312"/>
                <w:b w:val="0"/>
                <w:bCs w:val="0"/>
                <w:sz w:val="24"/>
                <w:szCs w:val="24"/>
                <w:highlight w:val="none"/>
                <w:lang w:val="en-US" w:eastAsia="zh-CN"/>
              </w:rPr>
            </w:pPr>
            <w:r>
              <w:rPr>
                <w:rFonts w:hint="eastAsia" w:ascii="Times New Roman" w:hAnsi="Times New Roman" w:eastAsia="仿宋_GB2312"/>
                <w:b w:val="0"/>
                <w:bCs w:val="0"/>
                <w:sz w:val="24"/>
                <w:szCs w:val="24"/>
                <w:highlight w:val="none"/>
                <w:lang w:val="en-US" w:eastAsia="zh-CN"/>
              </w:rPr>
              <w:t>市场化新能源重点工程：用足用好绿电直连价格机制，加速形成“低电价”洼地效应，系统布局铝基新材料、锂基新材料、大型冶金化工、先进算力中心等四大“新能源+”特色产业集群。</w:t>
            </w:r>
          </w:p>
          <w:p w14:paraId="16FFD58E">
            <w:pPr>
              <w:keepNext w:val="0"/>
              <w:keepLines w:val="0"/>
              <w:pageBreakBefore w:val="0"/>
              <w:kinsoku/>
              <w:wordWrap/>
              <w:topLinePunct w:val="0"/>
              <w:autoSpaceDE/>
              <w:autoSpaceDN/>
              <w:bidi w:val="0"/>
              <w:adjustRightInd/>
              <w:spacing w:line="540" w:lineRule="exact"/>
              <w:ind w:firstLine="464" w:firstLineChars="200"/>
              <w:textAlignment w:val="auto"/>
              <w:rPr>
                <w:rFonts w:hint="eastAsia" w:ascii="Times New Roman" w:hAnsi="Times New Roman" w:eastAsia="仿宋_GB2312"/>
                <w:b w:val="0"/>
                <w:bCs w:val="0"/>
                <w:sz w:val="24"/>
                <w:szCs w:val="24"/>
                <w:highlight w:val="none"/>
                <w:lang w:val="en-US" w:eastAsia="zh-CN"/>
              </w:rPr>
            </w:pPr>
            <w:r>
              <w:rPr>
                <w:rFonts w:hint="eastAsia" w:ascii="Times New Roman" w:hAnsi="Times New Roman" w:eastAsia="仿宋_GB2312"/>
                <w:b w:val="0"/>
                <w:bCs w:val="0"/>
                <w:sz w:val="24"/>
                <w:szCs w:val="24"/>
                <w:highlight w:val="none"/>
                <w:lang w:val="en-US" w:eastAsia="zh-CN"/>
              </w:rPr>
              <w:t>独立新型储能重点工程：重点推进集中式、大容量、长周期独立新型储能设施建设，提升电网调峰调频能力与跨区域优化配置能力。</w:t>
            </w:r>
          </w:p>
          <w:p w14:paraId="53B91D11">
            <w:pPr>
              <w:keepNext w:val="0"/>
              <w:keepLines w:val="0"/>
              <w:pageBreakBefore w:val="0"/>
              <w:kinsoku/>
              <w:wordWrap/>
              <w:topLinePunct w:val="0"/>
              <w:autoSpaceDE/>
              <w:autoSpaceDN/>
              <w:bidi w:val="0"/>
              <w:adjustRightInd/>
              <w:spacing w:line="540" w:lineRule="exact"/>
              <w:ind w:firstLine="464" w:firstLineChars="200"/>
              <w:textAlignment w:val="auto"/>
              <w:rPr>
                <w:rFonts w:hint="default" w:ascii="Times New Roman" w:hAnsi="Times New Roman"/>
                <w:b w:val="0"/>
                <w:bCs w:val="0"/>
                <w:highlight w:val="none"/>
                <w:lang w:val="en-US" w:eastAsia="zh-CN"/>
              </w:rPr>
            </w:pPr>
            <w:r>
              <w:rPr>
                <w:rFonts w:hint="eastAsia" w:ascii="Times New Roman" w:hAnsi="Times New Roman" w:eastAsia="仿宋_GB2312"/>
                <w:b w:val="0"/>
                <w:bCs w:val="0"/>
                <w:sz w:val="24"/>
                <w:szCs w:val="24"/>
                <w:highlight w:val="none"/>
                <w:lang w:val="en-US" w:eastAsia="zh-CN"/>
              </w:rPr>
              <w:t>新能源装备制造重点工程：壮大风电、光伏、氢能、储能装备制造产业集群，推动关键零部件核心技术自主化、本地化生产和上下游协同发展，提升产业链协同效率和整体竞争力。</w:t>
            </w:r>
          </w:p>
        </w:tc>
      </w:tr>
    </w:tbl>
    <w:p w14:paraId="55C0472B">
      <w:pPr>
        <w:keepNext w:val="0"/>
        <w:keepLines w:val="0"/>
        <w:pageBreakBefore w:val="0"/>
        <w:kinsoku/>
        <w:wordWrap/>
        <w:topLinePunct w:val="0"/>
        <w:autoSpaceDE/>
        <w:autoSpaceDN/>
        <w:bidi w:val="0"/>
        <w:adjustRightInd/>
        <w:spacing w:line="540" w:lineRule="exact"/>
        <w:textAlignment w:val="auto"/>
        <w:rPr>
          <w:rFonts w:hint="eastAsia"/>
          <w:b w:val="0"/>
          <w:bCs w:val="0"/>
          <w:highlight w:val="none"/>
        </w:rPr>
      </w:pPr>
    </w:p>
    <w:p w14:paraId="1FB6A38F">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highlight w:val="none"/>
        </w:rPr>
      </w:pPr>
      <w:r>
        <w:rPr>
          <w:rFonts w:hint="eastAsia" w:ascii="Times New Roman" w:hAnsi="Times New Roman" w:eastAsia="仿宋_GB2312" w:cs="方正仿宋_GBK"/>
          <w:b w:val="0"/>
          <w:bCs w:val="0"/>
          <w:color w:val="auto"/>
          <w:highlight w:val="none"/>
        </w:rPr>
        <w:t>打造千亿级锂基新材料产业</w:t>
      </w:r>
      <w:r>
        <w:rPr>
          <w:rFonts w:hint="eastAsia" w:ascii="Times New Roman" w:hAnsi="Times New Roman" w:eastAsia="仿宋_GB2312" w:cs="方正仿宋_GBK"/>
          <w:b w:val="0"/>
          <w:bCs w:val="0"/>
          <w:color w:val="auto"/>
          <w:highlight w:val="none"/>
          <w:lang w:val="en-US" w:eastAsia="zh-CN"/>
        </w:rPr>
        <w:t>链条</w:t>
      </w:r>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highlight w:val="none"/>
        </w:rPr>
        <w:t>聚焦</w:t>
      </w:r>
      <w:r>
        <w:rPr>
          <w:rFonts w:hint="eastAsia" w:ascii="Times New Roman" w:hAnsi="Times New Roman" w:eastAsia="仿宋_GB2312" w:cs="方正仿宋_GBK"/>
          <w:b w:val="0"/>
          <w:bCs w:val="0"/>
          <w:highlight w:val="none"/>
          <w:lang w:val="en-US" w:eastAsia="zh-CN"/>
        </w:rPr>
        <w:t>建设</w:t>
      </w:r>
      <w:r>
        <w:rPr>
          <w:rFonts w:hint="eastAsia" w:ascii="Times New Roman" w:hAnsi="Times New Roman" w:eastAsia="仿宋_GB2312" w:cs="方正仿宋_GBK"/>
          <w:b w:val="0"/>
          <w:bCs w:val="0"/>
          <w:highlight w:val="none"/>
        </w:rPr>
        <w:t>“绿色锂都”目标，</w:t>
      </w:r>
      <w:r>
        <w:rPr>
          <w:rFonts w:hint="eastAsia" w:ascii="Times New Roman" w:hAnsi="Times New Roman" w:eastAsia="仿宋_GB2312" w:cs="方正仿宋_GBK"/>
          <w:b w:val="0"/>
          <w:bCs w:val="0"/>
          <w:color w:val="auto"/>
          <w:highlight w:val="none"/>
        </w:rPr>
        <w:t>推动锂产业加快成链</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highlight w:val="none"/>
        </w:rPr>
        <w:t>依托锂多金属矿资源优势，重点发展“锂矿石采选—基础锂盐—正负极材料—隔膜—电解液—电芯制造—电池回收”全生命周期产业链</w:t>
      </w:r>
      <w:r>
        <w:rPr>
          <w:rFonts w:hint="eastAsia" w:ascii="Times New Roman" w:hAnsi="Times New Roman" w:eastAsia="仿宋_GB2312" w:cs="方正仿宋_GBK"/>
          <w:b w:val="0"/>
          <w:bCs w:val="0"/>
          <w:highlight w:val="none"/>
          <w:lang w:eastAsia="zh-CN"/>
        </w:rPr>
        <w:t>，</w:t>
      </w:r>
      <w:r>
        <w:rPr>
          <w:rFonts w:hint="eastAsia" w:ascii="Times New Roman" w:hAnsi="Times New Roman" w:eastAsia="仿宋_GB2312" w:cs="方正仿宋_GBK"/>
          <w:b w:val="0"/>
          <w:bCs w:val="0"/>
          <w:highlight w:val="none"/>
          <w:lang w:val="en-US" w:eastAsia="zh-CN"/>
        </w:rPr>
        <w:t>构建</w:t>
      </w:r>
      <w:r>
        <w:rPr>
          <w:rFonts w:hint="eastAsia" w:ascii="Times New Roman" w:hAnsi="Times New Roman" w:eastAsia="仿宋_GB2312" w:cs="方正仿宋_GBK"/>
          <w:b w:val="0"/>
          <w:bCs w:val="0"/>
          <w:highlight w:val="none"/>
        </w:rPr>
        <w:t>完善</w:t>
      </w:r>
      <w:r>
        <w:rPr>
          <w:rFonts w:hint="eastAsia" w:ascii="Times New Roman" w:hAnsi="Times New Roman" w:eastAsia="仿宋_GB2312" w:cs="方正仿宋_GBK"/>
          <w:b w:val="0"/>
          <w:bCs w:val="0"/>
          <w:highlight w:val="none"/>
          <w:lang w:val="en-US" w:eastAsia="zh-CN"/>
        </w:rPr>
        <w:t>锂</w:t>
      </w:r>
      <w:r>
        <w:rPr>
          <w:rFonts w:hint="eastAsia" w:ascii="Times New Roman" w:hAnsi="Times New Roman" w:eastAsia="仿宋_GB2312" w:cs="方正仿宋_GBK"/>
          <w:b w:val="0"/>
          <w:bCs w:val="0"/>
          <w:highlight w:val="none"/>
        </w:rPr>
        <w:t>产业生态，</w:t>
      </w:r>
      <w:r>
        <w:rPr>
          <w:rFonts w:hint="eastAsia" w:ascii="Times New Roman" w:hAnsi="Times New Roman" w:eastAsia="仿宋_GB2312" w:cs="方正仿宋_GBK"/>
          <w:b w:val="0"/>
          <w:bCs w:val="0"/>
          <w:highlight w:val="none"/>
          <w:lang w:val="en-US" w:eastAsia="zh-CN"/>
        </w:rPr>
        <w:t>打造</w:t>
      </w:r>
      <w:r>
        <w:rPr>
          <w:rFonts w:hint="eastAsia" w:ascii="Times New Roman" w:hAnsi="Times New Roman" w:eastAsia="仿宋_GB2312" w:cs="方正仿宋_GBK"/>
          <w:b w:val="0"/>
          <w:bCs w:val="0"/>
          <w:highlight w:val="none"/>
        </w:rPr>
        <w:t>全国具有重要影响力的锂电产业基地。加快锂多金属矿开发，增强锂产业资源保障能力。</w:t>
      </w:r>
      <w:r>
        <w:rPr>
          <w:rFonts w:hint="eastAsia" w:ascii="Times New Roman" w:hAnsi="Times New Roman" w:eastAsia="仿宋_GB2312" w:cs="方正仿宋_GBK"/>
          <w:b w:val="0"/>
          <w:bCs w:val="0"/>
          <w:highlight w:val="none"/>
          <w:lang w:val="en-US" w:eastAsia="zh-CN"/>
        </w:rPr>
        <w:t>着力延伸产业链条，</w:t>
      </w:r>
      <w:r>
        <w:rPr>
          <w:rFonts w:hint="eastAsia" w:eastAsia="仿宋_GB2312" w:cs="方正仿宋_GBK"/>
          <w:b w:val="0"/>
          <w:bCs w:val="0"/>
          <w:highlight w:val="none"/>
          <w:lang w:val="en-US" w:eastAsia="zh-CN"/>
        </w:rPr>
        <w:t>对接国内锂电相关企业，</w:t>
      </w:r>
      <w:r>
        <w:rPr>
          <w:rFonts w:hint="eastAsia" w:ascii="Times New Roman" w:hAnsi="Times New Roman" w:eastAsia="仿宋_GB2312" w:cs="方正仿宋_GBK"/>
          <w:b w:val="0"/>
          <w:bCs w:val="0"/>
          <w:highlight w:val="none"/>
        </w:rPr>
        <w:t>积极谋划</w:t>
      </w:r>
      <w:r>
        <w:rPr>
          <w:rFonts w:hint="eastAsia" w:ascii="Times New Roman" w:hAnsi="Times New Roman" w:eastAsia="仿宋_GB2312" w:cs="方正仿宋_GBK"/>
          <w:b w:val="0"/>
          <w:bCs w:val="0"/>
          <w:highlight w:val="none"/>
          <w:lang w:val="en-US" w:eastAsia="zh-CN"/>
        </w:rPr>
        <w:t>推进</w:t>
      </w:r>
      <w:r>
        <w:rPr>
          <w:rFonts w:hint="eastAsia" w:ascii="Times New Roman" w:hAnsi="Times New Roman" w:eastAsia="仿宋_GB2312" w:cs="方正仿宋_GBK"/>
          <w:b w:val="0"/>
          <w:bCs w:val="0"/>
          <w:highlight w:val="none"/>
        </w:rPr>
        <w:t>一批碳酸锂、磷酸铁锂、锂电池正极材料</w:t>
      </w:r>
      <w:r>
        <w:rPr>
          <w:rFonts w:hint="eastAsia" w:eastAsia="仿宋_GB2312" w:cs="方正仿宋_GBK"/>
          <w:b w:val="0"/>
          <w:bCs w:val="0"/>
          <w:highlight w:val="none"/>
          <w:lang w:val="en-US" w:eastAsia="zh-CN"/>
        </w:rPr>
        <w:t>等</w:t>
      </w:r>
      <w:r>
        <w:rPr>
          <w:rFonts w:hint="eastAsia" w:ascii="Times New Roman" w:hAnsi="Times New Roman" w:eastAsia="仿宋_GB2312" w:cs="方正仿宋_GBK"/>
          <w:b w:val="0"/>
          <w:bCs w:val="0"/>
          <w:highlight w:val="none"/>
        </w:rPr>
        <w:t>锂电全产业链项目，力促钛白粉、磷酸铁、磷酸铁锂、电芯等系列项目落地实施。到20</w:t>
      </w:r>
      <w:r>
        <w:rPr>
          <w:rFonts w:hint="eastAsia" w:ascii="Times New Roman" w:hAnsi="Times New Roman" w:eastAsia="仿宋_GB2312" w:cs="方正仿宋_GBK"/>
          <w:b w:val="0"/>
          <w:bCs w:val="0"/>
          <w:highlight w:val="none"/>
          <w:lang w:val="en-US" w:eastAsia="zh-CN"/>
        </w:rPr>
        <w:t>30</w:t>
      </w:r>
      <w:r>
        <w:rPr>
          <w:rFonts w:hint="eastAsia" w:ascii="Times New Roman" w:hAnsi="Times New Roman" w:eastAsia="仿宋_GB2312" w:cs="方正仿宋_GBK"/>
          <w:b w:val="0"/>
          <w:bCs w:val="0"/>
          <w:highlight w:val="none"/>
        </w:rPr>
        <w:t>年，</w:t>
      </w:r>
      <w:r>
        <w:rPr>
          <w:rFonts w:hint="eastAsia" w:ascii="Times New Roman" w:hAnsi="Times New Roman" w:eastAsia="仿宋_GB2312" w:cs="方正仿宋_GBK"/>
          <w:b w:val="0"/>
          <w:bCs w:val="0"/>
          <w:highlight w:val="none"/>
          <w:lang w:val="en-US" w:eastAsia="zh-CN"/>
        </w:rPr>
        <w:t>力争</w:t>
      </w:r>
      <w:r>
        <w:rPr>
          <w:rFonts w:hint="eastAsia" w:ascii="Times New Roman" w:hAnsi="Times New Roman" w:eastAsia="仿宋_GB2312" w:cs="方正仿宋_GBK"/>
          <w:b w:val="0"/>
          <w:bCs w:val="0"/>
          <w:highlight w:val="none"/>
        </w:rPr>
        <w:t>锂产业产值</w:t>
      </w:r>
      <w:r>
        <w:rPr>
          <w:rFonts w:hint="eastAsia" w:ascii="Times New Roman" w:hAnsi="Times New Roman" w:eastAsia="仿宋_GB2312" w:cs="方正仿宋_GBK"/>
          <w:b w:val="0"/>
          <w:bCs w:val="0"/>
          <w:highlight w:val="none"/>
          <w:lang w:val="en-US" w:eastAsia="zh-CN"/>
        </w:rPr>
        <w:t>达到300</w:t>
      </w:r>
      <w:r>
        <w:rPr>
          <w:rFonts w:hint="eastAsia" w:ascii="Times New Roman" w:hAnsi="Times New Roman" w:eastAsia="仿宋_GB2312" w:cs="方正仿宋_GBK"/>
          <w:b w:val="0"/>
          <w:bCs w:val="0"/>
          <w:highlight w:val="none"/>
        </w:rPr>
        <w:t>亿元。</w:t>
      </w:r>
    </w:p>
    <w:p w14:paraId="74133607">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color w:val="auto"/>
          <w:highlight w:val="none"/>
        </w:rPr>
        <w:t>打造千亿级铝基新材料产业</w:t>
      </w:r>
      <w:r>
        <w:rPr>
          <w:rFonts w:hint="eastAsia" w:ascii="Times New Roman" w:hAnsi="Times New Roman" w:eastAsia="仿宋_GB2312" w:cs="方正仿宋_GBK"/>
          <w:b w:val="0"/>
          <w:bCs w:val="0"/>
          <w:color w:val="auto"/>
          <w:highlight w:val="none"/>
          <w:lang w:val="en-US" w:eastAsia="zh-CN"/>
        </w:rPr>
        <w:t>链条</w:t>
      </w:r>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color w:val="auto"/>
          <w:highlight w:val="none"/>
        </w:rPr>
        <w:t>推动铝业延链补链强链，实施氧化铝一电解铝一铝材深加工全产业链项目，全力打造千亿级铝基新材料产业链条。全力引进落地铝合金等铝材深加工项目，谋划布局新的</w:t>
      </w:r>
      <w:r>
        <w:rPr>
          <w:rFonts w:hint="eastAsia" w:ascii="Times New Roman" w:hAnsi="Times New Roman" w:eastAsia="仿宋_GB2312" w:cs="方正仿宋_GBK"/>
          <w:b w:val="0"/>
          <w:bCs w:val="0"/>
          <w:color w:val="auto"/>
          <w:highlight w:val="none"/>
          <w:lang w:val="en-US" w:eastAsia="zh-CN"/>
        </w:rPr>
        <w:t>电解铝</w:t>
      </w:r>
      <w:r>
        <w:rPr>
          <w:rFonts w:hint="eastAsia" w:ascii="Times New Roman" w:hAnsi="Times New Roman" w:eastAsia="仿宋_GB2312" w:cs="方正仿宋_GBK"/>
          <w:b w:val="0"/>
          <w:bCs w:val="0"/>
          <w:color w:val="auto"/>
          <w:highlight w:val="none"/>
        </w:rPr>
        <w:t>项目，积极引入稀土铝合金架空电缆、铝合金</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铝镁合金、铝合金轮毂</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铝型材等铝后加工项目，重点推进铝循环经济产业链、先进有色金属高端新材料加工制造基地等重大项目建设</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构建绿色铝全产业链。到20</w:t>
      </w:r>
      <w:r>
        <w:rPr>
          <w:rFonts w:hint="eastAsia" w:ascii="Times New Roman" w:hAnsi="Times New Roman" w:eastAsia="仿宋_GB2312" w:cs="方正仿宋_GBK"/>
          <w:b w:val="0"/>
          <w:bCs w:val="0"/>
          <w:color w:val="auto"/>
          <w:highlight w:val="none"/>
          <w:lang w:val="en-US" w:eastAsia="zh-CN"/>
        </w:rPr>
        <w:t>30</w:t>
      </w:r>
      <w:r>
        <w:rPr>
          <w:rFonts w:hint="eastAsia" w:ascii="Times New Roman" w:hAnsi="Times New Roman" w:eastAsia="仿宋_GB2312" w:cs="方正仿宋_GBK"/>
          <w:b w:val="0"/>
          <w:bCs w:val="0"/>
          <w:color w:val="auto"/>
          <w:highlight w:val="none"/>
        </w:rPr>
        <w:t>年，</w:t>
      </w:r>
      <w:r>
        <w:rPr>
          <w:rFonts w:hint="eastAsia" w:ascii="Times New Roman" w:hAnsi="Times New Roman" w:eastAsia="仿宋_GB2312" w:cs="方正仿宋_GBK"/>
          <w:b w:val="0"/>
          <w:bCs w:val="0"/>
          <w:color w:val="auto"/>
          <w:highlight w:val="none"/>
          <w:lang w:val="en-US" w:eastAsia="zh-CN"/>
        </w:rPr>
        <w:t>力争</w:t>
      </w:r>
      <w:r>
        <w:rPr>
          <w:rFonts w:hint="eastAsia" w:ascii="Times New Roman" w:hAnsi="Times New Roman" w:eastAsia="仿宋_GB2312" w:cs="方正仿宋_GBK"/>
          <w:b w:val="0"/>
          <w:bCs w:val="0"/>
          <w:color w:val="auto"/>
          <w:highlight w:val="none"/>
        </w:rPr>
        <w:t>铝基产业产值</w:t>
      </w:r>
      <w:r>
        <w:rPr>
          <w:rFonts w:hint="eastAsia" w:ascii="Times New Roman" w:hAnsi="Times New Roman" w:eastAsia="仿宋_GB2312" w:cs="方正仿宋_GBK"/>
          <w:b w:val="0"/>
          <w:bCs w:val="0"/>
          <w:color w:val="auto"/>
          <w:highlight w:val="none"/>
          <w:lang w:val="en-US" w:eastAsia="zh-CN"/>
        </w:rPr>
        <w:t>达到</w:t>
      </w:r>
      <w:r>
        <w:rPr>
          <w:rFonts w:hint="eastAsia" w:eastAsia="仿宋_GB2312" w:cs="方正仿宋_GBK"/>
          <w:b w:val="0"/>
          <w:bCs w:val="0"/>
          <w:color w:val="auto"/>
          <w:highlight w:val="none"/>
          <w:lang w:val="en-US" w:eastAsia="zh-CN"/>
        </w:rPr>
        <w:t>500</w:t>
      </w:r>
      <w:r>
        <w:rPr>
          <w:rFonts w:hint="eastAsia" w:ascii="Times New Roman" w:hAnsi="Times New Roman" w:eastAsia="仿宋_GB2312" w:cs="方正仿宋_GBK"/>
          <w:b w:val="0"/>
          <w:bCs w:val="0"/>
          <w:color w:val="auto"/>
          <w:highlight w:val="none"/>
        </w:rPr>
        <w:t>亿元。</w:t>
      </w:r>
    </w:p>
    <w:p w14:paraId="738C6E93">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color w:val="auto"/>
          <w:highlight w:val="none"/>
        </w:rPr>
        <w:t>提升千亿级冶金产业</w:t>
      </w:r>
      <w:r>
        <w:rPr>
          <w:rFonts w:hint="eastAsia" w:ascii="Times New Roman" w:hAnsi="Times New Roman" w:eastAsia="仿宋_GB2312" w:cs="方正仿宋_GBK"/>
          <w:b w:val="0"/>
          <w:bCs w:val="0"/>
          <w:color w:val="auto"/>
          <w:highlight w:val="none"/>
          <w:lang w:val="en-US" w:eastAsia="zh-CN"/>
        </w:rPr>
        <w:t>链条</w:t>
      </w:r>
      <w:r>
        <w:rPr>
          <w:rFonts w:hint="eastAsia" w:ascii="Times New Roman" w:hAnsi="Times New Roman" w:eastAsia="仿宋_GB2312" w:cs="方正仿宋_GBK"/>
          <w:b w:val="0"/>
          <w:bCs w:val="0"/>
          <w:color w:val="auto"/>
          <w:highlight w:val="none"/>
        </w:rPr>
        <w:t>能级</w:t>
      </w:r>
      <w:r>
        <w:rPr>
          <w:rFonts w:hint="eastAsia" w:eastAsia="仿宋_GB2312" w:cs="方正仿宋_GBK"/>
          <w:b w:val="0"/>
          <w:bCs w:val="0"/>
          <w:highlight w:val="none"/>
          <w:lang w:eastAsia="zh-CN"/>
        </w:rPr>
        <w:t>。</w:t>
      </w:r>
      <w:r>
        <w:rPr>
          <w:rFonts w:hint="eastAsia" w:ascii="Times New Roman" w:hAnsi="Times New Roman" w:eastAsia="仿宋_GB2312" w:cs="方正仿宋_GBK"/>
          <w:b w:val="0"/>
          <w:bCs w:val="0"/>
          <w:color w:val="auto"/>
          <w:highlight w:val="none"/>
        </w:rPr>
        <w:t>推动冶金产业全链攻关，</w:t>
      </w:r>
      <w:r>
        <w:rPr>
          <w:rFonts w:hint="eastAsia" w:ascii="Times New Roman" w:hAnsi="Times New Roman" w:eastAsia="仿宋_GB2312" w:cs="方正仿宋_GBK"/>
          <w:b w:val="0"/>
          <w:bCs w:val="0"/>
          <w:color w:val="auto"/>
          <w:highlight w:val="none"/>
          <w:lang w:val="en-US" w:eastAsia="zh-CN"/>
        </w:rPr>
        <w:t>以钢铁、铜、锌、</w:t>
      </w:r>
      <w:r>
        <w:rPr>
          <w:rFonts w:hint="eastAsia" w:eastAsia="仿宋_GB2312" w:cs="方正仿宋_GBK"/>
          <w:b w:val="0"/>
          <w:bCs w:val="0"/>
          <w:color w:val="auto"/>
          <w:highlight w:val="none"/>
          <w:lang w:val="en-US" w:eastAsia="zh-CN"/>
        </w:rPr>
        <w:t>银、</w:t>
      </w:r>
      <w:r>
        <w:rPr>
          <w:rFonts w:hint="eastAsia" w:ascii="Times New Roman" w:hAnsi="Times New Roman" w:eastAsia="仿宋_GB2312" w:cs="方正仿宋_GBK"/>
          <w:b w:val="0"/>
          <w:bCs w:val="0"/>
          <w:color w:val="auto"/>
          <w:highlight w:val="none"/>
          <w:lang w:val="en-US" w:eastAsia="zh-CN"/>
        </w:rPr>
        <w:t>钨、钼、锡</w:t>
      </w:r>
      <w:r>
        <w:rPr>
          <w:rFonts w:hint="eastAsia" w:ascii="Times New Roman" w:hAnsi="Times New Roman" w:eastAsia="仿宋_GB2312" w:cs="方正仿宋_GBK"/>
          <w:b w:val="0"/>
          <w:bCs w:val="0"/>
          <w:color w:val="auto"/>
          <w:highlight w:val="none"/>
        </w:rPr>
        <w:t>等</w:t>
      </w:r>
      <w:r>
        <w:rPr>
          <w:rFonts w:hint="eastAsia" w:ascii="Times New Roman" w:hAnsi="Times New Roman" w:eastAsia="仿宋_GB2312" w:cs="方正仿宋_GBK"/>
          <w:b w:val="0"/>
          <w:bCs w:val="0"/>
          <w:color w:val="auto"/>
          <w:highlight w:val="none"/>
          <w:lang w:val="en-US" w:eastAsia="zh-CN"/>
        </w:rPr>
        <w:t>优势产业为重点，</w:t>
      </w:r>
      <w:r>
        <w:rPr>
          <w:rFonts w:hint="eastAsia" w:ascii="Times New Roman" w:hAnsi="Times New Roman" w:eastAsia="仿宋_GB2312" w:cs="方正仿宋_GBK"/>
          <w:b w:val="0"/>
          <w:bCs w:val="0"/>
          <w:color w:val="auto"/>
          <w:highlight w:val="none"/>
        </w:rPr>
        <w:t>稳定现有</w:t>
      </w:r>
      <w:r>
        <w:rPr>
          <w:rFonts w:hint="eastAsia" w:ascii="Times New Roman" w:hAnsi="Times New Roman" w:eastAsia="仿宋_GB2312" w:cs="方正仿宋_GBK"/>
          <w:b w:val="0"/>
          <w:bCs w:val="0"/>
          <w:color w:val="auto"/>
          <w:highlight w:val="none"/>
          <w:lang w:val="en-US" w:eastAsia="zh-CN"/>
        </w:rPr>
        <w:t>冶金产业</w:t>
      </w:r>
      <w:r>
        <w:rPr>
          <w:rFonts w:hint="eastAsia" w:ascii="Times New Roman" w:hAnsi="Times New Roman" w:eastAsia="仿宋_GB2312" w:cs="方正仿宋_GBK"/>
          <w:b w:val="0"/>
          <w:bCs w:val="0"/>
          <w:color w:val="auto"/>
          <w:highlight w:val="none"/>
        </w:rPr>
        <w:t>产能，</w:t>
      </w:r>
      <w:r>
        <w:rPr>
          <w:rFonts w:hint="eastAsia" w:ascii="Times New Roman" w:hAnsi="Times New Roman" w:eastAsia="仿宋_GB2312" w:cs="方正仿宋_GBK"/>
          <w:b w:val="0"/>
          <w:bCs w:val="0"/>
          <w:color w:val="auto"/>
          <w:highlight w:val="none"/>
          <w:lang w:val="en-US" w:eastAsia="zh-CN"/>
        </w:rPr>
        <w:t>推动产业链价值链延伸，打造全国重要高端有色金属新材料集聚区。到2030年，力争冶金产业产值</w:t>
      </w:r>
      <w:r>
        <w:rPr>
          <w:rFonts w:hint="eastAsia" w:ascii="Times New Roman" w:hAnsi="Times New Roman" w:eastAsia="仿宋_GB2312" w:cs="方正仿宋_GBK"/>
          <w:b w:val="0"/>
          <w:bCs w:val="0"/>
          <w:color w:val="auto"/>
          <w:highlight w:val="none"/>
        </w:rPr>
        <w:t>达到</w:t>
      </w:r>
      <w:r>
        <w:rPr>
          <w:rFonts w:hint="eastAsia" w:eastAsia="仿宋_GB2312" w:cs="方正仿宋_GBK"/>
          <w:b w:val="0"/>
          <w:bCs w:val="0"/>
          <w:color w:val="auto"/>
          <w:highlight w:val="none"/>
          <w:lang w:val="en-US" w:eastAsia="zh-CN"/>
        </w:rPr>
        <w:t>18</w:t>
      </w:r>
      <w:r>
        <w:rPr>
          <w:rFonts w:hint="eastAsia" w:ascii="Times New Roman" w:hAnsi="Times New Roman" w:eastAsia="仿宋_GB2312" w:cs="方正仿宋_GBK"/>
          <w:b w:val="0"/>
          <w:bCs w:val="0"/>
          <w:color w:val="auto"/>
          <w:highlight w:val="none"/>
          <w:lang w:val="en-US" w:eastAsia="zh-CN"/>
        </w:rPr>
        <w:t>00</w:t>
      </w:r>
      <w:r>
        <w:rPr>
          <w:rFonts w:hint="eastAsia" w:ascii="Times New Roman" w:hAnsi="Times New Roman" w:eastAsia="仿宋_GB2312" w:cs="方正仿宋_GBK"/>
          <w:b w:val="0"/>
          <w:bCs w:val="0"/>
          <w:color w:val="auto"/>
          <w:highlight w:val="none"/>
        </w:rPr>
        <w:t>亿元</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推动钢铁产业提质增效</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力促</w:t>
      </w:r>
      <w:r>
        <w:rPr>
          <w:rFonts w:hint="eastAsia" w:eastAsia="仿宋_GB2312" w:cs="方正仿宋_GBK"/>
          <w:b w:val="0"/>
          <w:bCs w:val="0"/>
          <w:color w:val="auto"/>
          <w:highlight w:val="none"/>
          <w:lang w:val="en-US" w:eastAsia="zh-CN"/>
        </w:rPr>
        <w:t>钢铁企业</w:t>
      </w:r>
      <w:r>
        <w:rPr>
          <w:rFonts w:hint="eastAsia" w:ascii="Times New Roman" w:hAnsi="Times New Roman" w:eastAsia="仿宋_GB2312" w:cs="方正仿宋_GBK"/>
          <w:b w:val="0"/>
          <w:bCs w:val="0"/>
          <w:color w:val="auto"/>
          <w:highlight w:val="none"/>
          <w:lang w:val="en-US" w:eastAsia="zh-CN"/>
        </w:rPr>
        <w:t>充分释放产能，</w:t>
      </w:r>
      <w:r>
        <w:rPr>
          <w:rFonts w:hint="eastAsia" w:ascii="Times New Roman" w:hAnsi="Times New Roman" w:eastAsia="仿宋_GB2312" w:cs="方正仿宋_GBK"/>
          <w:b w:val="0"/>
          <w:bCs w:val="0"/>
          <w:color w:val="auto"/>
          <w:highlight w:val="none"/>
        </w:rPr>
        <w:t>积极延伸产业链条，培育研发新产品，增强市场竞争力，推动钢铁产业实现高质量发展</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到</w:t>
      </w:r>
      <w:r>
        <w:rPr>
          <w:rFonts w:hint="eastAsia" w:ascii="Times New Roman" w:hAnsi="Times New Roman" w:eastAsia="仿宋_GB2312" w:cs="方正仿宋_GBK"/>
          <w:b w:val="0"/>
          <w:bCs w:val="0"/>
          <w:color w:val="auto"/>
          <w:highlight w:val="none"/>
        </w:rPr>
        <w:t>20</w:t>
      </w:r>
      <w:r>
        <w:rPr>
          <w:rFonts w:hint="eastAsia" w:ascii="Times New Roman" w:hAnsi="Times New Roman" w:eastAsia="仿宋_GB2312" w:cs="方正仿宋_GBK"/>
          <w:b w:val="0"/>
          <w:bCs w:val="0"/>
          <w:color w:val="auto"/>
          <w:highlight w:val="none"/>
          <w:lang w:val="en-US" w:eastAsia="zh-CN"/>
        </w:rPr>
        <w:t>30</w:t>
      </w:r>
      <w:r>
        <w:rPr>
          <w:rFonts w:hint="eastAsia" w:ascii="Times New Roman" w:hAnsi="Times New Roman" w:eastAsia="仿宋_GB2312" w:cs="方正仿宋_GBK"/>
          <w:b w:val="0"/>
          <w:bCs w:val="0"/>
          <w:color w:val="auto"/>
          <w:highlight w:val="none"/>
        </w:rPr>
        <w:t>年</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力争钢铁产业产值</w:t>
      </w:r>
      <w:r>
        <w:rPr>
          <w:rFonts w:hint="eastAsia" w:ascii="Times New Roman" w:hAnsi="Times New Roman" w:eastAsia="仿宋_GB2312" w:cs="方正仿宋_GBK"/>
          <w:b w:val="0"/>
          <w:bCs w:val="0"/>
          <w:color w:val="auto"/>
          <w:highlight w:val="none"/>
        </w:rPr>
        <w:t>达到</w:t>
      </w:r>
      <w:r>
        <w:rPr>
          <w:rFonts w:hint="eastAsia" w:eastAsia="仿宋_GB2312" w:cs="方正仿宋_GBK"/>
          <w:b w:val="0"/>
          <w:bCs w:val="0"/>
          <w:color w:val="auto"/>
          <w:highlight w:val="none"/>
          <w:lang w:val="en-US" w:eastAsia="zh-CN"/>
        </w:rPr>
        <w:t>600</w:t>
      </w:r>
      <w:r>
        <w:rPr>
          <w:rFonts w:hint="eastAsia" w:ascii="Times New Roman" w:hAnsi="Times New Roman" w:eastAsia="仿宋_GB2312" w:cs="方正仿宋_GBK"/>
          <w:b w:val="0"/>
          <w:bCs w:val="0"/>
          <w:color w:val="auto"/>
          <w:highlight w:val="none"/>
        </w:rPr>
        <w:t>亿元</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着力夯实铜产业基础，提升铜产业规模，推动铜产业精深发展</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积极引进</w:t>
      </w:r>
      <w:r>
        <w:rPr>
          <w:rFonts w:hint="eastAsia" w:ascii="Times New Roman" w:hAnsi="Times New Roman" w:eastAsia="仿宋_GB2312" w:cs="方正仿宋_GBK"/>
          <w:b w:val="0"/>
          <w:bCs w:val="0"/>
          <w:color w:val="auto"/>
          <w:highlight w:val="none"/>
          <w:lang w:val="en-US" w:eastAsia="zh-CN"/>
        </w:rPr>
        <w:t>高精度铜板带箔、</w:t>
      </w:r>
      <w:r>
        <w:rPr>
          <w:rFonts w:hint="eastAsia" w:ascii="Times New Roman" w:hAnsi="Times New Roman" w:eastAsia="仿宋_GB2312" w:cs="方正仿宋_GBK"/>
          <w:b w:val="0"/>
          <w:bCs w:val="0"/>
          <w:color w:val="auto"/>
          <w:highlight w:val="none"/>
        </w:rPr>
        <w:t>铜合金材料、</w:t>
      </w:r>
      <w:r>
        <w:rPr>
          <w:rFonts w:hint="eastAsia" w:ascii="Times New Roman" w:hAnsi="Times New Roman" w:eastAsia="仿宋_GB2312" w:cs="方正仿宋_GBK"/>
          <w:b w:val="0"/>
          <w:bCs w:val="0"/>
          <w:color w:val="auto"/>
          <w:highlight w:val="none"/>
          <w:lang w:val="en-US" w:eastAsia="zh-CN"/>
        </w:rPr>
        <w:t>铜合金零部件、</w:t>
      </w:r>
      <w:r>
        <w:rPr>
          <w:rFonts w:hint="eastAsia" w:ascii="Times New Roman" w:hAnsi="Times New Roman" w:eastAsia="仿宋_GB2312" w:cs="方正仿宋_GBK"/>
          <w:b w:val="0"/>
          <w:bCs w:val="0"/>
          <w:color w:val="auto"/>
          <w:highlight w:val="none"/>
        </w:rPr>
        <w:t>变压器</w:t>
      </w:r>
      <w:r>
        <w:rPr>
          <w:rFonts w:hint="eastAsia" w:ascii="Times New Roman" w:hAnsi="Times New Roman" w:eastAsia="仿宋_GB2312" w:cs="方正仿宋_GBK"/>
          <w:b w:val="0"/>
          <w:bCs w:val="0"/>
          <w:color w:val="auto"/>
          <w:highlight w:val="none"/>
          <w:lang w:val="en-US" w:eastAsia="zh-CN"/>
        </w:rPr>
        <w:t>超细铜线</w:t>
      </w:r>
      <w:r>
        <w:rPr>
          <w:rFonts w:hint="eastAsia" w:ascii="Times New Roman" w:hAnsi="Times New Roman" w:eastAsia="仿宋_GB2312" w:cs="方正仿宋_GBK"/>
          <w:b w:val="0"/>
          <w:bCs w:val="0"/>
          <w:color w:val="auto"/>
          <w:highlight w:val="none"/>
        </w:rPr>
        <w:t>等精深加工项目</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打造中国北方铜产业生产加工基地。</w:t>
      </w:r>
      <w:r>
        <w:rPr>
          <w:rFonts w:hint="eastAsia" w:ascii="Times New Roman" w:hAnsi="Times New Roman" w:eastAsia="仿宋_GB2312" w:cs="方正仿宋_GBK"/>
          <w:b w:val="0"/>
          <w:bCs w:val="0"/>
          <w:color w:val="auto"/>
          <w:highlight w:val="none"/>
          <w:lang w:val="en-US" w:eastAsia="zh-CN"/>
        </w:rPr>
        <w:t>到</w:t>
      </w:r>
      <w:r>
        <w:rPr>
          <w:rFonts w:hint="eastAsia" w:ascii="Times New Roman" w:hAnsi="Times New Roman" w:eastAsia="仿宋_GB2312" w:cs="方正仿宋_GBK"/>
          <w:b w:val="0"/>
          <w:bCs w:val="0"/>
          <w:color w:val="auto"/>
          <w:highlight w:val="none"/>
        </w:rPr>
        <w:t>20</w:t>
      </w:r>
      <w:r>
        <w:rPr>
          <w:rFonts w:hint="eastAsia" w:ascii="Times New Roman" w:hAnsi="Times New Roman" w:eastAsia="仿宋_GB2312" w:cs="方正仿宋_GBK"/>
          <w:b w:val="0"/>
          <w:bCs w:val="0"/>
          <w:color w:val="auto"/>
          <w:highlight w:val="none"/>
          <w:lang w:val="en-US" w:eastAsia="zh-CN"/>
        </w:rPr>
        <w:t>30</w:t>
      </w:r>
      <w:r>
        <w:rPr>
          <w:rFonts w:hint="eastAsia" w:ascii="Times New Roman" w:hAnsi="Times New Roman" w:eastAsia="仿宋_GB2312" w:cs="方正仿宋_GBK"/>
          <w:b w:val="0"/>
          <w:bCs w:val="0"/>
          <w:color w:val="auto"/>
          <w:highlight w:val="none"/>
        </w:rPr>
        <w:t>年</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力争铜产业产值</w:t>
      </w:r>
      <w:r>
        <w:rPr>
          <w:rFonts w:hint="eastAsia" w:ascii="Times New Roman" w:hAnsi="Times New Roman" w:eastAsia="仿宋_GB2312" w:cs="方正仿宋_GBK"/>
          <w:b w:val="0"/>
          <w:bCs w:val="0"/>
          <w:color w:val="auto"/>
          <w:highlight w:val="none"/>
        </w:rPr>
        <w:t>达到</w:t>
      </w:r>
      <w:r>
        <w:rPr>
          <w:rFonts w:hint="eastAsia" w:eastAsia="仿宋_GB2312" w:cs="方正仿宋_GBK"/>
          <w:b w:val="0"/>
          <w:bCs w:val="0"/>
          <w:color w:val="auto"/>
          <w:highlight w:val="none"/>
          <w:lang w:val="en-US" w:eastAsia="zh-CN"/>
        </w:rPr>
        <w:t>900</w:t>
      </w:r>
      <w:r>
        <w:rPr>
          <w:rFonts w:hint="eastAsia" w:ascii="Times New Roman" w:hAnsi="Times New Roman" w:eastAsia="仿宋_GB2312" w:cs="方正仿宋_GBK"/>
          <w:b w:val="0"/>
          <w:bCs w:val="0"/>
          <w:color w:val="auto"/>
          <w:highlight w:val="none"/>
        </w:rPr>
        <w:t>亿元</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推动铅锌产业做优做强</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以稳定现有冶炼规模为基础，以铅锌产品向高附加值新材料领域延伸为主攻方向，推进铅锌产业技术创新、资源再生利用，提升产品科技含量和市场竞争力。</w:t>
      </w:r>
      <w:r>
        <w:rPr>
          <w:rFonts w:hint="eastAsia" w:ascii="Times New Roman" w:hAnsi="Times New Roman" w:eastAsia="仿宋_GB2312" w:cs="方正仿宋_GBK"/>
          <w:b w:val="0"/>
          <w:bCs w:val="0"/>
          <w:color w:val="auto"/>
          <w:highlight w:val="none"/>
          <w:lang w:val="en-US" w:eastAsia="zh-CN"/>
        </w:rPr>
        <w:t>到</w:t>
      </w:r>
      <w:r>
        <w:rPr>
          <w:rFonts w:hint="eastAsia" w:ascii="Times New Roman" w:hAnsi="Times New Roman" w:eastAsia="仿宋_GB2312" w:cs="方正仿宋_GBK"/>
          <w:b w:val="0"/>
          <w:bCs w:val="0"/>
          <w:color w:val="auto"/>
          <w:highlight w:val="none"/>
        </w:rPr>
        <w:t>20</w:t>
      </w:r>
      <w:r>
        <w:rPr>
          <w:rFonts w:hint="eastAsia" w:ascii="Times New Roman" w:hAnsi="Times New Roman" w:eastAsia="仿宋_GB2312" w:cs="方正仿宋_GBK"/>
          <w:b w:val="0"/>
          <w:bCs w:val="0"/>
          <w:color w:val="auto"/>
          <w:highlight w:val="none"/>
          <w:lang w:val="en-US" w:eastAsia="zh-CN"/>
        </w:rPr>
        <w:t>30</w:t>
      </w:r>
      <w:r>
        <w:rPr>
          <w:rFonts w:hint="eastAsia" w:ascii="Times New Roman" w:hAnsi="Times New Roman" w:eastAsia="仿宋_GB2312" w:cs="方正仿宋_GBK"/>
          <w:b w:val="0"/>
          <w:bCs w:val="0"/>
          <w:color w:val="auto"/>
          <w:highlight w:val="none"/>
        </w:rPr>
        <w:t>年</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力争铅锌产业</w:t>
      </w:r>
      <w:r>
        <w:rPr>
          <w:rFonts w:hint="eastAsia" w:ascii="Times New Roman" w:hAnsi="Times New Roman" w:eastAsia="仿宋_GB2312" w:cs="方正仿宋_GBK"/>
          <w:b w:val="0"/>
          <w:bCs w:val="0"/>
          <w:color w:val="auto"/>
          <w:highlight w:val="none"/>
        </w:rPr>
        <w:t>产值达到</w:t>
      </w:r>
      <w:r>
        <w:rPr>
          <w:rFonts w:hint="eastAsia" w:eastAsia="仿宋_GB2312" w:cs="方正仿宋_GBK"/>
          <w:b w:val="0"/>
          <w:bCs w:val="0"/>
          <w:color w:val="auto"/>
          <w:highlight w:val="none"/>
          <w:lang w:val="en-US" w:eastAsia="zh-CN"/>
        </w:rPr>
        <w:t>200</w:t>
      </w:r>
      <w:r>
        <w:rPr>
          <w:rFonts w:hint="eastAsia" w:ascii="Times New Roman" w:hAnsi="Times New Roman" w:eastAsia="仿宋_GB2312" w:cs="方正仿宋_GBK"/>
          <w:b w:val="0"/>
          <w:bCs w:val="0"/>
          <w:color w:val="auto"/>
          <w:highlight w:val="none"/>
        </w:rPr>
        <w:t>亿元。推动金银锡钨钼等产业全面发展</w:t>
      </w:r>
      <w:r>
        <w:rPr>
          <w:rFonts w:hint="eastAsia" w:ascii="Times New Roman" w:hAnsi="Times New Roman" w:eastAsia="仿宋_GB2312" w:cs="方正仿宋_GBK"/>
          <w:b w:val="0"/>
          <w:bCs w:val="0"/>
          <w:color w:val="auto"/>
          <w:highlight w:val="none"/>
          <w:lang w:eastAsia="zh-CN"/>
        </w:rPr>
        <w:t>，</w:t>
      </w:r>
      <w:r>
        <w:rPr>
          <w:rFonts w:hint="eastAsia" w:eastAsia="仿宋_GB2312" w:cs="方正仿宋_GBK"/>
          <w:b w:val="0"/>
          <w:bCs w:val="0"/>
          <w:color w:val="auto"/>
          <w:highlight w:val="none"/>
          <w:lang w:val="en-US" w:eastAsia="zh-CN"/>
        </w:rPr>
        <w:t>推动金精矿、银冶炼等重点项目建设，</w:t>
      </w:r>
      <w:r>
        <w:rPr>
          <w:rFonts w:hint="eastAsia" w:ascii="Times New Roman" w:hAnsi="Times New Roman" w:eastAsia="仿宋_GB2312" w:cs="方正仿宋_GBK"/>
          <w:b w:val="0"/>
          <w:bCs w:val="0"/>
          <w:color w:val="auto"/>
          <w:highlight w:val="none"/>
        </w:rPr>
        <w:t>适时启动锡材、锡化工等新材料精深加工项目，积极谋划引进钨钼高端金属材料及制品、铬锆铜高端新材料项目。</w:t>
      </w:r>
      <w:r>
        <w:rPr>
          <w:rFonts w:hint="eastAsia" w:ascii="Times New Roman" w:hAnsi="Times New Roman" w:eastAsia="仿宋_GB2312" w:cs="方正仿宋_GBK"/>
          <w:b w:val="0"/>
          <w:bCs w:val="0"/>
          <w:color w:val="auto"/>
          <w:highlight w:val="none"/>
          <w:lang w:val="en-US" w:eastAsia="zh-CN"/>
        </w:rPr>
        <w:t>到</w:t>
      </w:r>
      <w:r>
        <w:rPr>
          <w:rFonts w:hint="eastAsia" w:ascii="Times New Roman" w:hAnsi="Times New Roman" w:eastAsia="仿宋_GB2312" w:cs="方正仿宋_GBK"/>
          <w:b w:val="0"/>
          <w:bCs w:val="0"/>
          <w:color w:val="auto"/>
          <w:highlight w:val="none"/>
        </w:rPr>
        <w:t>20</w:t>
      </w:r>
      <w:r>
        <w:rPr>
          <w:rFonts w:hint="eastAsia" w:ascii="Times New Roman" w:hAnsi="Times New Roman" w:eastAsia="仿宋_GB2312" w:cs="方正仿宋_GBK"/>
          <w:b w:val="0"/>
          <w:bCs w:val="0"/>
          <w:color w:val="auto"/>
          <w:highlight w:val="none"/>
          <w:lang w:val="en-US" w:eastAsia="zh-CN"/>
        </w:rPr>
        <w:t>30</w:t>
      </w:r>
      <w:r>
        <w:rPr>
          <w:rFonts w:hint="eastAsia" w:ascii="Times New Roman" w:hAnsi="Times New Roman" w:eastAsia="仿宋_GB2312" w:cs="方正仿宋_GBK"/>
          <w:b w:val="0"/>
          <w:bCs w:val="0"/>
          <w:color w:val="auto"/>
          <w:highlight w:val="none"/>
        </w:rPr>
        <w:t>年</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金银锡钨钼</w:t>
      </w:r>
      <w:r>
        <w:rPr>
          <w:rFonts w:hint="eastAsia" w:ascii="Times New Roman" w:hAnsi="Times New Roman" w:eastAsia="仿宋_GB2312" w:cs="方正仿宋_GBK"/>
          <w:b w:val="0"/>
          <w:bCs w:val="0"/>
          <w:color w:val="auto"/>
          <w:highlight w:val="none"/>
          <w:lang w:val="en-US" w:eastAsia="zh-CN"/>
        </w:rPr>
        <w:t>产业</w:t>
      </w:r>
      <w:r>
        <w:rPr>
          <w:rFonts w:hint="eastAsia" w:ascii="Times New Roman" w:hAnsi="Times New Roman" w:eastAsia="仿宋_GB2312" w:cs="方正仿宋_GBK"/>
          <w:b w:val="0"/>
          <w:bCs w:val="0"/>
          <w:color w:val="auto"/>
          <w:highlight w:val="none"/>
        </w:rPr>
        <w:t>产值达到</w:t>
      </w:r>
      <w:r>
        <w:rPr>
          <w:rFonts w:hint="eastAsia" w:eastAsia="仿宋_GB2312" w:cs="方正仿宋_GBK"/>
          <w:b w:val="0"/>
          <w:bCs w:val="0"/>
          <w:color w:val="auto"/>
          <w:highlight w:val="none"/>
          <w:lang w:val="en-US" w:eastAsia="zh-CN"/>
        </w:rPr>
        <w:t>100</w:t>
      </w:r>
      <w:r>
        <w:rPr>
          <w:rFonts w:hint="eastAsia" w:ascii="Times New Roman" w:hAnsi="Times New Roman" w:eastAsia="仿宋_GB2312" w:cs="方正仿宋_GBK"/>
          <w:b w:val="0"/>
          <w:bCs w:val="0"/>
          <w:color w:val="auto"/>
          <w:highlight w:val="none"/>
        </w:rPr>
        <w:t>亿元。</w:t>
      </w:r>
    </w:p>
    <w:p w14:paraId="15C4E81B">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color w:val="auto"/>
          <w:highlight w:val="none"/>
        </w:rPr>
        <w:t>培育千亿级</w:t>
      </w:r>
      <w:r>
        <w:rPr>
          <w:rFonts w:hint="eastAsia" w:ascii="Times New Roman" w:hAnsi="Times New Roman" w:eastAsia="仿宋_GB2312" w:cs="方正仿宋_GBK"/>
          <w:b w:val="0"/>
          <w:bCs w:val="0"/>
          <w:color w:val="auto"/>
          <w:highlight w:val="none"/>
          <w:lang w:val="en-US" w:eastAsia="zh-CN"/>
        </w:rPr>
        <w:t>新型</w:t>
      </w:r>
      <w:r>
        <w:rPr>
          <w:rFonts w:hint="eastAsia" w:ascii="Times New Roman" w:hAnsi="Times New Roman" w:eastAsia="仿宋_GB2312" w:cs="方正仿宋_GBK"/>
          <w:b w:val="0"/>
          <w:bCs w:val="0"/>
          <w:color w:val="auto"/>
          <w:highlight w:val="none"/>
        </w:rPr>
        <w:t>化工产业</w:t>
      </w:r>
      <w:r>
        <w:rPr>
          <w:rFonts w:hint="eastAsia" w:ascii="Times New Roman" w:hAnsi="Times New Roman" w:eastAsia="仿宋_GB2312" w:cs="方正仿宋_GBK"/>
          <w:b w:val="0"/>
          <w:bCs w:val="0"/>
          <w:color w:val="auto"/>
          <w:highlight w:val="none"/>
          <w:lang w:val="en-US" w:eastAsia="zh-CN"/>
        </w:rPr>
        <w:t>链条</w:t>
      </w:r>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color w:val="auto"/>
          <w:highlight w:val="none"/>
        </w:rPr>
        <w:t>推动新型化工链式循环，实施冶金产业、</w:t>
      </w:r>
      <w:r>
        <w:rPr>
          <w:rFonts w:hint="eastAsia" w:ascii="Times New Roman" w:hAnsi="Times New Roman" w:eastAsia="仿宋_GB2312" w:cs="方正仿宋_GBK"/>
          <w:b w:val="0"/>
          <w:bCs w:val="0"/>
          <w:color w:val="auto"/>
          <w:highlight w:val="none"/>
          <w:lang w:eastAsia="zh-CN"/>
        </w:rPr>
        <w:t>硫</w:t>
      </w:r>
      <w:r>
        <w:rPr>
          <w:rFonts w:hint="eastAsia" w:ascii="Times New Roman" w:hAnsi="Times New Roman" w:eastAsia="仿宋_GB2312" w:cs="方正仿宋_GBK"/>
          <w:b w:val="0"/>
          <w:bCs w:val="0"/>
          <w:color w:val="auto"/>
          <w:highlight w:val="none"/>
        </w:rPr>
        <w:t>化工与氟化工联动发展，</w:t>
      </w:r>
      <w:r>
        <w:rPr>
          <w:rFonts w:hint="eastAsia" w:ascii="Times New Roman" w:hAnsi="Times New Roman" w:eastAsia="仿宋_GB2312" w:cs="方正仿宋_GBK"/>
          <w:b w:val="0"/>
          <w:bCs w:val="0"/>
          <w:color w:val="auto"/>
          <w:highlight w:val="none"/>
          <w:lang w:val="en-US" w:eastAsia="zh-CN"/>
        </w:rPr>
        <w:t>壮大</w:t>
      </w:r>
      <w:r>
        <w:rPr>
          <w:rFonts w:hint="eastAsia" w:ascii="Times New Roman" w:hAnsi="Times New Roman" w:eastAsia="仿宋_GB2312" w:cs="方正仿宋_GBK"/>
          <w:b w:val="0"/>
          <w:bCs w:val="0"/>
          <w:color w:val="auto"/>
          <w:highlight w:val="none"/>
        </w:rPr>
        <w:t>现代煤化工和磷化工，培育发展精细化工，</w:t>
      </w:r>
      <w:r>
        <w:rPr>
          <w:rFonts w:hint="eastAsia" w:ascii="Times New Roman" w:hAnsi="Times New Roman" w:eastAsia="仿宋_GB2312" w:cs="方正仿宋_GBK"/>
          <w:b w:val="0"/>
          <w:bCs w:val="0"/>
          <w:color w:val="auto"/>
          <w:highlight w:val="none"/>
          <w:lang w:val="en-US" w:eastAsia="zh-CN"/>
        </w:rPr>
        <w:t>打造化工产业新高地</w:t>
      </w:r>
      <w:r>
        <w:rPr>
          <w:rFonts w:hint="eastAsia" w:ascii="Times New Roman" w:hAnsi="Times New Roman" w:eastAsia="仿宋_GB2312" w:cs="方正仿宋_GBK"/>
          <w:b w:val="0"/>
          <w:bCs w:val="0"/>
          <w:color w:val="auto"/>
          <w:highlight w:val="none"/>
        </w:rPr>
        <w:t>。到20</w:t>
      </w:r>
      <w:r>
        <w:rPr>
          <w:rFonts w:hint="eastAsia" w:ascii="Times New Roman" w:hAnsi="Times New Roman" w:eastAsia="仿宋_GB2312" w:cs="方正仿宋_GBK"/>
          <w:b w:val="0"/>
          <w:bCs w:val="0"/>
          <w:color w:val="auto"/>
          <w:highlight w:val="none"/>
          <w:lang w:val="en-US" w:eastAsia="zh-CN"/>
        </w:rPr>
        <w:t>30</w:t>
      </w:r>
      <w:r>
        <w:rPr>
          <w:rFonts w:hint="eastAsia" w:ascii="Times New Roman" w:hAnsi="Times New Roman" w:eastAsia="仿宋_GB2312" w:cs="方正仿宋_GBK"/>
          <w:b w:val="0"/>
          <w:bCs w:val="0"/>
          <w:color w:val="auto"/>
          <w:highlight w:val="none"/>
        </w:rPr>
        <w:t>年</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力争化工产业产值</w:t>
      </w:r>
      <w:r>
        <w:rPr>
          <w:rFonts w:hint="eastAsia" w:ascii="Times New Roman" w:hAnsi="Times New Roman" w:eastAsia="仿宋_GB2312" w:cs="方正仿宋_GBK"/>
          <w:b w:val="0"/>
          <w:bCs w:val="0"/>
          <w:color w:val="auto"/>
          <w:highlight w:val="none"/>
        </w:rPr>
        <w:t>达到</w:t>
      </w:r>
      <w:r>
        <w:rPr>
          <w:rFonts w:hint="eastAsia" w:eastAsia="仿宋_GB2312" w:cs="方正仿宋_GBK"/>
          <w:b w:val="0"/>
          <w:bCs w:val="0"/>
          <w:color w:val="auto"/>
          <w:highlight w:val="none"/>
          <w:lang w:val="en-US" w:eastAsia="zh-CN"/>
        </w:rPr>
        <w:t>35</w:t>
      </w:r>
      <w:r>
        <w:rPr>
          <w:rFonts w:hint="eastAsia" w:ascii="Times New Roman" w:hAnsi="Times New Roman" w:eastAsia="仿宋_GB2312" w:cs="方正仿宋_GBK"/>
          <w:b w:val="0"/>
          <w:bCs w:val="0"/>
          <w:color w:val="auto"/>
          <w:highlight w:val="none"/>
          <w:lang w:val="en-US" w:eastAsia="zh-CN"/>
        </w:rPr>
        <w:t>0</w:t>
      </w:r>
      <w:r>
        <w:rPr>
          <w:rFonts w:hint="eastAsia" w:ascii="Times New Roman" w:hAnsi="Times New Roman" w:eastAsia="仿宋_GB2312" w:cs="方正仿宋_GBK"/>
          <w:b w:val="0"/>
          <w:bCs w:val="0"/>
          <w:color w:val="auto"/>
          <w:highlight w:val="none"/>
        </w:rPr>
        <w:t>亿元。聚力发展现代煤化工和磷化工产业</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以元宝山</w:t>
      </w:r>
      <w:r>
        <w:rPr>
          <w:rFonts w:hint="eastAsia" w:eastAsia="仿宋_GB2312" w:cs="方正仿宋_GBK"/>
          <w:b w:val="0"/>
          <w:bCs w:val="0"/>
          <w:color w:val="auto"/>
          <w:highlight w:val="none"/>
          <w:lang w:val="en-US" w:eastAsia="zh-CN"/>
        </w:rPr>
        <w:t>工业</w:t>
      </w:r>
      <w:r>
        <w:rPr>
          <w:rFonts w:hint="eastAsia" w:ascii="Times New Roman" w:hAnsi="Times New Roman" w:eastAsia="仿宋_GB2312" w:cs="方正仿宋_GBK"/>
          <w:b w:val="0"/>
          <w:bCs w:val="0"/>
          <w:color w:val="auto"/>
          <w:highlight w:val="none"/>
        </w:rPr>
        <w:t>园等园区为重点，全力推进</w:t>
      </w:r>
      <w:r>
        <w:rPr>
          <w:rFonts w:hint="eastAsia" w:ascii="Times New Roman" w:hAnsi="Times New Roman" w:eastAsia="仿宋_GB2312" w:cs="方正仿宋_GBK"/>
          <w:b w:val="0"/>
          <w:bCs w:val="0"/>
          <w:color w:val="auto"/>
          <w:highlight w:val="none"/>
          <w:lang w:val="en-US" w:eastAsia="zh-CN"/>
        </w:rPr>
        <w:t>硫磷钛铁锂绿色循环产业集群建设</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加快新能源耦合焦化及绿色延链补链产业集群、焦炉煤气综合利用生产LNG及液氨等项目建设，争取早日达产达效</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推动</w:t>
      </w:r>
      <w:r>
        <w:rPr>
          <w:rFonts w:hint="eastAsia" w:ascii="Times New Roman" w:hAnsi="Times New Roman" w:eastAsia="仿宋_GB2312" w:cs="方正仿宋_GBK"/>
          <w:b w:val="0"/>
          <w:bCs w:val="0"/>
          <w:color w:val="auto"/>
          <w:highlight w:val="none"/>
          <w:lang w:eastAsia="zh-CN"/>
        </w:rPr>
        <w:t>煤制天然气</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eastAsia="zh-CN"/>
        </w:rPr>
        <w:t>焦油加氢制苯、二氧化碳收集利用等</w:t>
      </w:r>
      <w:r>
        <w:rPr>
          <w:rFonts w:hint="eastAsia" w:ascii="Times New Roman" w:hAnsi="Times New Roman" w:eastAsia="仿宋_GB2312" w:cs="方正仿宋_GBK"/>
          <w:b w:val="0"/>
          <w:bCs w:val="0"/>
          <w:color w:val="auto"/>
          <w:highlight w:val="none"/>
          <w:lang w:val="en-US" w:eastAsia="zh-CN"/>
        </w:rPr>
        <w:t>高附加值</w:t>
      </w:r>
      <w:r>
        <w:rPr>
          <w:rFonts w:hint="eastAsia" w:eastAsia="仿宋_GB2312" w:cs="方正仿宋_GBK"/>
          <w:b w:val="0"/>
          <w:bCs w:val="0"/>
          <w:color w:val="auto"/>
          <w:highlight w:val="none"/>
          <w:lang w:val="en-US" w:eastAsia="zh-CN"/>
        </w:rPr>
        <w:t>产业链条建设</w:t>
      </w:r>
      <w:r>
        <w:rPr>
          <w:rFonts w:hint="eastAsia" w:ascii="Times New Roman" w:hAnsi="Times New Roman"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rPr>
        <w:t>积极谋划焦化及其副产品精深加工项目</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打造现代煤化工产业集群。到20</w:t>
      </w:r>
      <w:r>
        <w:rPr>
          <w:rFonts w:hint="eastAsia" w:ascii="Times New Roman" w:hAnsi="Times New Roman" w:eastAsia="仿宋_GB2312" w:cs="方正仿宋_GBK"/>
          <w:b w:val="0"/>
          <w:bCs w:val="0"/>
          <w:color w:val="auto"/>
          <w:highlight w:val="none"/>
          <w:lang w:val="en-US" w:eastAsia="zh-CN"/>
        </w:rPr>
        <w:t>30</w:t>
      </w:r>
      <w:r>
        <w:rPr>
          <w:rFonts w:hint="eastAsia" w:ascii="Times New Roman" w:hAnsi="Times New Roman" w:eastAsia="仿宋_GB2312" w:cs="方正仿宋_GBK"/>
          <w:b w:val="0"/>
          <w:bCs w:val="0"/>
          <w:color w:val="auto"/>
          <w:highlight w:val="none"/>
        </w:rPr>
        <w:t>年</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力争煤磷化工产业产值</w:t>
      </w:r>
      <w:r>
        <w:rPr>
          <w:rFonts w:hint="eastAsia" w:ascii="Times New Roman" w:hAnsi="Times New Roman" w:eastAsia="仿宋_GB2312" w:cs="方正仿宋_GBK"/>
          <w:b w:val="0"/>
          <w:bCs w:val="0"/>
          <w:color w:val="auto"/>
          <w:highlight w:val="none"/>
        </w:rPr>
        <w:t>达到</w:t>
      </w:r>
      <w:r>
        <w:rPr>
          <w:rFonts w:hint="eastAsia" w:eastAsia="仿宋_GB2312" w:cs="方正仿宋_GBK"/>
          <w:b w:val="0"/>
          <w:bCs w:val="0"/>
          <w:color w:val="auto"/>
          <w:highlight w:val="none"/>
          <w:lang w:val="en-US" w:eastAsia="zh-CN"/>
        </w:rPr>
        <w:t>200</w:t>
      </w:r>
      <w:r>
        <w:rPr>
          <w:rFonts w:hint="eastAsia" w:ascii="Times New Roman" w:hAnsi="Times New Roman" w:eastAsia="仿宋_GB2312" w:cs="方正仿宋_GBK"/>
          <w:b w:val="0"/>
          <w:bCs w:val="0"/>
          <w:color w:val="auto"/>
          <w:highlight w:val="none"/>
        </w:rPr>
        <w:t>亿元。联动发展硫酸化工与氟化工产业</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以</w:t>
      </w:r>
      <w:r>
        <w:rPr>
          <w:rFonts w:hint="eastAsia" w:ascii="Times New Roman" w:hAnsi="Times New Roman" w:eastAsia="仿宋_GB2312" w:cs="方正仿宋_GBK"/>
          <w:b w:val="0"/>
          <w:bCs w:val="0"/>
          <w:color w:val="auto"/>
          <w:highlight w:val="none"/>
          <w:lang w:val="en-US" w:eastAsia="zh-CN"/>
        </w:rPr>
        <w:t>赤峰高新区</w:t>
      </w:r>
      <w:r>
        <w:rPr>
          <w:rFonts w:hint="eastAsia" w:ascii="Times New Roman" w:hAnsi="Times New Roman" w:eastAsia="仿宋_GB2312" w:cs="方正仿宋_GBK"/>
          <w:b w:val="0"/>
          <w:bCs w:val="0"/>
          <w:color w:val="auto"/>
          <w:highlight w:val="none"/>
        </w:rPr>
        <w:t>、元宝山</w:t>
      </w:r>
      <w:r>
        <w:rPr>
          <w:rFonts w:hint="eastAsia" w:eastAsia="仿宋_GB2312" w:cs="方正仿宋_GBK"/>
          <w:b w:val="0"/>
          <w:bCs w:val="0"/>
          <w:color w:val="auto"/>
          <w:highlight w:val="none"/>
          <w:lang w:val="en-US" w:eastAsia="zh-CN"/>
        </w:rPr>
        <w:t>工业</w:t>
      </w:r>
      <w:r>
        <w:rPr>
          <w:rFonts w:hint="eastAsia" w:ascii="Times New Roman" w:hAnsi="Times New Roman" w:eastAsia="仿宋_GB2312" w:cs="方正仿宋_GBK"/>
          <w:b w:val="0"/>
          <w:bCs w:val="0"/>
          <w:color w:val="auto"/>
          <w:highlight w:val="none"/>
          <w:lang w:val="en-US" w:eastAsia="zh-CN"/>
        </w:rPr>
        <w:t>园</w:t>
      </w:r>
      <w:r>
        <w:rPr>
          <w:rFonts w:hint="eastAsia" w:ascii="Times New Roman" w:hAnsi="Times New Roman" w:eastAsia="仿宋_GB2312" w:cs="方正仿宋_GBK"/>
          <w:b w:val="0"/>
          <w:bCs w:val="0"/>
          <w:color w:val="auto"/>
          <w:highlight w:val="none"/>
        </w:rPr>
        <w:t>、林西</w:t>
      </w:r>
      <w:r>
        <w:rPr>
          <w:rFonts w:hint="eastAsia" w:ascii="Times New Roman" w:hAnsi="Times New Roman" w:eastAsia="仿宋_GB2312" w:cs="方正仿宋_GBK"/>
          <w:b w:val="0"/>
          <w:bCs w:val="0"/>
          <w:color w:val="auto"/>
          <w:highlight w:val="none"/>
          <w:lang w:val="en-US" w:eastAsia="zh-CN"/>
        </w:rPr>
        <w:t>工业园</w:t>
      </w:r>
      <w:r>
        <w:rPr>
          <w:rFonts w:hint="eastAsia" w:ascii="Times New Roman" w:hAnsi="Times New Roman" w:eastAsia="仿宋_GB2312" w:cs="方正仿宋_GBK"/>
          <w:b w:val="0"/>
          <w:bCs w:val="0"/>
          <w:color w:val="auto"/>
          <w:highlight w:val="none"/>
        </w:rPr>
        <w:t>等园</w:t>
      </w:r>
      <w:r>
        <w:rPr>
          <w:rFonts w:hint="eastAsia" w:ascii="Times New Roman" w:hAnsi="Times New Roman" w:eastAsia="仿宋_GB2312" w:cs="方正仿宋_GBK"/>
          <w:b w:val="0"/>
          <w:bCs w:val="0"/>
          <w:color w:val="auto"/>
          <w:highlight w:val="none"/>
          <w:lang w:val="en-US" w:eastAsia="zh-CN"/>
        </w:rPr>
        <w:t>区</w:t>
      </w:r>
      <w:r>
        <w:rPr>
          <w:rFonts w:hint="eastAsia" w:ascii="Times New Roman" w:hAnsi="Times New Roman" w:eastAsia="仿宋_GB2312" w:cs="方正仿宋_GBK"/>
          <w:b w:val="0"/>
          <w:bCs w:val="0"/>
          <w:color w:val="auto"/>
          <w:highlight w:val="none"/>
        </w:rPr>
        <w:t>为重点，发展新型含氟聚合物、电子级氢氟酸等高附加值产品</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推动冶金产业、硫化工与氟化工联动发展，</w:t>
      </w:r>
      <w:r>
        <w:rPr>
          <w:rFonts w:hint="eastAsia" w:ascii="Times New Roman" w:hAnsi="Times New Roman" w:eastAsia="仿宋_GB2312" w:cs="方正仿宋_GBK"/>
          <w:b w:val="0"/>
          <w:bCs w:val="0"/>
          <w:color w:val="auto"/>
          <w:highlight w:val="none"/>
          <w:lang w:val="en-US" w:eastAsia="zh-CN"/>
        </w:rPr>
        <w:t>布局建设</w:t>
      </w:r>
      <w:r>
        <w:rPr>
          <w:rFonts w:hint="eastAsia" w:ascii="Times New Roman" w:hAnsi="Times New Roman" w:eastAsia="仿宋_GB2312" w:cs="方正仿宋_GBK"/>
          <w:b w:val="0"/>
          <w:bCs w:val="0"/>
          <w:color w:val="auto"/>
          <w:highlight w:val="none"/>
        </w:rPr>
        <w:t>精深加工项目，提高副产硫酸转化加工能力</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把握氟化工、硅化工合并联动趋势，推进氟</w:t>
      </w:r>
      <w:r>
        <w:rPr>
          <w:rFonts w:hint="eastAsia" w:eastAsia="仿宋_GB2312" w:cs="方正仿宋_GBK"/>
          <w:b w:val="0"/>
          <w:bCs w:val="0"/>
          <w:color w:val="auto"/>
          <w:highlight w:val="none"/>
          <w:lang w:val="en-US" w:eastAsia="zh-CN"/>
        </w:rPr>
        <w:t>氯</w:t>
      </w:r>
      <w:r>
        <w:rPr>
          <w:rFonts w:hint="eastAsia" w:ascii="Times New Roman" w:hAnsi="Times New Roman" w:eastAsia="仿宋_GB2312" w:cs="方正仿宋_GBK"/>
          <w:b w:val="0"/>
          <w:bCs w:val="0"/>
          <w:color w:val="auto"/>
          <w:highlight w:val="none"/>
        </w:rPr>
        <w:t>硅联动产业链建设，拓展氟化工发展新空间。</w:t>
      </w:r>
      <w:r>
        <w:rPr>
          <w:rFonts w:hint="eastAsia" w:ascii="Times New Roman" w:hAnsi="Times New Roman" w:eastAsia="仿宋_GB2312" w:cs="方正仿宋_GBK"/>
          <w:b w:val="0"/>
          <w:bCs w:val="0"/>
          <w:color w:val="auto"/>
          <w:highlight w:val="none"/>
          <w:lang w:val="en-US" w:eastAsia="zh-CN"/>
        </w:rPr>
        <w:t>延伸拓展电子级氯硅烷、特种有机硅等硅产业板块</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rPr>
        <w:t>到20</w:t>
      </w:r>
      <w:r>
        <w:rPr>
          <w:rFonts w:hint="eastAsia" w:ascii="Times New Roman" w:hAnsi="Times New Roman" w:eastAsia="仿宋_GB2312" w:cs="方正仿宋_GBK"/>
          <w:b w:val="0"/>
          <w:bCs w:val="0"/>
          <w:color w:val="auto"/>
          <w:highlight w:val="none"/>
          <w:lang w:val="en-US" w:eastAsia="zh-CN"/>
        </w:rPr>
        <w:t>30</w:t>
      </w:r>
      <w:r>
        <w:rPr>
          <w:rFonts w:hint="eastAsia" w:ascii="Times New Roman" w:hAnsi="Times New Roman" w:eastAsia="仿宋_GB2312" w:cs="方正仿宋_GBK"/>
          <w:b w:val="0"/>
          <w:bCs w:val="0"/>
          <w:color w:val="auto"/>
          <w:highlight w:val="none"/>
        </w:rPr>
        <w:t>年</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力争氟化工产业产值</w:t>
      </w:r>
      <w:r>
        <w:rPr>
          <w:rFonts w:hint="eastAsia" w:ascii="Times New Roman" w:hAnsi="Times New Roman" w:eastAsia="仿宋_GB2312" w:cs="方正仿宋_GBK"/>
          <w:b w:val="0"/>
          <w:bCs w:val="0"/>
          <w:color w:val="auto"/>
          <w:highlight w:val="none"/>
        </w:rPr>
        <w:t>达到</w:t>
      </w:r>
      <w:r>
        <w:rPr>
          <w:rFonts w:hint="eastAsia" w:eastAsia="仿宋_GB2312" w:cs="方正仿宋_GBK"/>
          <w:b w:val="0"/>
          <w:bCs w:val="0"/>
          <w:color w:val="auto"/>
          <w:highlight w:val="none"/>
          <w:lang w:val="en-US" w:eastAsia="zh-CN"/>
        </w:rPr>
        <w:t>50</w:t>
      </w:r>
      <w:r>
        <w:rPr>
          <w:rFonts w:hint="eastAsia" w:ascii="Times New Roman" w:hAnsi="Times New Roman" w:eastAsia="仿宋_GB2312" w:cs="方正仿宋_GBK"/>
          <w:b w:val="0"/>
          <w:bCs w:val="0"/>
          <w:color w:val="auto"/>
          <w:highlight w:val="none"/>
        </w:rPr>
        <w:t>亿元。培育壮大生物化工和精细化工等化工产业</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以元宝山</w:t>
      </w:r>
      <w:r>
        <w:rPr>
          <w:rFonts w:hint="eastAsia" w:eastAsia="仿宋_GB2312" w:cs="方正仿宋_GBK"/>
          <w:b w:val="0"/>
          <w:bCs w:val="0"/>
          <w:color w:val="auto"/>
          <w:highlight w:val="none"/>
          <w:lang w:val="en-US" w:eastAsia="zh-CN"/>
        </w:rPr>
        <w:t>工业</w:t>
      </w:r>
      <w:r>
        <w:rPr>
          <w:rFonts w:hint="eastAsia" w:ascii="Times New Roman" w:hAnsi="Times New Roman" w:eastAsia="仿宋_GB2312" w:cs="方正仿宋_GBK"/>
          <w:b w:val="0"/>
          <w:bCs w:val="0"/>
          <w:color w:val="auto"/>
          <w:highlight w:val="none"/>
        </w:rPr>
        <w:t>园为核心，建设</w:t>
      </w:r>
      <w:r>
        <w:rPr>
          <w:rFonts w:hint="eastAsia" w:ascii="Times New Roman" w:hAnsi="Times New Roman" w:eastAsia="仿宋_GB2312" w:cs="方正仿宋_GBK"/>
          <w:b w:val="0"/>
          <w:bCs w:val="0"/>
          <w:color w:val="auto"/>
          <w:highlight w:val="none"/>
          <w:lang w:val="en-US" w:eastAsia="zh-CN"/>
        </w:rPr>
        <w:t>以</w:t>
      </w:r>
      <w:r>
        <w:rPr>
          <w:rFonts w:hint="eastAsia" w:ascii="Times New Roman" w:hAnsi="Times New Roman" w:eastAsia="仿宋_GB2312" w:cs="方正仿宋_GBK"/>
          <w:b w:val="0"/>
          <w:bCs w:val="0"/>
          <w:color w:val="auto"/>
          <w:highlight w:val="none"/>
        </w:rPr>
        <w:t>多元醇系列、有机化工产品系列等为主的精深加工项目</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通过引进先进技术和创新研发，拓展高端精细化工产品，提升产业竞争力，提高精细化工产品的附加值。到20</w:t>
      </w:r>
      <w:r>
        <w:rPr>
          <w:rFonts w:hint="eastAsia" w:ascii="Times New Roman" w:hAnsi="Times New Roman" w:eastAsia="仿宋_GB2312" w:cs="方正仿宋_GBK"/>
          <w:b w:val="0"/>
          <w:bCs w:val="0"/>
          <w:color w:val="auto"/>
          <w:highlight w:val="none"/>
          <w:lang w:val="en-US" w:eastAsia="zh-CN"/>
        </w:rPr>
        <w:t>30</w:t>
      </w:r>
      <w:r>
        <w:rPr>
          <w:rFonts w:hint="eastAsia" w:ascii="Times New Roman" w:hAnsi="Times New Roman" w:eastAsia="仿宋_GB2312" w:cs="方正仿宋_GBK"/>
          <w:b w:val="0"/>
          <w:bCs w:val="0"/>
          <w:color w:val="auto"/>
          <w:highlight w:val="none"/>
        </w:rPr>
        <w:t>年</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力争生物化工和精细化工产业</w:t>
      </w:r>
      <w:r>
        <w:rPr>
          <w:rFonts w:hint="eastAsia" w:ascii="Times New Roman" w:hAnsi="Times New Roman" w:eastAsia="仿宋_GB2312" w:cs="方正仿宋_GBK"/>
          <w:b w:val="0"/>
          <w:bCs w:val="0"/>
          <w:color w:val="auto"/>
          <w:highlight w:val="none"/>
        </w:rPr>
        <w:t>产值</w:t>
      </w:r>
      <w:r>
        <w:rPr>
          <w:rFonts w:hint="eastAsia" w:ascii="Times New Roman" w:hAnsi="Times New Roman" w:eastAsia="仿宋_GB2312" w:cs="方正仿宋_GBK"/>
          <w:b w:val="0"/>
          <w:bCs w:val="0"/>
          <w:color w:val="auto"/>
          <w:highlight w:val="none"/>
          <w:lang w:val="en-US" w:eastAsia="zh-CN"/>
        </w:rPr>
        <w:t>达到</w:t>
      </w:r>
      <w:r>
        <w:rPr>
          <w:rFonts w:hint="eastAsia" w:eastAsia="仿宋_GB2312" w:cs="方正仿宋_GBK"/>
          <w:b w:val="0"/>
          <w:bCs w:val="0"/>
          <w:color w:val="auto"/>
          <w:highlight w:val="none"/>
          <w:lang w:val="en-US" w:eastAsia="zh-CN"/>
        </w:rPr>
        <w:t>100</w:t>
      </w:r>
      <w:r>
        <w:rPr>
          <w:rFonts w:hint="eastAsia" w:ascii="Times New Roman" w:hAnsi="Times New Roman" w:eastAsia="仿宋_GB2312" w:cs="方正仿宋_GBK"/>
          <w:b w:val="0"/>
          <w:bCs w:val="0"/>
          <w:color w:val="auto"/>
          <w:highlight w:val="none"/>
        </w:rPr>
        <w:t>亿元。</w:t>
      </w:r>
    </w:p>
    <w:p w14:paraId="02D4F811">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color w:val="auto"/>
          <w:highlight w:val="none"/>
          <w:lang w:val="en-US" w:eastAsia="zh-CN"/>
        </w:rPr>
        <w:t>建设千亿级氢能经济生态圈</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rPr>
        <w:t>加速培育绿氢“制储输用”全产业链</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重点推进风光制绿色氢氨醇一体化项目，加快发展绿氢制绿色合成氨、绿色甲醇、绿色航油等绿色燃料，</w:t>
      </w:r>
      <w:r>
        <w:rPr>
          <w:rFonts w:hint="eastAsia" w:ascii="Times New Roman" w:hAnsi="Times New Roman" w:eastAsia="仿宋_GB2312" w:cs="方正仿宋_GBK"/>
          <w:b w:val="0"/>
          <w:bCs w:val="0"/>
          <w:color w:val="auto"/>
          <w:highlight w:val="none"/>
        </w:rPr>
        <w:t>拓展绿氢在化工、冶金、交通等领域的耦合应用。提升制氢、储氢、用氢装备高端化水平，扩大纯化装置、加氢设备、压缩机、氢氨燃气轮机等关键装备产能。构建“新能源基地＋绿色氢氨醇产业基地＋智能管网输送”体系，打造全国重要的绿色燃料生产保障基地和沪蒙、京蒙绿色燃料合作高地。到2030年，</w:t>
      </w:r>
      <w:r>
        <w:rPr>
          <w:rFonts w:hint="eastAsia" w:ascii="Times New Roman" w:hAnsi="Times New Roman" w:eastAsia="仿宋_GB2312" w:cs="方正仿宋_GBK"/>
          <w:b w:val="0"/>
          <w:bCs w:val="0"/>
          <w:color w:val="auto"/>
          <w:highlight w:val="none"/>
          <w:lang w:val="en-US" w:eastAsia="zh-CN"/>
        </w:rPr>
        <w:t>力争建设成为千亿元项目总投资、千万千瓦新能源总装机、500万吨绿色氢氨醇总产能和千亿级氢能经济生态圈，建设全国重要的区域性绿色氢氨醇一体化产业基地，打造赤峰绿色氢氨醇产业新地标。</w:t>
      </w:r>
    </w:p>
    <w:tbl>
      <w:tblPr>
        <w:tblStyle w:val="26"/>
        <w:tblW w:w="87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8766"/>
      </w:tblGrid>
      <w:tr w14:paraId="1E58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8766" w:type="dxa"/>
            <w:noWrap w:val="0"/>
            <w:vAlign w:val="top"/>
          </w:tcPr>
          <w:p w14:paraId="75CCF63F">
            <w:pPr>
              <w:keepNext w:val="0"/>
              <w:keepLines w:val="0"/>
              <w:pageBreakBefore w:val="0"/>
              <w:kinsoku/>
              <w:wordWrap/>
              <w:topLinePunct w:val="0"/>
              <w:autoSpaceDE/>
              <w:autoSpaceDN/>
              <w:bidi w:val="0"/>
              <w:adjustRightInd/>
              <w:snapToGrid w:val="0"/>
              <w:spacing w:line="540" w:lineRule="exact"/>
              <w:ind w:firstLine="464" w:firstLineChars="200"/>
              <w:jc w:val="center"/>
              <w:textAlignment w:val="auto"/>
              <w:rPr>
                <w:rFonts w:ascii="Times New Roman" w:hAnsi="Times New Roman" w:eastAsia="方正仿宋_GBK" w:cs="Times New Roman"/>
                <w:b w:val="0"/>
                <w:bCs w:val="0"/>
                <w:sz w:val="24"/>
                <w:szCs w:val="24"/>
                <w:highlight w:val="none"/>
              </w:rPr>
            </w:pPr>
            <w:r>
              <w:rPr>
                <w:rFonts w:hint="eastAsia" w:ascii="Times New Roman" w:hAnsi="Times New Roman" w:eastAsia="仿宋_GB2312" w:cs="Times New Roman"/>
                <w:b w:val="0"/>
                <w:bCs w:val="0"/>
                <w:sz w:val="24"/>
                <w:szCs w:val="24"/>
                <w:highlight w:val="none"/>
              </w:rPr>
              <w:t>专栏</w:t>
            </w:r>
            <w:r>
              <w:rPr>
                <w:rFonts w:hint="eastAsia" w:ascii="Times New Roman" w:hAnsi="Times New Roman" w:eastAsia="仿宋_GB2312" w:cs="Times New Roman"/>
                <w:b w:val="0"/>
                <w:bCs w:val="0"/>
                <w:sz w:val="24"/>
                <w:szCs w:val="24"/>
                <w:highlight w:val="none"/>
                <w:lang w:val="en-US" w:eastAsia="zh-CN"/>
              </w:rPr>
              <w:t>5 优势产业集群建设</w:t>
            </w:r>
            <w:r>
              <w:rPr>
                <w:rFonts w:hint="eastAsia" w:ascii="Times New Roman" w:hAnsi="Times New Roman" w:eastAsia="仿宋_GB2312" w:cs="Times New Roman"/>
                <w:b w:val="0"/>
                <w:bCs w:val="0"/>
                <w:sz w:val="24"/>
                <w:szCs w:val="24"/>
                <w:highlight w:val="none"/>
              </w:rPr>
              <w:t>重大工程</w:t>
            </w:r>
          </w:p>
        </w:tc>
      </w:tr>
      <w:tr w14:paraId="41115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8766" w:type="dxa"/>
            <w:noWrap w:val="0"/>
            <w:vAlign w:val="top"/>
          </w:tcPr>
          <w:p w14:paraId="7BF1F425">
            <w:pPr>
              <w:keepNext w:val="0"/>
              <w:keepLines w:val="0"/>
              <w:pageBreakBefore w:val="0"/>
              <w:kinsoku/>
              <w:wordWrap/>
              <w:topLinePunct w:val="0"/>
              <w:autoSpaceDE/>
              <w:autoSpaceDN/>
              <w:bidi w:val="0"/>
              <w:adjustRightInd/>
              <w:snapToGrid w:val="0"/>
              <w:spacing w:line="540" w:lineRule="exact"/>
              <w:ind w:firstLine="464" w:firstLineChars="200"/>
              <w:textAlignment w:val="auto"/>
              <w:rPr>
                <w:rFonts w:hint="eastAsia" w:ascii="Times New Roman" w:hAnsi="Times New Roman" w:eastAsia="仿宋_GB2312" w:cs="Times New Roman"/>
                <w:b w:val="0"/>
                <w:bCs w:val="0"/>
                <w:sz w:val="24"/>
                <w:szCs w:val="24"/>
                <w:highlight w:val="none"/>
                <w:lang w:val="en-US" w:eastAsia="zh-CN"/>
              </w:rPr>
            </w:pPr>
            <w:r>
              <w:rPr>
                <w:rFonts w:hint="eastAsia" w:ascii="Times New Roman" w:hAnsi="Times New Roman" w:eastAsia="仿宋_GB2312" w:cs="Times New Roman"/>
                <w:b w:val="0"/>
                <w:bCs w:val="0"/>
                <w:sz w:val="24"/>
                <w:szCs w:val="24"/>
                <w:highlight w:val="none"/>
                <w:lang w:val="en-US" w:eastAsia="zh-CN"/>
              </w:rPr>
              <w:t>锂基新材料</w:t>
            </w:r>
            <w:r>
              <w:rPr>
                <w:rFonts w:hint="eastAsia" w:ascii="Times New Roman" w:hAnsi="Times New Roman" w:eastAsia="仿宋_GB2312" w:cs="Times New Roman"/>
                <w:b w:val="0"/>
                <w:bCs w:val="0"/>
                <w:sz w:val="24"/>
                <w:szCs w:val="24"/>
                <w:highlight w:val="none"/>
              </w:rPr>
              <w:t>重点工程：</w:t>
            </w:r>
            <w:r>
              <w:rPr>
                <w:rFonts w:hint="eastAsia" w:ascii="Times New Roman" w:hAnsi="Times New Roman" w:eastAsia="仿宋_GB2312" w:cs="Times New Roman"/>
                <w:b w:val="0"/>
                <w:bCs w:val="0"/>
                <w:sz w:val="24"/>
                <w:szCs w:val="24"/>
                <w:highlight w:val="none"/>
                <w:lang w:val="en-US" w:eastAsia="zh-CN"/>
              </w:rPr>
              <w:t>围绕锂多金属矿，以克什克腾工业园区、赤峰高新区、赤峰元宝山工业园为核心区，重点引进落地正极材料、电解液和石墨负极材料、辅材材料及电芯产品制造等精深加工项目。</w:t>
            </w:r>
          </w:p>
          <w:p w14:paraId="3969E2E5">
            <w:pPr>
              <w:keepNext w:val="0"/>
              <w:keepLines w:val="0"/>
              <w:pageBreakBefore w:val="0"/>
              <w:kinsoku/>
              <w:wordWrap/>
              <w:topLinePunct w:val="0"/>
              <w:autoSpaceDE/>
              <w:autoSpaceDN/>
              <w:bidi w:val="0"/>
              <w:adjustRightInd/>
              <w:snapToGrid w:val="0"/>
              <w:spacing w:line="540" w:lineRule="exact"/>
              <w:ind w:firstLine="464" w:firstLineChars="200"/>
              <w:textAlignment w:val="auto"/>
              <w:rPr>
                <w:rFonts w:hint="default" w:ascii="Times New Roman" w:hAnsi="Times New Roman" w:eastAsia="仿宋_GB2312" w:cs="Times New Roman"/>
                <w:b w:val="0"/>
                <w:bCs w:val="0"/>
                <w:sz w:val="24"/>
                <w:szCs w:val="24"/>
                <w:highlight w:val="none"/>
                <w:lang w:val="en-US" w:eastAsia="zh-CN"/>
              </w:rPr>
            </w:pPr>
            <w:r>
              <w:rPr>
                <w:rFonts w:hint="eastAsia" w:ascii="Times New Roman" w:hAnsi="Times New Roman" w:eastAsia="仿宋_GB2312" w:cs="Times New Roman"/>
                <w:b w:val="0"/>
                <w:bCs w:val="0"/>
                <w:sz w:val="24"/>
                <w:szCs w:val="24"/>
                <w:highlight w:val="none"/>
                <w:lang w:val="en-US" w:eastAsia="zh-CN"/>
              </w:rPr>
              <w:t>铝基新材料</w:t>
            </w:r>
            <w:r>
              <w:rPr>
                <w:rFonts w:hint="eastAsia" w:ascii="Times New Roman" w:hAnsi="Times New Roman" w:eastAsia="仿宋_GB2312" w:cs="Times New Roman"/>
                <w:b w:val="0"/>
                <w:bCs w:val="0"/>
                <w:sz w:val="24"/>
                <w:szCs w:val="24"/>
                <w:highlight w:val="none"/>
              </w:rPr>
              <w:t>重点工程：</w:t>
            </w:r>
            <w:r>
              <w:rPr>
                <w:rFonts w:hint="eastAsia" w:ascii="Times New Roman" w:hAnsi="Times New Roman" w:eastAsia="仿宋_GB2312" w:cs="Times New Roman"/>
                <w:b w:val="0"/>
                <w:bCs w:val="0"/>
                <w:sz w:val="24"/>
                <w:szCs w:val="24"/>
                <w:highlight w:val="none"/>
                <w:lang w:val="en-US" w:eastAsia="zh-CN"/>
              </w:rPr>
              <w:t>围绕</w:t>
            </w:r>
            <w:r>
              <w:rPr>
                <w:rFonts w:hint="eastAsia" w:ascii="Times New Roman" w:hAnsi="Times New Roman" w:eastAsia="仿宋_GB2312" w:cs="Times New Roman"/>
                <w:b w:val="0"/>
                <w:bCs w:val="0"/>
                <w:sz w:val="24"/>
                <w:szCs w:val="24"/>
                <w:highlight w:val="none"/>
              </w:rPr>
              <w:t>构建铝基新材料全产业链</w:t>
            </w:r>
            <w:r>
              <w:rPr>
                <w:rFonts w:hint="eastAsia" w:ascii="Times New Roman" w:hAnsi="Times New Roman" w:eastAsia="仿宋_GB2312" w:cs="Times New Roman"/>
                <w:b w:val="0"/>
                <w:bCs w:val="0"/>
                <w:sz w:val="24"/>
                <w:szCs w:val="24"/>
                <w:highlight w:val="none"/>
                <w:lang w:val="en-US" w:eastAsia="zh-CN"/>
              </w:rPr>
              <w:t>目标</w:t>
            </w:r>
            <w:r>
              <w:rPr>
                <w:rFonts w:hint="eastAsia" w:ascii="Times New Roman" w:hAnsi="Times New Roman" w:eastAsia="仿宋_GB2312" w:cs="Times New Roman"/>
                <w:b w:val="0"/>
                <w:bCs w:val="0"/>
                <w:sz w:val="24"/>
                <w:szCs w:val="24"/>
                <w:highlight w:val="none"/>
              </w:rPr>
              <w:t>，以赤峰高新区为主体，</w:t>
            </w:r>
            <w:r>
              <w:rPr>
                <w:rFonts w:hint="eastAsia" w:ascii="Times New Roman" w:hAnsi="Times New Roman" w:eastAsia="仿宋_GB2312" w:cs="Times New Roman"/>
                <w:b w:val="0"/>
                <w:bCs w:val="0"/>
                <w:sz w:val="24"/>
                <w:szCs w:val="24"/>
                <w:highlight w:val="none"/>
                <w:lang w:val="en-US" w:eastAsia="zh-CN"/>
              </w:rPr>
              <w:t>打造</w:t>
            </w:r>
            <w:r>
              <w:rPr>
                <w:rFonts w:hint="eastAsia" w:ascii="Times New Roman" w:hAnsi="Times New Roman" w:eastAsia="仿宋_GB2312" w:cs="Times New Roman"/>
                <w:b w:val="0"/>
                <w:bCs w:val="0"/>
                <w:sz w:val="24"/>
                <w:szCs w:val="24"/>
                <w:highlight w:val="none"/>
              </w:rPr>
              <w:t>氧化铝一电解铝一铝材深加工全产业链，</w:t>
            </w:r>
            <w:r>
              <w:rPr>
                <w:rFonts w:hint="eastAsia" w:ascii="Times New Roman" w:hAnsi="Times New Roman" w:eastAsia="仿宋_GB2312" w:cs="Times New Roman"/>
                <w:b w:val="0"/>
                <w:bCs w:val="0"/>
                <w:sz w:val="24"/>
                <w:szCs w:val="24"/>
                <w:highlight w:val="none"/>
                <w:lang w:val="en-US" w:eastAsia="zh-CN"/>
              </w:rPr>
              <w:t>积极引进布局高端铝型材、高压铝电缆等项目。</w:t>
            </w:r>
          </w:p>
          <w:p w14:paraId="55A17158">
            <w:pPr>
              <w:keepNext w:val="0"/>
              <w:keepLines w:val="0"/>
              <w:pageBreakBefore w:val="0"/>
              <w:kinsoku/>
              <w:wordWrap/>
              <w:topLinePunct w:val="0"/>
              <w:autoSpaceDE/>
              <w:autoSpaceDN/>
              <w:bidi w:val="0"/>
              <w:adjustRightInd/>
              <w:snapToGrid w:val="0"/>
              <w:spacing w:line="540" w:lineRule="exact"/>
              <w:ind w:firstLine="464" w:firstLineChars="200"/>
              <w:textAlignment w:val="auto"/>
              <w:rPr>
                <w:rFonts w:hint="default" w:ascii="Times New Roman" w:hAnsi="Times New Roman" w:eastAsia="仿宋_GB2312" w:cs="Times New Roman"/>
                <w:b w:val="0"/>
                <w:bCs w:val="0"/>
                <w:sz w:val="24"/>
                <w:szCs w:val="24"/>
                <w:highlight w:val="none"/>
                <w:lang w:val="en-US" w:eastAsia="zh-CN"/>
              </w:rPr>
            </w:pPr>
            <w:r>
              <w:rPr>
                <w:rFonts w:hint="eastAsia" w:ascii="Times New Roman" w:hAnsi="Times New Roman" w:eastAsia="仿宋_GB2312" w:cs="Times New Roman"/>
                <w:b w:val="0"/>
                <w:bCs w:val="0"/>
                <w:sz w:val="24"/>
                <w:szCs w:val="24"/>
                <w:highlight w:val="none"/>
                <w:lang w:val="en-US" w:eastAsia="zh-CN"/>
              </w:rPr>
              <w:t>冶金产业</w:t>
            </w:r>
            <w:r>
              <w:rPr>
                <w:rFonts w:hint="eastAsia" w:ascii="Times New Roman" w:hAnsi="Times New Roman" w:eastAsia="仿宋_GB2312" w:cs="Times New Roman"/>
                <w:b w:val="0"/>
                <w:bCs w:val="0"/>
                <w:sz w:val="24"/>
                <w:szCs w:val="24"/>
                <w:highlight w:val="none"/>
              </w:rPr>
              <w:t>重点工程：</w:t>
            </w:r>
            <w:r>
              <w:rPr>
                <w:rFonts w:hint="eastAsia" w:ascii="Times New Roman" w:hAnsi="Times New Roman" w:eastAsia="仿宋_GB2312" w:cs="Times New Roman"/>
                <w:b w:val="0"/>
                <w:bCs w:val="0"/>
                <w:sz w:val="24"/>
                <w:szCs w:val="24"/>
                <w:highlight w:val="none"/>
                <w:lang w:val="en-US" w:eastAsia="zh-CN"/>
              </w:rPr>
              <w:t>围绕</w:t>
            </w:r>
            <w:r>
              <w:rPr>
                <w:rFonts w:hint="eastAsia" w:ascii="Times New Roman" w:hAnsi="Times New Roman" w:eastAsia="仿宋_GB2312" w:cs="方正仿宋_GBK"/>
                <w:b w:val="0"/>
                <w:bCs w:val="0"/>
                <w:color w:val="auto"/>
                <w:sz w:val="24"/>
                <w:szCs w:val="24"/>
                <w:highlight w:val="none"/>
                <w:lang w:val="en-US" w:eastAsia="zh-CN"/>
              </w:rPr>
              <w:t>钢铁、铜、铅锌、</w:t>
            </w:r>
            <w:r>
              <w:rPr>
                <w:rFonts w:hint="eastAsia" w:ascii="Times New Roman" w:hAnsi="Times New Roman" w:eastAsia="仿宋_GB2312" w:cs="方正仿宋_GBK"/>
                <w:b w:val="0"/>
                <w:bCs w:val="0"/>
                <w:color w:val="auto"/>
                <w:sz w:val="24"/>
                <w:szCs w:val="24"/>
                <w:highlight w:val="none"/>
              </w:rPr>
              <w:t>金银锡钨钼等</w:t>
            </w:r>
            <w:r>
              <w:rPr>
                <w:rFonts w:hint="eastAsia" w:ascii="Times New Roman" w:hAnsi="Times New Roman" w:eastAsia="仿宋_GB2312" w:cs="方正仿宋_GBK"/>
                <w:b w:val="0"/>
                <w:bCs w:val="0"/>
                <w:color w:val="auto"/>
                <w:sz w:val="24"/>
                <w:szCs w:val="24"/>
                <w:highlight w:val="none"/>
                <w:lang w:val="en-US" w:eastAsia="zh-CN"/>
              </w:rPr>
              <w:t>优势产业，在稳定和释放产能的基础上，重点推动产业向高端化转型，延伸高附加值产业链条，发展高碳铬铁合金、高精度铜板带箔、铜合金材料、锡焊料、锡化工、钨基高比重合金等产品，提升冶金产业整体质量效益。</w:t>
            </w:r>
          </w:p>
          <w:p w14:paraId="22027306">
            <w:pPr>
              <w:keepNext w:val="0"/>
              <w:keepLines w:val="0"/>
              <w:pageBreakBefore w:val="0"/>
              <w:kinsoku/>
              <w:wordWrap/>
              <w:topLinePunct w:val="0"/>
              <w:autoSpaceDE/>
              <w:autoSpaceDN/>
              <w:bidi w:val="0"/>
              <w:adjustRightInd/>
              <w:snapToGrid w:val="0"/>
              <w:spacing w:line="540" w:lineRule="exact"/>
              <w:ind w:firstLine="464" w:firstLineChars="200"/>
              <w:textAlignment w:val="auto"/>
              <w:rPr>
                <w:rFonts w:hint="eastAsia" w:ascii="Times New Roman" w:hAnsi="Times New Roman" w:eastAsia="仿宋_GB2312" w:cs="Times New Roman"/>
                <w:b w:val="0"/>
                <w:bCs w:val="0"/>
                <w:sz w:val="24"/>
                <w:szCs w:val="24"/>
                <w:highlight w:val="none"/>
                <w:lang w:val="en-US" w:eastAsia="zh-CN"/>
              </w:rPr>
            </w:pPr>
            <w:r>
              <w:rPr>
                <w:rFonts w:hint="eastAsia" w:ascii="Times New Roman" w:hAnsi="Times New Roman" w:eastAsia="仿宋_GB2312" w:cs="Times New Roman"/>
                <w:b w:val="0"/>
                <w:bCs w:val="0"/>
                <w:sz w:val="24"/>
                <w:szCs w:val="24"/>
                <w:highlight w:val="none"/>
                <w:lang w:val="en-US" w:eastAsia="zh-CN"/>
              </w:rPr>
              <w:t>化工新材料</w:t>
            </w:r>
            <w:r>
              <w:rPr>
                <w:rFonts w:hint="eastAsia" w:ascii="Times New Roman" w:hAnsi="Times New Roman" w:eastAsia="仿宋_GB2312" w:cs="Times New Roman"/>
                <w:b w:val="0"/>
                <w:bCs w:val="0"/>
                <w:sz w:val="24"/>
                <w:szCs w:val="24"/>
                <w:highlight w:val="none"/>
              </w:rPr>
              <w:t>重点工程：</w:t>
            </w:r>
            <w:r>
              <w:rPr>
                <w:rFonts w:hint="eastAsia" w:ascii="Times New Roman" w:hAnsi="Times New Roman" w:eastAsia="仿宋_GB2312" w:cs="Times New Roman"/>
                <w:b w:val="0"/>
                <w:bCs w:val="0"/>
                <w:sz w:val="24"/>
                <w:szCs w:val="24"/>
                <w:highlight w:val="none"/>
                <w:lang w:val="en-US" w:eastAsia="zh-CN"/>
              </w:rPr>
              <w:t>围绕</w:t>
            </w:r>
            <w:r>
              <w:rPr>
                <w:rFonts w:hint="eastAsia" w:ascii="Times New Roman" w:hAnsi="Times New Roman" w:eastAsia="仿宋_GB2312" w:cs="Times New Roman"/>
                <w:b w:val="0"/>
                <w:bCs w:val="0"/>
                <w:sz w:val="24"/>
                <w:szCs w:val="24"/>
                <w:highlight w:val="none"/>
              </w:rPr>
              <w:t>高端化、</w:t>
            </w:r>
            <w:r>
              <w:rPr>
                <w:rFonts w:hint="eastAsia" w:ascii="Times New Roman" w:hAnsi="Times New Roman" w:eastAsia="仿宋_GB2312" w:cs="Times New Roman"/>
                <w:b w:val="0"/>
                <w:bCs w:val="0"/>
                <w:sz w:val="24"/>
                <w:szCs w:val="24"/>
                <w:highlight w:val="none"/>
                <w:lang w:val="en-US" w:eastAsia="zh-CN"/>
              </w:rPr>
              <w:t>循环化、</w:t>
            </w:r>
            <w:r>
              <w:rPr>
                <w:rFonts w:hint="eastAsia" w:ascii="Times New Roman" w:hAnsi="Times New Roman" w:eastAsia="仿宋_GB2312" w:cs="Times New Roman"/>
                <w:b w:val="0"/>
                <w:bCs w:val="0"/>
                <w:sz w:val="24"/>
                <w:szCs w:val="24"/>
                <w:highlight w:val="none"/>
              </w:rPr>
              <w:t>绿色化、精细化发展</w:t>
            </w:r>
            <w:r>
              <w:rPr>
                <w:rFonts w:hint="eastAsia" w:ascii="Times New Roman" w:hAnsi="Times New Roman" w:eastAsia="仿宋_GB2312" w:cs="Times New Roman"/>
                <w:b w:val="0"/>
                <w:bCs w:val="0"/>
                <w:sz w:val="24"/>
                <w:szCs w:val="24"/>
                <w:highlight w:val="none"/>
                <w:lang w:val="en-US" w:eastAsia="zh-CN"/>
              </w:rPr>
              <w:t>方向</w:t>
            </w:r>
            <w:r>
              <w:rPr>
                <w:rFonts w:hint="eastAsia" w:ascii="Times New Roman" w:hAnsi="Times New Roman" w:eastAsia="仿宋_GB2312" w:cs="Times New Roman"/>
                <w:b w:val="0"/>
                <w:bCs w:val="0"/>
                <w:sz w:val="24"/>
                <w:szCs w:val="24"/>
                <w:highlight w:val="none"/>
              </w:rPr>
              <w:t>，</w:t>
            </w:r>
            <w:r>
              <w:rPr>
                <w:rFonts w:hint="eastAsia" w:ascii="Times New Roman" w:hAnsi="Times New Roman" w:eastAsia="仿宋_GB2312" w:cs="Times New Roman"/>
                <w:b w:val="0"/>
                <w:bCs w:val="0"/>
                <w:sz w:val="24"/>
                <w:szCs w:val="24"/>
                <w:highlight w:val="none"/>
                <w:lang w:val="en-US" w:eastAsia="zh-CN"/>
              </w:rPr>
              <w:t>以赤峰高新区、赤峰承接产业转移开发区、巴林左工业园区、克什克腾工业园区、林西工业园区、元宝山工业园区为重点</w:t>
            </w:r>
            <w:r>
              <w:rPr>
                <w:rFonts w:hint="eastAsia" w:ascii="Times New Roman" w:hAnsi="Times New Roman" w:eastAsia="仿宋_GB2312" w:cs="Times New Roman"/>
                <w:b w:val="0"/>
                <w:bCs w:val="0"/>
                <w:sz w:val="24"/>
                <w:szCs w:val="24"/>
                <w:highlight w:val="none"/>
              </w:rPr>
              <w:t>，重点打造硫磷钛、氟化工、</w:t>
            </w:r>
            <w:r>
              <w:rPr>
                <w:rFonts w:hint="eastAsia" w:ascii="Times New Roman" w:hAnsi="Times New Roman" w:eastAsia="仿宋_GB2312" w:cs="Times New Roman"/>
                <w:b w:val="0"/>
                <w:bCs w:val="0"/>
                <w:sz w:val="24"/>
                <w:szCs w:val="24"/>
                <w:highlight w:val="none"/>
                <w:lang w:val="en-US" w:eastAsia="zh-CN"/>
              </w:rPr>
              <w:t>氯化工、</w:t>
            </w:r>
            <w:r>
              <w:rPr>
                <w:rFonts w:hint="eastAsia" w:ascii="Times New Roman" w:hAnsi="Times New Roman" w:eastAsia="仿宋_GB2312" w:cs="Times New Roman"/>
                <w:b w:val="0"/>
                <w:bCs w:val="0"/>
                <w:sz w:val="24"/>
                <w:szCs w:val="24"/>
                <w:highlight w:val="none"/>
              </w:rPr>
              <w:t>煤化工、生物化工</w:t>
            </w:r>
            <w:r>
              <w:rPr>
                <w:rFonts w:hint="eastAsia" w:ascii="Times New Roman" w:hAnsi="Times New Roman" w:eastAsia="仿宋_GB2312" w:cs="Times New Roman"/>
                <w:b w:val="0"/>
                <w:bCs w:val="0"/>
                <w:sz w:val="24"/>
                <w:szCs w:val="24"/>
                <w:highlight w:val="none"/>
                <w:lang w:val="en-US" w:eastAsia="zh-CN"/>
              </w:rPr>
              <w:t>等</w:t>
            </w:r>
            <w:r>
              <w:rPr>
                <w:rFonts w:hint="eastAsia" w:ascii="Times New Roman" w:hAnsi="Times New Roman" w:eastAsia="仿宋_GB2312" w:cs="Times New Roman"/>
                <w:b w:val="0"/>
                <w:bCs w:val="0"/>
                <w:sz w:val="24"/>
                <w:szCs w:val="24"/>
                <w:highlight w:val="none"/>
              </w:rPr>
              <w:t>产业</w:t>
            </w:r>
            <w:r>
              <w:rPr>
                <w:rFonts w:hint="eastAsia" w:ascii="Times New Roman" w:hAnsi="Times New Roman" w:eastAsia="仿宋_GB2312" w:cs="Times New Roman"/>
                <w:b w:val="0"/>
                <w:bCs w:val="0"/>
                <w:sz w:val="24"/>
                <w:szCs w:val="24"/>
                <w:highlight w:val="none"/>
                <w:lang w:val="en-US" w:eastAsia="zh-CN"/>
              </w:rPr>
              <w:t>链条</w:t>
            </w:r>
            <w:r>
              <w:rPr>
                <w:rFonts w:hint="eastAsia" w:ascii="Times New Roman" w:hAnsi="Times New Roman" w:eastAsia="仿宋_GB2312" w:cs="Times New Roman"/>
                <w:b w:val="0"/>
                <w:bCs w:val="0"/>
                <w:sz w:val="24"/>
                <w:szCs w:val="24"/>
                <w:highlight w:val="none"/>
                <w:lang w:eastAsia="zh-CN"/>
              </w:rPr>
              <w:t>，集中引进一批延链补链项目，</w:t>
            </w:r>
            <w:r>
              <w:rPr>
                <w:rFonts w:hint="eastAsia" w:ascii="Times New Roman" w:hAnsi="Times New Roman" w:eastAsia="仿宋_GB2312" w:cs="Times New Roman"/>
                <w:b w:val="0"/>
                <w:bCs w:val="0"/>
                <w:sz w:val="24"/>
                <w:szCs w:val="24"/>
                <w:highlight w:val="none"/>
                <w:lang w:val="en-US" w:eastAsia="zh-CN"/>
              </w:rPr>
              <w:t>发展含氟聚合物、电子级氢氟酸等高附加值产品。</w:t>
            </w:r>
          </w:p>
          <w:p w14:paraId="04F0083F">
            <w:pPr>
              <w:keepNext w:val="0"/>
              <w:keepLines w:val="0"/>
              <w:pageBreakBefore w:val="0"/>
              <w:kinsoku/>
              <w:wordWrap/>
              <w:topLinePunct w:val="0"/>
              <w:autoSpaceDE/>
              <w:autoSpaceDN/>
              <w:bidi w:val="0"/>
              <w:adjustRightInd/>
              <w:snapToGrid w:val="0"/>
              <w:spacing w:line="540" w:lineRule="exact"/>
              <w:ind w:firstLine="464" w:firstLineChars="200"/>
              <w:textAlignment w:val="auto"/>
              <w:rPr>
                <w:rFonts w:hint="default" w:ascii="Times New Roman" w:hAnsi="Times New Roman" w:eastAsia="仿宋_GB2312" w:cs="Times New Roman"/>
                <w:b w:val="0"/>
                <w:bCs w:val="0"/>
                <w:sz w:val="24"/>
                <w:szCs w:val="24"/>
                <w:highlight w:val="none"/>
                <w:lang w:val="en-US" w:eastAsia="zh-CN"/>
              </w:rPr>
            </w:pPr>
            <w:r>
              <w:rPr>
                <w:rFonts w:hint="default" w:ascii="Times New Roman" w:hAnsi="Times New Roman" w:eastAsia="仿宋_GB2312" w:cs="Times New Roman"/>
                <w:b w:val="0"/>
                <w:bCs w:val="0"/>
                <w:sz w:val="24"/>
                <w:szCs w:val="24"/>
                <w:highlight w:val="none"/>
                <w:lang w:val="en-US" w:eastAsia="zh-CN"/>
              </w:rPr>
              <w:t>绿色氢氨醇产业重大项目</w:t>
            </w:r>
            <w:r>
              <w:rPr>
                <w:rFonts w:hint="eastAsia" w:ascii="Times New Roman" w:hAnsi="Times New Roman" w:eastAsia="仿宋_GB2312" w:cs="Times New Roman"/>
                <w:b w:val="0"/>
                <w:bCs w:val="0"/>
                <w:sz w:val="24"/>
                <w:szCs w:val="24"/>
                <w:highlight w:val="none"/>
                <w:lang w:val="en-US" w:eastAsia="zh-CN"/>
              </w:rPr>
              <w:t>：重点推进绿氢制绿色合成氨、绿色甲醇、绿色航油等风光制绿色氢氨醇一体化项目及制氢、储氢、用氢等氢能装备制造项目。</w:t>
            </w:r>
          </w:p>
        </w:tc>
      </w:tr>
    </w:tbl>
    <w:p w14:paraId="14F553E2">
      <w:pPr>
        <w:keepNext w:val="0"/>
        <w:keepLines w:val="0"/>
        <w:pageBreakBefore w:val="0"/>
        <w:kinsoku/>
        <w:wordWrap/>
        <w:topLinePunct w:val="0"/>
        <w:autoSpaceDE/>
        <w:autoSpaceDN/>
        <w:bidi w:val="0"/>
        <w:adjustRightInd/>
        <w:spacing w:line="540" w:lineRule="exact"/>
        <w:textAlignment w:val="auto"/>
        <w:rPr>
          <w:rFonts w:hint="eastAsia"/>
          <w:b w:val="0"/>
          <w:bCs w:val="0"/>
          <w:highlight w:val="none"/>
        </w:rPr>
      </w:pPr>
    </w:p>
    <w:p w14:paraId="49D1E5E7">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default" w:ascii="Times New Roman" w:hAnsi="Times New Roman" w:eastAsia="仿宋_GB2312" w:cs="方正仿宋_GBK"/>
          <w:b w:val="0"/>
          <w:bCs w:val="0"/>
          <w:color w:val="auto"/>
          <w:highlight w:val="none"/>
          <w:lang w:val="en-US" w:eastAsia="zh-CN"/>
        </w:rPr>
      </w:pPr>
      <w:bookmarkStart w:id="314" w:name="_Toc4874"/>
      <w:bookmarkStart w:id="315" w:name="_Toc31591"/>
      <w:bookmarkStart w:id="316" w:name="_Toc12102"/>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Times New Roman" w:hAnsi="Times New Roman" w:eastAsia="仿宋_GB2312" w:cs="方正仿宋_GBK"/>
          <w:b w:val="0"/>
          <w:bCs w:val="0"/>
          <w:color w:val="auto"/>
          <w:sz w:val="32"/>
          <w:szCs w:val="32"/>
          <w:highlight w:val="none"/>
          <w:lang w:val="en-US" w:eastAsia="zh-CN"/>
        </w:rPr>
        <w:t>培育壮大新兴产业和未来产业</w:t>
      </w:r>
      <w:bookmarkEnd w:id="314"/>
      <w:bookmarkEnd w:id="315"/>
      <w:bookmarkEnd w:id="316"/>
      <w:r>
        <w:rPr>
          <w:rFonts w:hint="eastAsia" w:eastAsia="仿宋_GB2312" w:cs="方正仿宋_GBK"/>
          <w:b w:val="0"/>
          <w:bCs w:val="0"/>
          <w:color w:val="auto"/>
          <w:sz w:val="32"/>
          <w:szCs w:val="32"/>
          <w:highlight w:val="none"/>
          <w:lang w:val="en-US" w:eastAsia="zh-CN"/>
        </w:rPr>
        <w:t>。</w:t>
      </w:r>
      <w:r>
        <w:rPr>
          <w:rFonts w:hint="default" w:ascii="Times New Roman" w:hAnsi="Times New Roman" w:eastAsia="仿宋_GB2312" w:cs="方正仿宋_GBK"/>
          <w:b w:val="0"/>
          <w:bCs w:val="0"/>
          <w:highlight w:val="none"/>
          <w:lang w:val="en-US" w:eastAsia="zh-CN"/>
        </w:rPr>
        <w:t>加强技术创新，拓展应用场景，加快新兴产业集群式规模化发展，积极培育先导性和支柱性产业，构筑</w:t>
      </w:r>
      <w:r>
        <w:rPr>
          <w:rFonts w:hint="default" w:ascii="Times New Roman" w:hAnsi="Times New Roman" w:eastAsia="仿宋_GB2312" w:cs="方正仿宋_GBK"/>
          <w:b w:val="0"/>
          <w:bCs w:val="0"/>
          <w:color w:val="auto"/>
          <w:highlight w:val="none"/>
          <w:lang w:val="en-US" w:eastAsia="zh-CN"/>
        </w:rPr>
        <w:t>新兴产业和未来产业协同联动的发展格局。</w:t>
      </w:r>
    </w:p>
    <w:p w14:paraId="4EEF1A68">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color w:val="auto"/>
          <w:sz w:val="32"/>
          <w:szCs w:val="32"/>
          <w:highlight w:val="none"/>
        </w:rPr>
      </w:pPr>
      <w:bookmarkStart w:id="317" w:name="_Toc23499"/>
      <w:bookmarkStart w:id="318" w:name="_Toc14752"/>
      <w:bookmarkStart w:id="319" w:name="_Toc21084"/>
      <w:bookmarkStart w:id="320" w:name="_Toc24956"/>
      <w:bookmarkStart w:id="321" w:name="_Toc17960"/>
      <w:bookmarkStart w:id="322" w:name="_Toc24931"/>
      <w:bookmarkStart w:id="323" w:name="_Toc9683"/>
      <w:bookmarkStart w:id="324" w:name="_Toc31455"/>
      <w:bookmarkStart w:id="325" w:name="_Toc27001"/>
      <w:bookmarkStart w:id="326" w:name="_Toc23469"/>
      <w:bookmarkStart w:id="327" w:name="_Toc16810"/>
      <w:bookmarkStart w:id="328" w:name="_Toc20303"/>
      <w:bookmarkStart w:id="329" w:name="_Toc28317"/>
      <w:bookmarkStart w:id="330" w:name="_Toc26099"/>
      <w:bookmarkStart w:id="331" w:name="_Toc11306"/>
      <w:r>
        <w:rPr>
          <w:rFonts w:hint="eastAsia" w:ascii="Times New Roman" w:hAnsi="Times New Roman" w:eastAsia="仿宋_GB2312" w:cs="方正仿宋_GBK"/>
          <w:b w:val="0"/>
          <w:bCs w:val="0"/>
          <w:color w:val="auto"/>
          <w:highlight w:val="none"/>
          <w:lang w:val="en-US" w:eastAsia="zh-CN"/>
        </w:rPr>
        <w:t>培育壮大新兴产业。聚焦优势领域，集中资源、重点突破，努力营造有利于新兴产业孵化成长的市场环境，加快</w:t>
      </w:r>
      <w:r>
        <w:rPr>
          <w:rFonts w:hint="eastAsia" w:ascii="Times New Roman" w:hAnsi="Times New Roman" w:eastAsia="仿宋_GB2312" w:cs="方正仿宋_GBK"/>
          <w:b w:val="0"/>
          <w:bCs w:val="0"/>
          <w:color w:val="auto"/>
          <w:sz w:val="32"/>
          <w:szCs w:val="32"/>
          <w:highlight w:val="none"/>
        </w:rPr>
        <w:t>场景培育和开放，促进新技术新产品新场景规模化商业化应用，</w:t>
      </w:r>
      <w:r>
        <w:rPr>
          <w:rFonts w:hint="eastAsia" w:eastAsia="仿宋_GB2312" w:cs="方正仿宋_GBK"/>
          <w:b w:val="0"/>
          <w:bCs w:val="0"/>
          <w:color w:val="auto"/>
          <w:sz w:val="32"/>
          <w:szCs w:val="32"/>
          <w:highlight w:val="none"/>
          <w:lang w:val="en-US" w:eastAsia="zh-CN"/>
        </w:rPr>
        <w:t>培育壮大</w:t>
      </w:r>
      <w:r>
        <w:rPr>
          <w:rFonts w:hint="eastAsia" w:ascii="Times New Roman" w:hAnsi="Times New Roman" w:eastAsia="仿宋_GB2312" w:cs="方正仿宋_GBK"/>
          <w:b w:val="0"/>
          <w:bCs w:val="0"/>
          <w:color w:val="auto"/>
          <w:sz w:val="32"/>
          <w:szCs w:val="32"/>
          <w:highlight w:val="none"/>
        </w:rPr>
        <w:t>具有区域影响力和竞争力的新兴产业。</w:t>
      </w:r>
      <w:r>
        <w:rPr>
          <w:rFonts w:hint="eastAsia" w:ascii="Times New Roman" w:hAnsi="Times New Roman" w:eastAsia="仿宋_GB2312" w:cs="方正仿宋_GBK"/>
          <w:b w:val="0"/>
          <w:bCs w:val="0"/>
          <w:color w:val="auto"/>
          <w:sz w:val="32"/>
          <w:szCs w:val="32"/>
          <w:highlight w:val="none"/>
          <w:lang w:val="en-US" w:eastAsia="zh-CN"/>
        </w:rPr>
        <w:t>实施</w:t>
      </w:r>
      <w:r>
        <w:rPr>
          <w:rFonts w:hint="eastAsia" w:ascii="Times New Roman" w:hAnsi="Times New Roman" w:eastAsia="仿宋_GB2312" w:cs="方正仿宋_GBK"/>
          <w:b w:val="0"/>
          <w:bCs w:val="0"/>
          <w:color w:val="auto"/>
          <w:sz w:val="32"/>
          <w:szCs w:val="32"/>
          <w:highlight w:val="none"/>
        </w:rPr>
        <w:t>“人工智能+”行动，推动人工智能与传统产业深度融合，促进技术成果在制造业、服务业等领域的规模化应用，</w:t>
      </w:r>
      <w:r>
        <w:rPr>
          <w:rFonts w:hint="eastAsia" w:ascii="Times New Roman" w:hAnsi="Times New Roman" w:eastAsia="仿宋_GB2312" w:cs="方正仿宋_GBK"/>
          <w:b w:val="0"/>
          <w:bCs w:val="0"/>
          <w:color w:val="auto"/>
          <w:sz w:val="32"/>
          <w:szCs w:val="32"/>
          <w:highlight w:val="none"/>
          <w:lang w:val="en-US" w:eastAsia="zh-CN"/>
        </w:rPr>
        <w:t>开展智能制造、预测性维护、人机协同、智能客服、智能投顾等应用</w:t>
      </w:r>
      <w:r>
        <w:rPr>
          <w:rFonts w:hint="eastAsia" w:ascii="Times New Roman" w:hAnsi="Times New Roman" w:eastAsia="仿宋_GB2312" w:cs="方正仿宋_GBK"/>
          <w:b w:val="0"/>
          <w:bCs w:val="0"/>
          <w:color w:val="auto"/>
          <w:sz w:val="32"/>
          <w:szCs w:val="32"/>
          <w:highlight w:val="none"/>
        </w:rPr>
        <w:t>。</w:t>
      </w:r>
      <w:r>
        <w:rPr>
          <w:rFonts w:hint="eastAsia" w:eastAsia="仿宋_GB2312" w:cs="方正仿宋_GBK"/>
          <w:b w:val="0"/>
          <w:bCs w:val="0"/>
          <w:color w:val="auto"/>
          <w:sz w:val="32"/>
          <w:szCs w:val="32"/>
          <w:highlight w:val="none"/>
          <w:lang w:val="en-US" w:eastAsia="zh-CN"/>
        </w:rPr>
        <w:t>有序</w:t>
      </w:r>
      <w:r>
        <w:rPr>
          <w:rFonts w:hint="eastAsia" w:ascii="Times New Roman" w:hAnsi="Times New Roman" w:eastAsia="仿宋_GB2312" w:cs="方正仿宋_GBK"/>
          <w:b w:val="0"/>
          <w:bCs w:val="0"/>
          <w:color w:val="auto"/>
          <w:sz w:val="32"/>
          <w:szCs w:val="32"/>
          <w:highlight w:val="none"/>
          <w:lang w:val="en-US" w:eastAsia="zh-CN"/>
        </w:rPr>
        <w:t>发展低空经济</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充分发挥赤峰市场景多元优势及文旅资源优势，加快低空飞行与多领域、多行业的融合，发展无人机</w:t>
      </w:r>
      <w:r>
        <w:rPr>
          <w:rFonts w:hint="eastAsia" w:ascii="Times New Roman" w:hAnsi="Times New Roman" w:eastAsia="仿宋_GB2312" w:cs="方正仿宋_GBK"/>
          <w:b w:val="0"/>
          <w:bCs w:val="0"/>
          <w:color w:val="auto"/>
          <w:sz w:val="32"/>
          <w:szCs w:val="32"/>
          <w:highlight w:val="none"/>
          <w:lang w:eastAsia="zh-CN"/>
        </w:rPr>
        <w:t>验证试飞</w:t>
      </w:r>
      <w:r>
        <w:rPr>
          <w:rFonts w:hint="eastAsia" w:ascii="Times New Roman" w:hAnsi="Times New Roman" w:eastAsia="仿宋_GB2312" w:cs="方正仿宋_GBK"/>
          <w:b w:val="0"/>
          <w:bCs w:val="0"/>
          <w:color w:val="auto"/>
          <w:sz w:val="32"/>
          <w:szCs w:val="32"/>
          <w:highlight w:val="none"/>
        </w:rPr>
        <w:t>、低空飞行服务、航空教育培训、航空物流、航空旅游等</w:t>
      </w:r>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lang w:val="en-US" w:eastAsia="zh-CN"/>
        </w:rPr>
        <w:t>拓展无人机在农业植保、矿山监测、水利巡查、气象探测、电力巡检、应急救援等领域的应用场景，建设</w:t>
      </w:r>
      <w:r>
        <w:rPr>
          <w:rFonts w:hint="eastAsia" w:ascii="Times New Roman" w:hAnsi="Times New Roman" w:eastAsia="仿宋_GB2312" w:cs="方正仿宋_GBK"/>
          <w:b w:val="0"/>
          <w:bCs w:val="0"/>
          <w:color w:val="auto"/>
          <w:sz w:val="32"/>
          <w:szCs w:val="32"/>
          <w:highlight w:val="none"/>
          <w:lang w:eastAsia="zh-CN"/>
        </w:rPr>
        <w:t>赤锡通低空应用集聚区</w:t>
      </w:r>
      <w:r>
        <w:rPr>
          <w:rFonts w:hint="eastAsia" w:ascii="Times New Roman" w:hAnsi="Times New Roman" w:eastAsia="仿宋_GB2312" w:cs="方正仿宋_GBK"/>
          <w:b w:val="0"/>
          <w:bCs w:val="0"/>
          <w:color w:val="auto"/>
          <w:sz w:val="32"/>
          <w:szCs w:val="32"/>
          <w:highlight w:val="none"/>
          <w:lang w:val="en-US" w:eastAsia="zh-CN"/>
        </w:rPr>
        <w:t>。探索通用机场运营管理模式，</w:t>
      </w:r>
      <w:r>
        <w:rPr>
          <w:rFonts w:hint="eastAsia" w:eastAsia="仿宋_GB2312" w:cs="方正仿宋_GBK"/>
          <w:b w:val="0"/>
          <w:bCs w:val="0"/>
          <w:color w:val="auto"/>
          <w:sz w:val="32"/>
          <w:szCs w:val="32"/>
          <w:highlight w:val="none"/>
          <w:lang w:val="en-US" w:eastAsia="zh-CN"/>
        </w:rPr>
        <w:t>实施</w:t>
      </w:r>
      <w:r>
        <w:rPr>
          <w:rFonts w:hint="eastAsia" w:ascii="Times New Roman" w:hAnsi="Times New Roman" w:eastAsia="仿宋_GB2312" w:cs="方正仿宋_GBK"/>
          <w:b w:val="0"/>
          <w:bCs w:val="0"/>
          <w:color w:val="auto"/>
          <w:sz w:val="32"/>
          <w:szCs w:val="32"/>
          <w:highlight w:val="none"/>
          <w:lang w:val="en-US" w:eastAsia="zh-CN"/>
        </w:rPr>
        <w:t>低空经济领域重点项目建设，推动低空经济与智慧城市一网统管</w:t>
      </w:r>
      <w:r>
        <w:rPr>
          <w:rFonts w:hint="eastAsia" w:ascii="Times New Roman" w:hAnsi="Times New Roman" w:eastAsia="仿宋_GB2312" w:cs="方正仿宋_GBK"/>
          <w:b w:val="0"/>
          <w:bCs w:val="0"/>
          <w:color w:val="auto"/>
          <w:sz w:val="32"/>
          <w:szCs w:val="32"/>
          <w:highlight w:val="none"/>
        </w:rPr>
        <w:t>。</w:t>
      </w:r>
      <w:r>
        <w:rPr>
          <w:rFonts w:hint="eastAsia" w:ascii="Times New Roman" w:hAnsi="Times New Roman" w:eastAsia="仿宋_GB2312" w:cs="方正仿宋_GBK"/>
          <w:b w:val="0"/>
          <w:bCs w:val="0"/>
          <w:color w:val="auto"/>
          <w:highlight w:val="none"/>
        </w:rPr>
        <w:t>推动装备制造集群发展</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以整机装备、新型装备、精密配件、关键零部件为主攻方向，布局建设一批现代</w:t>
      </w:r>
      <w:r>
        <w:rPr>
          <w:rFonts w:hint="eastAsia" w:eastAsia="仿宋_GB2312" w:cs="方正仿宋_GBK"/>
          <w:b w:val="0"/>
          <w:bCs w:val="0"/>
          <w:color w:val="auto"/>
          <w:highlight w:val="none"/>
          <w:lang w:val="en-US" w:eastAsia="zh-CN"/>
        </w:rPr>
        <w:t>装备</w:t>
      </w:r>
      <w:r>
        <w:rPr>
          <w:rFonts w:hint="eastAsia" w:ascii="Times New Roman" w:hAnsi="Times New Roman" w:eastAsia="仿宋_GB2312" w:cs="方正仿宋_GBK"/>
          <w:b w:val="0"/>
          <w:bCs w:val="0"/>
          <w:color w:val="auto"/>
          <w:highlight w:val="none"/>
        </w:rPr>
        <w:t>制造项目。持续推进电子装备制造业提档升级，完善</w:t>
      </w:r>
      <w:r>
        <w:rPr>
          <w:rFonts w:hint="eastAsia" w:eastAsia="仿宋_GB2312" w:cs="方正仿宋_GBK"/>
          <w:b w:val="0"/>
          <w:bCs w:val="0"/>
          <w:color w:val="auto"/>
          <w:highlight w:val="none"/>
          <w:lang w:val="en-US" w:eastAsia="zh-CN"/>
        </w:rPr>
        <w:t>电子制造</w:t>
      </w:r>
      <w:r>
        <w:rPr>
          <w:rFonts w:hint="eastAsia" w:ascii="Times New Roman" w:hAnsi="Times New Roman" w:eastAsia="仿宋_GB2312" w:cs="方正仿宋_GBK"/>
          <w:b w:val="0"/>
          <w:bCs w:val="0"/>
          <w:color w:val="auto"/>
          <w:highlight w:val="none"/>
        </w:rPr>
        <w:t>“园中园”产业基础和服务功能，集中布局电子装备制造产业项目。打造智能制造装备产业集群，加快推进组链工程，完善电声器件产业链，补强智能终端产业链。</w:t>
      </w:r>
    </w:p>
    <w:p w14:paraId="67860F63">
      <w:pPr>
        <w:pStyle w:val="43"/>
        <w:keepNext w:val="0"/>
        <w:keepLines w:val="0"/>
        <w:pageBreakBefore w:val="0"/>
        <w:shd w:val="clear" w:color="auto" w:fill="auto"/>
        <w:kinsoku/>
        <w:wordWrap/>
        <w:topLinePunct w:val="0"/>
        <w:autoSpaceDE/>
        <w:autoSpaceDN/>
        <w:bidi w:val="0"/>
        <w:adjustRightInd/>
        <w:spacing w:line="540" w:lineRule="exact"/>
        <w:ind w:firstLine="643"/>
        <w:textAlignment w:val="auto"/>
        <w:outlineLvl w:val="9"/>
        <w:rPr>
          <w:rFonts w:hint="eastAsia" w:ascii="Times New Roman" w:hAnsi="Times New Roman" w:eastAsia="仿宋_GB2312" w:cs="方正仿宋_GBK"/>
          <w:b w:val="0"/>
          <w:bCs w:val="0"/>
          <w:color w:val="auto"/>
          <w:sz w:val="32"/>
          <w:szCs w:val="32"/>
          <w:highlight w:val="none"/>
        </w:rPr>
      </w:pPr>
      <w:r>
        <w:rPr>
          <w:rFonts w:hint="eastAsia" w:ascii="Times New Roman" w:hAnsi="Times New Roman" w:eastAsia="仿宋_GB2312" w:cs="方正仿宋_GBK"/>
          <w:b w:val="0"/>
          <w:bCs w:val="0"/>
          <w:color w:val="auto"/>
          <w:sz w:val="32"/>
          <w:szCs w:val="32"/>
          <w:highlight w:val="none"/>
          <w:lang w:val="en-US" w:eastAsia="zh-CN"/>
        </w:rPr>
        <w:t>前瞻布局未来产业</w:t>
      </w:r>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sz w:val="32"/>
          <w:szCs w:val="32"/>
          <w:highlight w:val="none"/>
        </w:rPr>
        <w:t>围绕制造业主战场，坚持创新驱动、应用牵引、梯次培育、安全有序原则，积极谋划布局未来产业，抢占未来发展制高点。</w:t>
      </w:r>
      <w:r>
        <w:rPr>
          <w:rFonts w:hint="eastAsia" w:ascii="Times New Roman" w:hAnsi="Times New Roman" w:eastAsia="仿宋_GB2312" w:cs="方正仿宋_GBK"/>
          <w:b w:val="0"/>
          <w:bCs w:val="0"/>
          <w:color w:val="auto"/>
          <w:sz w:val="32"/>
          <w:szCs w:val="32"/>
          <w:highlight w:val="none"/>
          <w:lang w:val="en-US" w:eastAsia="zh-CN"/>
        </w:rPr>
        <w:t>培育发展氢能产业，拓展氢能与化工、冶金、交通等行业应用场景，重点发展绿氢、绿氨、绿醇等产业，延伸绿氢产业链、绿色价值链。聚焦新型储能产业，突破电芯制造、电池系统集成等关键材料研发和零部件制造技术，发展高能量比、高可靠性锂离子电池、钠离子电池、液流电池等电化学储能和压缩空气储能、飞轮储能、电磁储能等。探索布局合成生物，围绕细胞与基因治疗、医学诊断试剂及酶等生物药以及功能食品添加剂、新型绿色饲料、乳制品、保健食品等赛道，布局建设小品种氨基酸、蛋白质、淀粉、新型高效酶制剂、生物基可降解材料等项目。</w:t>
      </w:r>
      <w:r>
        <w:rPr>
          <w:rFonts w:hint="eastAsia" w:ascii="Times New Roman" w:hAnsi="Times New Roman" w:eastAsia="仿宋_GB2312" w:cs="方正仿宋_GBK"/>
          <w:b w:val="0"/>
          <w:bCs w:val="0"/>
          <w:color w:val="auto"/>
          <w:sz w:val="32"/>
          <w:szCs w:val="32"/>
          <w:highlight w:val="none"/>
        </w:rPr>
        <w:t>密切关注高效光伏技术、碳捕集利用与封存（CCUS）等技术的发展，适时开展技术验证和应用</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lang w:val="en-US" w:eastAsia="zh-CN"/>
        </w:rPr>
        <w:t>推进数字赤峰建设，积极融入国家“东数西算”工程，规划建设智算中心、超算中心，夯实算力基础设施，打造数字经济发展新高地</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探索布局6G技术试验场景</w:t>
      </w:r>
      <w:r>
        <w:rPr>
          <w:rFonts w:hint="eastAsia" w:ascii="Times New Roman" w:hAnsi="Times New Roman" w:eastAsia="仿宋_GB2312" w:cs="方正仿宋_GBK"/>
          <w:b w:val="0"/>
          <w:bCs w:val="0"/>
          <w:color w:val="auto"/>
          <w:sz w:val="32"/>
          <w:szCs w:val="32"/>
          <w:highlight w:val="none"/>
          <w:lang w:val="en-US" w:eastAsia="zh-CN"/>
        </w:rPr>
        <w:t>等前沿领域</w:t>
      </w:r>
      <w:r>
        <w:rPr>
          <w:rFonts w:hint="eastAsia" w:ascii="Times New Roman" w:hAnsi="Times New Roman" w:eastAsia="仿宋_GB2312" w:cs="方正仿宋_GBK"/>
          <w:b w:val="0"/>
          <w:bCs w:val="0"/>
          <w:color w:val="auto"/>
          <w:sz w:val="32"/>
          <w:szCs w:val="32"/>
          <w:highlight w:val="none"/>
        </w:rPr>
        <w:t>应用。</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9"/>
      </w:tblGrid>
      <w:tr w14:paraId="7112D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30715AC0">
            <w:pPr>
              <w:keepNext w:val="0"/>
              <w:keepLines w:val="0"/>
              <w:pageBreakBefore w:val="0"/>
              <w:kinsoku/>
              <w:wordWrap/>
              <w:topLinePunct w:val="0"/>
              <w:autoSpaceDE/>
              <w:autoSpaceDN/>
              <w:bidi w:val="0"/>
              <w:adjustRightInd/>
              <w:spacing w:line="540" w:lineRule="exact"/>
              <w:ind w:firstLine="464" w:firstLineChars="200"/>
              <w:jc w:val="center"/>
              <w:textAlignment w:val="auto"/>
              <w:rPr>
                <w:rFonts w:ascii="Times New Roman" w:hAnsi="Times New Roman" w:eastAsia="方正仿宋_GBK" w:cs="Times New Roman"/>
                <w:b w:val="0"/>
                <w:bCs w:val="0"/>
                <w:sz w:val="24"/>
                <w:highlight w:val="none"/>
              </w:rPr>
            </w:pPr>
            <w:r>
              <w:rPr>
                <w:rFonts w:hint="eastAsia" w:ascii="Times New Roman" w:hAnsi="Times New Roman" w:eastAsia="仿宋_GB2312" w:cs="Times New Roman"/>
                <w:b w:val="0"/>
                <w:bCs w:val="0"/>
                <w:sz w:val="24"/>
                <w:highlight w:val="none"/>
              </w:rPr>
              <w:t>专栏</w:t>
            </w:r>
            <w:r>
              <w:rPr>
                <w:rFonts w:hint="eastAsia" w:ascii="Times New Roman" w:hAnsi="Times New Roman" w:eastAsia="仿宋_GB2312" w:cs="Times New Roman"/>
                <w:b w:val="0"/>
                <w:bCs w:val="0"/>
                <w:sz w:val="24"/>
                <w:highlight w:val="none"/>
                <w:lang w:val="en-US" w:eastAsia="zh-CN"/>
              </w:rPr>
              <w:t>6 未来产业</w:t>
            </w:r>
            <w:r>
              <w:rPr>
                <w:rFonts w:hint="eastAsia" w:ascii="Times New Roman" w:hAnsi="Times New Roman" w:eastAsia="仿宋_GB2312" w:cs="Times New Roman"/>
                <w:b w:val="0"/>
                <w:bCs w:val="0"/>
                <w:sz w:val="24"/>
                <w:highlight w:val="none"/>
              </w:rPr>
              <w:t>重大工程</w:t>
            </w:r>
          </w:p>
        </w:tc>
      </w:tr>
      <w:tr w14:paraId="47BD9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0FB2E38C">
            <w:pPr>
              <w:keepNext w:val="0"/>
              <w:keepLines w:val="0"/>
              <w:pageBreakBefore w:val="0"/>
              <w:kinsoku/>
              <w:wordWrap/>
              <w:topLinePunct w:val="0"/>
              <w:autoSpaceDE/>
              <w:autoSpaceDN/>
              <w:bidi w:val="0"/>
              <w:adjustRightInd/>
              <w:spacing w:line="540" w:lineRule="exact"/>
              <w:ind w:firstLine="464" w:firstLineChars="200"/>
              <w:textAlignment w:val="auto"/>
              <w:rPr>
                <w:rFonts w:hint="eastAsia" w:ascii="Times New Roman" w:hAnsi="Times New Roman" w:eastAsia="仿宋_GB2312" w:cs="Times New Roman"/>
                <w:b w:val="0"/>
                <w:bCs w:val="0"/>
                <w:sz w:val="24"/>
                <w:highlight w:val="none"/>
                <w:lang w:val="en-US" w:eastAsia="zh-CN"/>
              </w:rPr>
            </w:pPr>
            <w:r>
              <w:rPr>
                <w:rFonts w:hint="eastAsia" w:ascii="Times New Roman" w:hAnsi="Times New Roman" w:eastAsia="仿宋_GB2312" w:cs="Times New Roman"/>
                <w:b w:val="0"/>
                <w:bCs w:val="0"/>
                <w:sz w:val="24"/>
                <w:highlight w:val="none"/>
                <w:lang w:val="en-US" w:eastAsia="zh-CN"/>
              </w:rPr>
              <w:t>合成生物重大工程：培育发展小品种氨基酸、新型蛋白、新型高效酶制剂、生物基材料等产业，推进生物合成技术在药物研发生产、新型食品研制、新材料开发等领域的应用转化。</w:t>
            </w:r>
          </w:p>
          <w:p w14:paraId="42FB58BC">
            <w:pPr>
              <w:keepNext w:val="0"/>
              <w:keepLines w:val="0"/>
              <w:pageBreakBefore w:val="0"/>
              <w:kinsoku/>
              <w:wordWrap/>
              <w:topLinePunct w:val="0"/>
              <w:autoSpaceDE/>
              <w:autoSpaceDN/>
              <w:bidi w:val="0"/>
              <w:adjustRightInd/>
              <w:spacing w:line="540" w:lineRule="exact"/>
              <w:ind w:firstLine="464" w:firstLineChars="200"/>
              <w:textAlignment w:val="auto"/>
              <w:rPr>
                <w:rFonts w:hint="default" w:ascii="Times New Roman" w:hAnsi="Times New Roman" w:eastAsia="方正仿宋_GBK" w:cs="Times New Roman"/>
                <w:b w:val="0"/>
                <w:bCs w:val="0"/>
                <w:highlight w:val="none"/>
                <w:lang w:val="en-US" w:eastAsia="zh-CN"/>
              </w:rPr>
            </w:pPr>
            <w:r>
              <w:rPr>
                <w:rFonts w:hint="eastAsia" w:ascii="Times New Roman" w:hAnsi="Times New Roman" w:eastAsia="仿宋_GB2312" w:cs="Times New Roman"/>
                <w:b w:val="0"/>
                <w:bCs w:val="0"/>
                <w:sz w:val="24"/>
                <w:highlight w:val="none"/>
                <w:lang w:val="en-US" w:eastAsia="zh-CN"/>
              </w:rPr>
              <w:t>数字经济重大工程：加强绿电与算力的协同联动，推动建设大型清洁能源智算中心，构建形成“绿电一算力一产业一生态”正循环的发展格局，重点推进算力基础设施项目。</w:t>
            </w:r>
          </w:p>
        </w:tc>
      </w:tr>
    </w:tbl>
    <w:p w14:paraId="72E8BEB4">
      <w:pPr>
        <w:keepNext w:val="0"/>
        <w:keepLines w:val="0"/>
        <w:pageBreakBefore w:val="0"/>
        <w:kinsoku/>
        <w:wordWrap/>
        <w:topLinePunct w:val="0"/>
        <w:autoSpaceDE/>
        <w:autoSpaceDN/>
        <w:bidi w:val="0"/>
        <w:adjustRightInd/>
        <w:spacing w:line="540" w:lineRule="exact"/>
        <w:textAlignment w:val="auto"/>
        <w:rPr>
          <w:rFonts w:hint="eastAsia"/>
          <w:b w:val="0"/>
          <w:bCs w:val="0"/>
          <w:highlight w:val="none"/>
        </w:rPr>
      </w:pPr>
    </w:p>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14:paraId="3B2BF448">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default" w:ascii="Times New Roman" w:hAnsi="Times New Roman" w:eastAsia="仿宋_GB2312" w:cs="方正仿宋_GBK"/>
          <w:b w:val="0"/>
          <w:bCs w:val="0"/>
          <w:color w:val="auto"/>
          <w:highlight w:val="none"/>
        </w:rPr>
      </w:pPr>
      <w:bookmarkStart w:id="332" w:name="_Toc21729"/>
      <w:bookmarkStart w:id="333" w:name="_Toc4564"/>
      <w:bookmarkStart w:id="334" w:name="_Toc31499"/>
      <w:bookmarkStart w:id="335" w:name="_Toc22049"/>
      <w:bookmarkStart w:id="336" w:name="_Toc26995"/>
      <w:bookmarkStart w:id="337" w:name="_Toc22535"/>
      <w:bookmarkStart w:id="338" w:name="_Toc2752"/>
      <w:bookmarkStart w:id="339" w:name="_Toc29208"/>
      <w:bookmarkStart w:id="340" w:name="_Toc27795"/>
      <w:bookmarkStart w:id="341" w:name="_Toc11047"/>
      <w:bookmarkStart w:id="342" w:name="_Toc20603"/>
      <w:bookmarkStart w:id="343" w:name="_Toc6983"/>
      <w:bookmarkStart w:id="344" w:name="_Toc24787"/>
      <w:bookmarkStart w:id="345" w:name="_Toc22747"/>
      <w:bookmarkStart w:id="346" w:name="_Toc21874"/>
      <w:bookmarkStart w:id="347" w:name="_Toc31211"/>
      <w:bookmarkStart w:id="348" w:name="_Toc12686"/>
      <w:bookmarkStart w:id="349" w:name="_Toc12494"/>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Times New Roman" w:hAnsi="Times New Roman" w:eastAsia="仿宋_GB2312" w:cs="方正仿宋_GBK"/>
          <w:b w:val="0"/>
          <w:bCs w:val="0"/>
          <w:color w:val="auto"/>
          <w:sz w:val="32"/>
          <w:szCs w:val="32"/>
          <w:highlight w:val="none"/>
          <w:lang w:val="en-US" w:eastAsia="zh-CN"/>
        </w:rPr>
        <w:t>强化产业发展平台支撑</w:t>
      </w:r>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spacing w:val="0"/>
          <w:highlight w:val="none"/>
        </w:rPr>
        <w:t>把园区提质增效作为再造一个“工业赤峰”的关键支撑，推动各类要素向园区集中、各项政策向园区倾斜、各种服务向园区覆盖，全面提升园区的承载能力、集聚水平和产</w:t>
      </w:r>
      <w:r>
        <w:rPr>
          <w:rFonts w:hint="eastAsia" w:ascii="Times New Roman" w:hAnsi="Times New Roman" w:eastAsia="仿宋_GB2312" w:cs="方正仿宋_GBK"/>
          <w:b w:val="0"/>
          <w:bCs w:val="0"/>
          <w:color w:val="auto"/>
          <w:highlight w:val="none"/>
        </w:rPr>
        <w:t>出效益。</w:t>
      </w:r>
      <w:r>
        <w:rPr>
          <w:rFonts w:hint="eastAsia" w:ascii="Times New Roman" w:hAnsi="Times New Roman" w:eastAsia="仿宋_GB2312" w:cs="方正仿宋_GBK"/>
          <w:b w:val="0"/>
          <w:bCs w:val="0"/>
          <w:color w:val="auto"/>
          <w:highlight w:val="none"/>
          <w:lang w:val="en-US" w:eastAsia="zh-CN"/>
        </w:rPr>
        <w:t>到2030年，力争工业园区产值达到3500亿元。</w:t>
      </w:r>
    </w:p>
    <w:p w14:paraId="1EB5443D">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color w:val="auto"/>
          <w:highlight w:val="none"/>
        </w:rPr>
      </w:pPr>
      <w:bookmarkStart w:id="350" w:name="_Toc26848"/>
      <w:r>
        <w:rPr>
          <w:rFonts w:hint="eastAsia" w:ascii="Times New Roman" w:hAnsi="Times New Roman" w:eastAsia="仿宋_GB2312" w:cs="方正仿宋_GBK"/>
          <w:b w:val="0"/>
          <w:bCs w:val="0"/>
          <w:color w:val="auto"/>
          <w:highlight w:val="none"/>
        </w:rPr>
        <w:t>优化园区</w:t>
      </w:r>
      <w:r>
        <w:rPr>
          <w:rFonts w:hint="eastAsia" w:ascii="Times New Roman" w:hAnsi="Times New Roman" w:eastAsia="仿宋_GB2312" w:cs="方正仿宋_GBK"/>
          <w:b w:val="0"/>
          <w:bCs w:val="0"/>
          <w:color w:val="auto"/>
          <w:highlight w:val="none"/>
          <w:lang w:val="en-US" w:eastAsia="zh-CN"/>
        </w:rPr>
        <w:t>产业</w:t>
      </w:r>
      <w:r>
        <w:rPr>
          <w:rFonts w:hint="eastAsia" w:ascii="Times New Roman" w:hAnsi="Times New Roman" w:eastAsia="仿宋_GB2312" w:cs="方正仿宋_GBK"/>
          <w:b w:val="0"/>
          <w:bCs w:val="0"/>
          <w:color w:val="auto"/>
          <w:highlight w:val="none"/>
        </w:rPr>
        <w:t>布局</w:t>
      </w:r>
      <w:bookmarkEnd w:id="350"/>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按照“布局集中、产业集聚、用地集约”的原则，结合各地区资源禀赋和产业基础，进一步明确各开发区、产业园区的主导产业和发展方向，推动错位发展、协同联动。重点打造</w:t>
      </w:r>
      <w:r>
        <w:rPr>
          <w:rFonts w:hint="eastAsia" w:ascii="Times New Roman" w:hAnsi="Times New Roman" w:eastAsia="仿宋_GB2312" w:cs="方正仿宋_GBK"/>
          <w:b w:val="0"/>
          <w:bCs w:val="0"/>
          <w:color w:val="auto"/>
          <w:highlight w:val="none"/>
          <w:lang w:val="en-US" w:eastAsia="zh-CN"/>
        </w:rPr>
        <w:t>赤峰高新技术产业开发区、赤峰红山高新技术产业开发区、赤峰松山工业园区、赤峰元宝山工业园区</w:t>
      </w:r>
      <w:r>
        <w:rPr>
          <w:rFonts w:hint="eastAsia" w:ascii="Times New Roman" w:hAnsi="Times New Roman" w:eastAsia="仿宋_GB2312" w:cs="方正仿宋_GBK"/>
          <w:b w:val="0"/>
          <w:bCs w:val="0"/>
          <w:color w:val="auto"/>
          <w:highlight w:val="none"/>
        </w:rPr>
        <w:t>作为全市工业经济的核心引擎，突出发展新能源、新材料、高端装备制造等产业。其他旗县区工业园区立足特色，做精做强</w:t>
      </w:r>
      <w:r>
        <w:rPr>
          <w:rFonts w:hint="eastAsia" w:ascii="Times New Roman" w:hAnsi="Times New Roman" w:eastAsia="仿宋_GB2312" w:cs="方正仿宋_GBK"/>
          <w:b w:val="0"/>
          <w:bCs w:val="0"/>
          <w:color w:val="auto"/>
          <w:highlight w:val="none"/>
          <w:lang w:val="en-US" w:eastAsia="zh-CN"/>
        </w:rPr>
        <w:t>3</w:t>
      </w:r>
      <w:r>
        <w:rPr>
          <w:rFonts w:hint="eastAsia" w:ascii="Times New Roman" w:hAnsi="Times New Roman" w:eastAsia="仿宋_GB2312" w:cs="方正仿宋_GBK"/>
          <w:b w:val="0"/>
          <w:bCs w:val="0"/>
          <w:color w:val="auto"/>
          <w:highlight w:val="none"/>
        </w:rPr>
        <w:t>个主导产业，避免同质化竞争。科学划定园区边界和扩展方向，保障工业发展空间，优先利用存量建设用地和低效用地，严格节约集约用地标准。</w:t>
      </w:r>
    </w:p>
    <w:p w14:paraId="533E5B7B">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color w:val="auto"/>
          <w:highlight w:val="none"/>
        </w:rPr>
      </w:pPr>
      <w:bookmarkStart w:id="351" w:name="_Toc1481"/>
      <w:r>
        <w:rPr>
          <w:rFonts w:hint="eastAsia" w:ascii="Times New Roman" w:hAnsi="Times New Roman" w:eastAsia="仿宋_GB2312" w:cs="方正仿宋_GBK"/>
          <w:b w:val="0"/>
          <w:bCs w:val="0"/>
          <w:color w:val="auto"/>
          <w:highlight w:val="none"/>
          <w:lang w:val="en-US" w:eastAsia="zh-CN"/>
        </w:rPr>
        <w:t>完善</w:t>
      </w:r>
      <w:r>
        <w:rPr>
          <w:rFonts w:hint="eastAsia" w:ascii="Times New Roman" w:hAnsi="Times New Roman" w:eastAsia="仿宋_GB2312" w:cs="方正仿宋_GBK"/>
          <w:b w:val="0"/>
          <w:bCs w:val="0"/>
          <w:color w:val="auto"/>
          <w:highlight w:val="none"/>
        </w:rPr>
        <w:t>园区基础设施</w:t>
      </w:r>
      <w:bookmarkEnd w:id="351"/>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系统谋划并加快推进水、电、路、气、暖、讯等基础设施新建和改造项目。重点破解“用电”瓶颈，推动园区绿电直供，建设智能微电网</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通过多种方式降低企业用电成本，形成“电价洼地”优势。同步完善污水处理、固废处置、供热供气等环保基础设施，建设集中供热中心、工业污水处理厂、危险废物处置中心等，提升园区环境治理能力。</w:t>
      </w:r>
    </w:p>
    <w:p w14:paraId="4B14CCBE">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color w:val="auto"/>
          <w:highlight w:val="none"/>
        </w:rPr>
      </w:pPr>
      <w:bookmarkStart w:id="352" w:name="_Toc23010"/>
      <w:r>
        <w:rPr>
          <w:rFonts w:hint="eastAsia" w:ascii="Times New Roman" w:hAnsi="Times New Roman" w:eastAsia="仿宋_GB2312" w:cs="方正仿宋_GBK"/>
          <w:b w:val="0"/>
          <w:bCs w:val="0"/>
          <w:color w:val="auto"/>
          <w:highlight w:val="none"/>
        </w:rPr>
        <w:t>提升园区管理水平</w:t>
      </w:r>
      <w:bookmarkEnd w:id="352"/>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推动“园区事园区办”，深化“放管服”改革，在园区层面设立一站式服务中心，承接市、旗县区下放的行政审批事项，为企业提供从签约落户、项目建设到生产经营的全生命周期“保姆式”服务。强化生产性服务业配套，引进研发设计、检验检测、仓储物流、融资租赁、法律会计等专业服务机构，构建良好的产业生态。</w:t>
      </w:r>
    </w:p>
    <w:p w14:paraId="4F9CB461">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color w:val="auto"/>
          <w:highlight w:val="none"/>
        </w:rPr>
      </w:pPr>
      <w:bookmarkStart w:id="353" w:name="_Toc20880"/>
      <w:r>
        <w:rPr>
          <w:rFonts w:hint="eastAsia" w:ascii="Times New Roman" w:hAnsi="Times New Roman" w:eastAsia="仿宋_GB2312" w:cs="方正仿宋_GBK"/>
          <w:b w:val="0"/>
          <w:bCs w:val="0"/>
          <w:color w:val="auto"/>
          <w:highlight w:val="none"/>
        </w:rPr>
        <w:t>创新园区运营模式</w:t>
      </w:r>
      <w:bookmarkEnd w:id="353"/>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探索</w:t>
      </w:r>
      <w:r>
        <w:rPr>
          <w:rFonts w:hint="eastAsia" w:ascii="Times New Roman" w:hAnsi="Times New Roman" w:eastAsia="仿宋_GB2312" w:cs="方正仿宋_GBK"/>
          <w:b w:val="0"/>
          <w:bCs w:val="0"/>
          <w:color w:val="auto"/>
          <w:highlight w:val="none"/>
        </w:rPr>
        <w:t>推广“</w:t>
      </w:r>
      <w:r>
        <w:rPr>
          <w:rFonts w:hint="eastAsia" w:ascii="Times New Roman" w:hAnsi="Times New Roman" w:eastAsia="仿宋_GB2312" w:cs="方正仿宋_GBK"/>
          <w:b w:val="0"/>
          <w:bCs w:val="0"/>
          <w:color w:val="auto"/>
          <w:highlight w:val="none"/>
          <w:lang w:val="en-US" w:eastAsia="zh-CN"/>
        </w:rPr>
        <w:t>管委会</w:t>
      </w:r>
      <w:r>
        <w:rPr>
          <w:rFonts w:hint="eastAsia" w:ascii="Times New Roman" w:hAnsi="Times New Roman" w:eastAsia="仿宋_GB2312" w:cs="方正仿宋_GBK"/>
          <w:b w:val="0"/>
          <w:bCs w:val="0"/>
          <w:color w:val="auto"/>
          <w:highlight w:val="none"/>
        </w:rPr>
        <w:t>+公司”的市场化运营模式，支持园区平台公司通过发行债券、引入社会资本、争取政策性金融工具支持等方式，拓宽融资渠道，参与基础设施建设和运营</w:t>
      </w:r>
      <w:r>
        <w:rPr>
          <w:rFonts w:hint="eastAsia" w:ascii="Times New Roman" w:hAnsi="Times New Roman" w:eastAsia="仿宋_GB2312" w:cs="方正仿宋_GBK"/>
          <w:b w:val="0"/>
          <w:bCs w:val="0"/>
          <w:color w:val="auto"/>
          <w:highlight w:val="none"/>
          <w:lang w:val="en-US" w:eastAsia="zh-CN"/>
        </w:rPr>
        <w:t>管理</w:t>
      </w:r>
      <w:r>
        <w:rPr>
          <w:rFonts w:hint="eastAsia" w:ascii="Times New Roman" w:hAnsi="Times New Roman" w:eastAsia="仿宋_GB2312" w:cs="方正仿宋_GBK"/>
          <w:b w:val="0"/>
          <w:bCs w:val="0"/>
          <w:color w:val="auto"/>
          <w:highlight w:val="none"/>
        </w:rPr>
        <w:t>。探索“飞地经济”模式，鼓励发展水平不同的园区之间建立利益分享机制，推动优质项目在全市范围</w:t>
      </w:r>
      <w:r>
        <w:rPr>
          <w:rFonts w:hint="eastAsia" w:eastAsia="仿宋_GB2312" w:cs="方正仿宋_GBK"/>
          <w:b w:val="0"/>
          <w:bCs w:val="0"/>
          <w:color w:val="auto"/>
          <w:highlight w:val="none"/>
          <w:lang w:eastAsia="zh-CN"/>
        </w:rPr>
        <w:t>内</w:t>
      </w:r>
      <w:r>
        <w:rPr>
          <w:rFonts w:hint="eastAsia" w:ascii="Times New Roman" w:hAnsi="Times New Roman" w:eastAsia="仿宋_GB2312" w:cs="方正仿宋_GBK"/>
          <w:b w:val="0"/>
          <w:bCs w:val="0"/>
          <w:color w:val="auto"/>
          <w:highlight w:val="none"/>
        </w:rPr>
        <w:t>合理配置。</w:t>
      </w:r>
    </w:p>
    <w:p w14:paraId="0A3F706D">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color w:val="auto"/>
          <w:highlight w:val="none"/>
        </w:rPr>
      </w:pP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9"/>
      </w:tblGrid>
      <w:tr w14:paraId="41C13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09C00C28">
            <w:pPr>
              <w:keepNext w:val="0"/>
              <w:keepLines w:val="0"/>
              <w:pageBreakBefore w:val="0"/>
              <w:kinsoku/>
              <w:wordWrap/>
              <w:topLinePunct w:val="0"/>
              <w:autoSpaceDE/>
              <w:autoSpaceDN/>
              <w:bidi w:val="0"/>
              <w:adjustRightInd/>
              <w:spacing w:line="540" w:lineRule="exact"/>
              <w:ind w:firstLine="464" w:firstLineChars="200"/>
              <w:jc w:val="center"/>
              <w:textAlignment w:val="auto"/>
              <w:rPr>
                <w:rFonts w:ascii="Times New Roman" w:hAnsi="Times New Roman" w:eastAsia="方正仿宋_GBK" w:cs="Times New Roman"/>
                <w:b w:val="0"/>
                <w:bCs w:val="0"/>
                <w:sz w:val="24"/>
                <w:highlight w:val="none"/>
              </w:rPr>
            </w:pPr>
            <w:r>
              <w:rPr>
                <w:rFonts w:hint="eastAsia" w:ascii="Times New Roman" w:hAnsi="Times New Roman" w:eastAsia="仿宋_GB2312" w:cs="Times New Roman"/>
                <w:b w:val="0"/>
                <w:bCs w:val="0"/>
                <w:sz w:val="24"/>
                <w:highlight w:val="none"/>
              </w:rPr>
              <w:t>专栏</w:t>
            </w:r>
            <w:r>
              <w:rPr>
                <w:rFonts w:hint="eastAsia" w:ascii="Times New Roman" w:hAnsi="Times New Roman" w:eastAsia="仿宋_GB2312" w:cs="Times New Roman"/>
                <w:b w:val="0"/>
                <w:bCs w:val="0"/>
                <w:sz w:val="24"/>
                <w:highlight w:val="none"/>
                <w:lang w:val="en-US" w:eastAsia="zh-CN"/>
              </w:rPr>
              <w:t>7 园区建设</w:t>
            </w:r>
            <w:r>
              <w:rPr>
                <w:rFonts w:hint="eastAsia" w:ascii="Times New Roman" w:hAnsi="Times New Roman" w:eastAsia="仿宋_GB2312" w:cs="Times New Roman"/>
                <w:b w:val="0"/>
                <w:bCs w:val="0"/>
                <w:sz w:val="24"/>
                <w:highlight w:val="none"/>
              </w:rPr>
              <w:t>重大工程</w:t>
            </w:r>
          </w:p>
        </w:tc>
      </w:tr>
      <w:tr w14:paraId="13EF0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5A457AB7">
            <w:pPr>
              <w:keepNext w:val="0"/>
              <w:keepLines w:val="0"/>
              <w:pageBreakBefore w:val="0"/>
              <w:kinsoku/>
              <w:wordWrap/>
              <w:topLinePunct w:val="0"/>
              <w:autoSpaceDE/>
              <w:autoSpaceDN/>
              <w:bidi w:val="0"/>
              <w:adjustRightInd/>
              <w:spacing w:line="540" w:lineRule="exact"/>
              <w:ind w:firstLine="464" w:firstLineChars="200"/>
              <w:textAlignment w:val="auto"/>
              <w:rPr>
                <w:rFonts w:hint="default" w:ascii="Times New Roman" w:hAnsi="Times New Roman" w:eastAsia="方正仿宋_GBK" w:cs="Times New Roman"/>
                <w:b w:val="0"/>
                <w:bCs w:val="0"/>
                <w:highlight w:val="none"/>
                <w:lang w:val="en-US" w:eastAsia="zh-CN"/>
              </w:rPr>
            </w:pPr>
            <w:r>
              <w:rPr>
                <w:rFonts w:hint="eastAsia" w:ascii="Times New Roman" w:hAnsi="Times New Roman" w:eastAsia="仿宋_GB2312" w:cs="Times New Roman"/>
                <w:b w:val="0"/>
                <w:bCs w:val="0"/>
                <w:sz w:val="24"/>
                <w:highlight w:val="none"/>
              </w:rPr>
              <w:t>重点</w:t>
            </w:r>
            <w:r>
              <w:rPr>
                <w:rFonts w:hint="eastAsia" w:ascii="Times New Roman" w:hAnsi="Times New Roman" w:eastAsia="仿宋_GB2312" w:cs="Times New Roman"/>
                <w:b w:val="0"/>
                <w:bCs w:val="0"/>
                <w:sz w:val="24"/>
                <w:highlight w:val="none"/>
                <w:lang w:val="en-US" w:eastAsia="zh-CN"/>
              </w:rPr>
              <w:t>推进阿鲁科尔沁旗产业园、巴林左工业园区凤凰山工业集聚区、林西工业园区、克什克腾工业园区、赤峰玉龙工业园区、喀喇沁工业园区、赤峰承接产业转移开发区、元宝山工业园、松山工业园、东山园区、红山产业园等园区基础设施提升工程。</w:t>
            </w:r>
          </w:p>
        </w:tc>
      </w:tr>
    </w:tbl>
    <w:p w14:paraId="2BFE856A">
      <w:pPr>
        <w:keepNext w:val="0"/>
        <w:keepLines w:val="0"/>
        <w:pageBreakBefore w:val="0"/>
        <w:kinsoku/>
        <w:wordWrap/>
        <w:topLinePunct w:val="0"/>
        <w:autoSpaceDE/>
        <w:autoSpaceDN/>
        <w:bidi w:val="0"/>
        <w:adjustRightInd/>
        <w:spacing w:line="540" w:lineRule="exact"/>
        <w:textAlignment w:val="auto"/>
        <w:rPr>
          <w:rFonts w:hint="eastAsia" w:ascii="Times New Roman" w:hAnsi="Times New Roman"/>
          <w:b w:val="0"/>
          <w:bCs w:val="0"/>
          <w:highlight w:val="none"/>
        </w:rPr>
      </w:pPr>
    </w:p>
    <w:bookmarkEnd w:id="302"/>
    <w:p w14:paraId="53EA6571">
      <w:pPr>
        <w:keepNext w:val="0"/>
        <w:keepLines w:val="0"/>
        <w:pageBreakBefore w:val="0"/>
        <w:widowControl/>
        <w:numPr>
          <w:ilvl w:val="0"/>
          <w:numId w:val="5"/>
        </w:numPr>
        <w:shd w:val="clear" w:color="auto" w:fill="auto"/>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354" w:name="_Toc18606"/>
      <w:bookmarkStart w:id="355" w:name="_Toc26872"/>
      <w:bookmarkStart w:id="356" w:name="_Toc30320"/>
      <w:bookmarkStart w:id="357" w:name="_Toc3127"/>
      <w:bookmarkStart w:id="358" w:name="_Toc3196"/>
      <w:bookmarkStart w:id="359" w:name="_Toc28632"/>
      <w:bookmarkStart w:id="360" w:name="_Toc14635"/>
      <w:bookmarkStart w:id="361" w:name="_Toc18924"/>
      <w:bookmarkStart w:id="362" w:name="_Toc29825"/>
      <w:bookmarkStart w:id="363" w:name="_Toc17813"/>
      <w:bookmarkStart w:id="364" w:name="_Toc29003"/>
      <w:bookmarkStart w:id="365" w:name="_Toc27376"/>
      <w:bookmarkStart w:id="366" w:name="_Toc13848"/>
      <w:bookmarkStart w:id="367" w:name="_Toc21400"/>
      <w:bookmarkStart w:id="368" w:name="_Toc27456"/>
      <w:bookmarkStart w:id="369" w:name="_Toc2123"/>
      <w:bookmarkStart w:id="370" w:name="_Toc5474"/>
      <w:bookmarkStart w:id="371" w:name="_Toc25397"/>
      <w:bookmarkStart w:id="372" w:name="_Toc9806"/>
      <w:bookmarkStart w:id="373" w:name="_Toc31976"/>
      <w:bookmarkStart w:id="374" w:name="_Toc26518"/>
      <w:bookmarkStart w:id="375" w:name="_Toc23601"/>
      <w:bookmarkStart w:id="376" w:name="_Toc19648"/>
      <w:bookmarkStart w:id="377" w:name="_Toc538"/>
      <w:bookmarkStart w:id="378" w:name="_Toc17597"/>
      <w:bookmarkStart w:id="379" w:name="_Toc1758"/>
      <w:bookmarkStart w:id="380" w:name="_Toc8868"/>
      <w:bookmarkStart w:id="381" w:name="_Toc3263"/>
      <w:r>
        <w:rPr>
          <w:rFonts w:hint="eastAsia" w:ascii="楷体_GB2312" w:hAnsi="楷体_GB2312" w:eastAsia="楷体_GB2312" w:cs="楷体_GB2312"/>
          <w:b w:val="0"/>
          <w:bCs w:val="0"/>
          <w:color w:val="auto"/>
          <w:sz w:val="32"/>
          <w:szCs w:val="40"/>
          <w:highlight w:val="none"/>
          <w:lang w:val="en-US" w:eastAsia="zh-CN"/>
        </w:rPr>
        <w:t>加快建设现代农牧业强市</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14:paraId="0F69BFC3">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spacing w:val="0"/>
          <w:kern w:val="2"/>
          <w:highlight w:val="none"/>
          <w:lang w:val="en-US" w:eastAsia="zh-CN"/>
        </w:rPr>
        <w:t>用工业化思维谋划和发展农牧业，</w:t>
      </w:r>
      <w:r>
        <w:rPr>
          <w:rFonts w:hint="eastAsia" w:ascii="Times New Roman" w:hAnsi="Times New Roman" w:eastAsia="仿宋_GB2312" w:cs="方正仿宋_GBK"/>
          <w:b w:val="0"/>
          <w:bCs w:val="0"/>
          <w:spacing w:val="0"/>
          <w:kern w:val="2"/>
          <w:highlight w:val="none"/>
        </w:rPr>
        <w:t>坚持产量产能、生产生态、增产增收一起抓，发展科技农牧业、绿色农牧业、质量农牧业、品牌农牧业，构建“稳粮、优供、强基、塑牌”的</w:t>
      </w:r>
      <w:r>
        <w:rPr>
          <w:rFonts w:hint="eastAsia" w:eastAsia="仿宋_GB2312" w:cs="方正仿宋_GBK"/>
          <w:b w:val="0"/>
          <w:bCs w:val="0"/>
          <w:spacing w:val="0"/>
          <w:kern w:val="2"/>
          <w:highlight w:val="none"/>
          <w:lang w:val="en-US" w:eastAsia="zh-CN"/>
        </w:rPr>
        <w:t>发展</w:t>
      </w:r>
      <w:r>
        <w:rPr>
          <w:rFonts w:hint="eastAsia" w:ascii="Times New Roman" w:hAnsi="Times New Roman" w:eastAsia="仿宋_GB2312" w:cs="方正仿宋_GBK"/>
          <w:b w:val="0"/>
          <w:bCs w:val="0"/>
          <w:spacing w:val="0"/>
          <w:kern w:val="2"/>
          <w:highlight w:val="none"/>
        </w:rPr>
        <w:t>格局</w:t>
      </w:r>
      <w:r>
        <w:rPr>
          <w:rFonts w:hint="eastAsia"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lang w:val="en-US" w:eastAsia="zh-CN"/>
        </w:rPr>
        <w:t>努力在自治区建设国家</w:t>
      </w:r>
      <w:r>
        <w:rPr>
          <w:rFonts w:hint="eastAsia" w:ascii="Times New Roman" w:hAnsi="Times New Roman" w:eastAsia="仿宋_GB2312" w:cs="方正仿宋_GBK"/>
          <w:b w:val="0"/>
          <w:bCs w:val="0"/>
          <w:color w:val="auto"/>
          <w:highlight w:val="none"/>
          <w:lang w:val="en-US" w:eastAsia="zh-CN"/>
        </w:rPr>
        <w:t>重要农畜产品生产基地中展现更大担当。</w:t>
      </w:r>
    </w:p>
    <w:p w14:paraId="12D52626">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spacing w:val="0"/>
          <w:kern w:val="2"/>
          <w:highlight w:val="none"/>
        </w:rPr>
      </w:pPr>
      <w:bookmarkStart w:id="382" w:name="_Toc20145"/>
      <w:bookmarkStart w:id="383" w:name="_Toc25636"/>
      <w:bookmarkStart w:id="384" w:name="_Toc23000"/>
      <w:bookmarkStart w:id="385" w:name="_Toc16406"/>
      <w:bookmarkStart w:id="386" w:name="_Toc23135"/>
      <w:bookmarkStart w:id="387" w:name="_Toc5562"/>
      <w:bookmarkStart w:id="388" w:name="_Toc7378"/>
      <w:bookmarkStart w:id="389" w:name="_Toc6009"/>
      <w:bookmarkStart w:id="390" w:name="_Toc4223"/>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Times New Roman" w:hAnsi="Times New Roman" w:eastAsia="仿宋_GB2312" w:cs="方正仿宋_GBK"/>
          <w:b w:val="0"/>
          <w:bCs w:val="0"/>
          <w:color w:val="auto"/>
          <w:highlight w:val="none"/>
          <w:lang w:val="en-US" w:eastAsia="zh-CN"/>
        </w:rPr>
        <w:t>提升农牧业综合生产能力和质量效益</w:t>
      </w:r>
      <w:bookmarkEnd w:id="382"/>
      <w:bookmarkEnd w:id="383"/>
      <w:bookmarkEnd w:id="384"/>
      <w:bookmarkEnd w:id="385"/>
      <w:bookmarkEnd w:id="386"/>
      <w:bookmarkEnd w:id="387"/>
      <w:bookmarkEnd w:id="388"/>
      <w:bookmarkEnd w:id="389"/>
      <w:bookmarkEnd w:id="390"/>
      <w:r>
        <w:rPr>
          <w:rFonts w:hint="eastAsia" w:ascii="Times New Roman" w:hAnsi="Times New Roman"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rPr>
        <w:t>深入实施国家粮食安全战略，扎实推进藏粮于地</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藏粮于技，夯实粮食安全根基。树立大农业观、大食物观，构建多元化食物供给体系，持续增强重</w:t>
      </w:r>
      <w:r>
        <w:rPr>
          <w:rFonts w:hint="eastAsia" w:ascii="Times New Roman" w:hAnsi="Times New Roman" w:eastAsia="仿宋_GB2312" w:cs="方正仿宋_GBK"/>
          <w:b w:val="0"/>
          <w:bCs w:val="0"/>
          <w:spacing w:val="0"/>
          <w:kern w:val="2"/>
          <w:highlight w:val="none"/>
        </w:rPr>
        <w:t>要农畜产品供给保障能力。</w:t>
      </w:r>
    </w:p>
    <w:p w14:paraId="6FF06973">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rPr>
          <w:rFonts w:hint="default" w:ascii="Times New Roman" w:hAnsi="Times New Roman" w:eastAsia="仿宋_GB2312" w:cs="方正仿宋_GBK"/>
          <w:b w:val="0"/>
          <w:bCs w:val="0"/>
          <w:spacing w:val="0"/>
          <w:kern w:val="2"/>
          <w:highlight w:val="none"/>
          <w:lang w:val="en-US" w:eastAsia="zh-CN"/>
        </w:rPr>
      </w:pPr>
      <w:bookmarkStart w:id="391" w:name="_Toc5563"/>
      <w:r>
        <w:rPr>
          <w:rFonts w:hint="eastAsia" w:ascii="Times New Roman" w:hAnsi="Times New Roman" w:eastAsia="仿宋_GB2312" w:cs="方正仿宋_GBK"/>
          <w:b w:val="0"/>
          <w:bCs w:val="0"/>
          <w:color w:val="auto"/>
          <w:spacing w:val="0"/>
          <w:kern w:val="2"/>
          <w:highlight w:val="none"/>
        </w:rPr>
        <w:t>全方位夯实粮食安全根基</w:t>
      </w:r>
      <w:bookmarkEnd w:id="391"/>
      <w:r>
        <w:rPr>
          <w:rFonts w:hint="eastAsia"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坚决扛起粮食安全政治责任，坚持“稳面积、提单产”双轮驱动，全面落实国家新一轮千亿斤粮食产能提升行动，</w:t>
      </w:r>
      <w:r>
        <w:rPr>
          <w:rFonts w:hint="eastAsia" w:ascii="Times New Roman" w:hAnsi="Times New Roman" w:eastAsia="仿宋_GB2312" w:cs="方正仿宋_GBK"/>
          <w:b w:val="0"/>
          <w:bCs w:val="0"/>
          <w:spacing w:val="0"/>
          <w:kern w:val="2"/>
          <w:highlight w:val="none"/>
          <w:lang w:val="en-US" w:eastAsia="zh-CN"/>
        </w:rPr>
        <w:t>打造一批吨粮田高产片区。到2030年，</w:t>
      </w:r>
      <w:r>
        <w:rPr>
          <w:rFonts w:hint="eastAsia" w:ascii="Times New Roman" w:hAnsi="Times New Roman" w:eastAsia="仿宋_GB2312" w:cs="方正仿宋_GBK"/>
          <w:b w:val="0"/>
          <w:bCs w:val="0"/>
          <w:spacing w:val="0"/>
          <w:kern w:val="2"/>
          <w:highlight w:val="none"/>
        </w:rPr>
        <w:t>力争粮食播种面积稳定在1700万亩以上，粮食</w:t>
      </w:r>
      <w:r>
        <w:rPr>
          <w:rFonts w:hint="eastAsia" w:ascii="Times New Roman" w:hAnsi="Times New Roman" w:eastAsia="仿宋_GB2312" w:cs="方正仿宋_GBK"/>
          <w:b w:val="0"/>
          <w:bCs w:val="0"/>
          <w:spacing w:val="0"/>
          <w:kern w:val="2"/>
          <w:highlight w:val="none"/>
          <w:lang w:val="en-US" w:eastAsia="zh-CN"/>
        </w:rPr>
        <w:t>生产能力</w:t>
      </w:r>
      <w:r>
        <w:rPr>
          <w:rFonts w:hint="eastAsia" w:ascii="Times New Roman" w:hAnsi="Times New Roman" w:eastAsia="仿宋_GB2312" w:cs="方正仿宋_GBK"/>
          <w:b w:val="0"/>
          <w:bCs w:val="0"/>
          <w:spacing w:val="0"/>
          <w:kern w:val="2"/>
          <w:highlight w:val="none"/>
        </w:rPr>
        <w:t>突破1</w:t>
      </w:r>
      <w:r>
        <w:rPr>
          <w:rFonts w:hint="eastAsia" w:eastAsia="仿宋_GB2312" w:cs="方正仿宋_GBK"/>
          <w:b w:val="0"/>
          <w:bCs w:val="0"/>
          <w:spacing w:val="0"/>
          <w:kern w:val="2"/>
          <w:highlight w:val="none"/>
          <w:lang w:val="en-US" w:eastAsia="zh-CN"/>
        </w:rPr>
        <w:t>5</w:t>
      </w:r>
      <w:r>
        <w:rPr>
          <w:rFonts w:hint="eastAsia" w:ascii="Times New Roman" w:hAnsi="Times New Roman" w:eastAsia="仿宋_GB2312" w:cs="方正仿宋_GBK"/>
          <w:b w:val="0"/>
          <w:bCs w:val="0"/>
          <w:spacing w:val="0"/>
          <w:kern w:val="2"/>
          <w:highlight w:val="none"/>
        </w:rPr>
        <w:t>0亿斤。</w:t>
      </w:r>
      <w:r>
        <w:rPr>
          <w:rFonts w:hint="eastAsia" w:ascii="Times New Roman" w:hAnsi="Times New Roman" w:eastAsia="仿宋_GB2312" w:cs="方正仿宋_GBK"/>
          <w:b w:val="0"/>
          <w:bCs w:val="0"/>
          <w:spacing w:val="0"/>
          <w:kern w:val="2"/>
          <w:highlight w:val="none"/>
          <w:lang w:val="en-US" w:eastAsia="zh-CN"/>
        </w:rPr>
        <w:t>强化耕地保护，全面落实耕地保护党政同责，压实地方党委和政府耕地保护主体责任，严格开展耕地保护和粮食安全责任制考核。加强耕地用途管制，落实耕地占补平衡改革政策</w:t>
      </w:r>
      <w:r>
        <w:rPr>
          <w:rFonts w:hint="eastAsia" w:eastAsia="仿宋_GB2312" w:cs="方正仿宋_GBK"/>
          <w:b w:val="0"/>
          <w:bCs w:val="0"/>
          <w:spacing w:val="0"/>
          <w:kern w:val="2"/>
          <w:highlight w:val="none"/>
          <w:lang w:val="en-US" w:eastAsia="zh-CN"/>
        </w:rPr>
        <w:t>，</w:t>
      </w:r>
      <w:r>
        <w:rPr>
          <w:rFonts w:hint="eastAsia" w:ascii="Times New Roman" w:hAnsi="Times New Roman" w:eastAsia="仿宋_GB2312" w:cs="方正仿宋_GBK"/>
          <w:b w:val="0"/>
          <w:bCs w:val="0"/>
          <w:spacing w:val="0"/>
          <w:kern w:val="2"/>
          <w:highlight w:val="none"/>
          <w:lang w:val="en-US" w:eastAsia="zh-CN"/>
        </w:rPr>
        <w:t>坚决遏制耕地“非农化”，防止永久基本农田“非粮化”。</w:t>
      </w:r>
      <w:r>
        <w:rPr>
          <w:rFonts w:hint="eastAsia" w:ascii="Times New Roman" w:hAnsi="Times New Roman" w:eastAsia="仿宋_GB2312" w:cs="方正仿宋_GBK"/>
          <w:b w:val="0"/>
          <w:bCs w:val="0"/>
          <w:szCs w:val="36"/>
          <w:highlight w:val="none"/>
          <w:lang w:val="en" w:eastAsia="zh-CN"/>
        </w:rPr>
        <w:t>持续开展盐碱耕地治理改良，综合农艺、化学、生物</w:t>
      </w:r>
      <w:r>
        <w:rPr>
          <w:rFonts w:hint="eastAsia" w:eastAsia="仿宋_GB2312" w:cs="方正仿宋_GBK"/>
          <w:b w:val="0"/>
          <w:bCs w:val="0"/>
          <w:szCs w:val="36"/>
          <w:highlight w:val="none"/>
          <w:lang w:val="en-US" w:eastAsia="zh-CN"/>
        </w:rPr>
        <w:t>等</w:t>
      </w:r>
      <w:r>
        <w:rPr>
          <w:rFonts w:hint="eastAsia" w:ascii="Times New Roman" w:hAnsi="Times New Roman" w:eastAsia="仿宋_GB2312" w:cs="方正仿宋_GBK"/>
          <w:b w:val="0"/>
          <w:bCs w:val="0"/>
          <w:szCs w:val="36"/>
          <w:highlight w:val="none"/>
          <w:lang w:val="en" w:eastAsia="zh-CN"/>
        </w:rPr>
        <w:t>措施分区分类改造提升盐碱耕地。</w:t>
      </w:r>
      <w:r>
        <w:rPr>
          <w:rFonts w:hint="eastAsia" w:ascii="Times New Roman" w:hAnsi="Times New Roman" w:eastAsia="仿宋_GB2312" w:cs="方正仿宋_GBK"/>
          <w:b w:val="0"/>
          <w:bCs w:val="0"/>
          <w:szCs w:val="36"/>
          <w:highlight w:val="none"/>
          <w:lang w:val="en-US" w:eastAsia="zh-CN"/>
        </w:rPr>
        <w:t>继续实施东北黑土地保护性耕作推进行动，开展基地和监测点建设。</w:t>
      </w:r>
      <w:r>
        <w:rPr>
          <w:rFonts w:hint="eastAsia" w:ascii="Times New Roman" w:hAnsi="Times New Roman" w:eastAsia="仿宋_GB2312" w:cs="方正仿宋_GBK"/>
          <w:b w:val="0"/>
          <w:bCs w:val="0"/>
          <w:spacing w:val="0"/>
          <w:kern w:val="2"/>
          <w:highlight w:val="none"/>
        </w:rPr>
        <w:t>加快推进高标准农田建设，确保将</w:t>
      </w:r>
      <w:r>
        <w:rPr>
          <w:rFonts w:hint="eastAsia" w:ascii="Times New Roman" w:hAnsi="Times New Roman" w:eastAsia="仿宋_GB2312" w:cs="方正仿宋_GBK"/>
          <w:b w:val="0"/>
          <w:bCs w:val="0"/>
          <w:spacing w:val="0"/>
          <w:kern w:val="2"/>
          <w:highlight w:val="none"/>
          <w:lang w:eastAsia="zh-CN"/>
        </w:rPr>
        <w:t>具备条件的</w:t>
      </w:r>
      <w:r>
        <w:rPr>
          <w:rFonts w:hint="eastAsia" w:ascii="Times New Roman" w:hAnsi="Times New Roman" w:eastAsia="仿宋_GB2312" w:cs="方正仿宋_GBK"/>
          <w:b w:val="0"/>
          <w:bCs w:val="0"/>
          <w:spacing w:val="0"/>
          <w:kern w:val="2"/>
          <w:highlight w:val="none"/>
        </w:rPr>
        <w:t>永久基本农田全部建成高标准农田，</w:t>
      </w:r>
      <w:r>
        <w:rPr>
          <w:rFonts w:hint="eastAsia" w:eastAsia="仿宋_GB2312" w:cs="方正仿宋_GBK"/>
          <w:b w:val="0"/>
          <w:bCs w:val="0"/>
          <w:spacing w:val="0"/>
          <w:kern w:val="2"/>
          <w:highlight w:val="none"/>
          <w:lang w:val="en-US" w:eastAsia="zh-CN"/>
        </w:rPr>
        <w:t>到2030年，累计</w:t>
      </w:r>
      <w:r>
        <w:rPr>
          <w:rFonts w:hint="eastAsia" w:ascii="Times New Roman" w:hAnsi="Times New Roman" w:eastAsia="仿宋_GB2312" w:cs="方正仿宋_GBK"/>
          <w:b w:val="0"/>
          <w:bCs w:val="0"/>
          <w:spacing w:val="0"/>
          <w:kern w:val="2"/>
          <w:highlight w:val="none"/>
        </w:rPr>
        <w:t>新建和改造提升高标准农田1</w:t>
      </w:r>
      <w:r>
        <w:rPr>
          <w:rFonts w:hint="eastAsia" w:ascii="Times New Roman" w:hAnsi="Times New Roman" w:eastAsia="仿宋_GB2312" w:cs="方正仿宋_GBK"/>
          <w:b w:val="0"/>
          <w:bCs w:val="0"/>
          <w:spacing w:val="0"/>
          <w:kern w:val="2"/>
          <w:highlight w:val="none"/>
          <w:lang w:val="en-US" w:eastAsia="zh-CN"/>
        </w:rPr>
        <w:t>2</w:t>
      </w:r>
      <w:r>
        <w:rPr>
          <w:rFonts w:hint="eastAsia" w:ascii="Times New Roman" w:hAnsi="Times New Roman" w:eastAsia="仿宋_GB2312" w:cs="方正仿宋_GBK"/>
          <w:b w:val="0"/>
          <w:bCs w:val="0"/>
          <w:spacing w:val="0"/>
          <w:kern w:val="2"/>
          <w:highlight w:val="none"/>
        </w:rPr>
        <w:t>00万亩以上。</w:t>
      </w:r>
      <w:r>
        <w:rPr>
          <w:rFonts w:hint="eastAsia" w:eastAsia="仿宋_GB2312" w:cs="方正仿宋_GBK"/>
          <w:b w:val="0"/>
          <w:bCs w:val="0"/>
          <w:spacing w:val="0"/>
          <w:kern w:val="2"/>
          <w:highlight w:val="none"/>
          <w:lang w:val="en-US" w:eastAsia="zh-CN"/>
        </w:rPr>
        <w:t>加强农业防灾减灾能力建设。推进粮食全链条节约减损。</w:t>
      </w:r>
    </w:p>
    <w:p w14:paraId="067CEA38">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spacing w:val="0"/>
          <w:kern w:val="2"/>
          <w:highlight w:val="none"/>
          <w:lang w:val="en-US" w:eastAsia="zh-CN"/>
        </w:rPr>
      </w:pPr>
      <w:bookmarkStart w:id="392" w:name="_Toc9531"/>
      <w:r>
        <w:rPr>
          <w:rFonts w:hint="eastAsia" w:ascii="Times New Roman" w:hAnsi="Times New Roman" w:eastAsia="仿宋_GB2312" w:cs="方正仿宋_GBK"/>
          <w:b w:val="0"/>
          <w:bCs w:val="0"/>
          <w:color w:val="auto"/>
          <w:spacing w:val="0"/>
          <w:kern w:val="2"/>
          <w:highlight w:val="none"/>
          <w:lang w:eastAsia="zh-CN"/>
        </w:rPr>
        <w:t>加快设施农业提档升级</w:t>
      </w:r>
      <w:bookmarkEnd w:id="392"/>
      <w:r>
        <w:rPr>
          <w:rFonts w:hint="eastAsia"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lang w:val="en-US" w:eastAsia="zh-CN"/>
        </w:rPr>
        <w:t>以建设</w:t>
      </w:r>
      <w:r>
        <w:rPr>
          <w:rFonts w:hint="eastAsia" w:ascii="Times New Roman" w:hAnsi="Times New Roman" w:eastAsia="仿宋_GB2312" w:cs="方正仿宋_GBK"/>
          <w:b w:val="0"/>
          <w:bCs w:val="0"/>
          <w:sz w:val="32"/>
          <w:szCs w:val="32"/>
          <w:highlight w:val="none"/>
          <w:lang w:eastAsia="zh-CN"/>
        </w:rPr>
        <w:t>国家现代设施农业强市</w:t>
      </w:r>
      <w:r>
        <w:rPr>
          <w:rFonts w:hint="eastAsia" w:ascii="Times New Roman" w:hAnsi="Times New Roman" w:eastAsia="仿宋_GB2312" w:cs="方正仿宋_GBK"/>
          <w:b w:val="0"/>
          <w:bCs w:val="0"/>
          <w:sz w:val="32"/>
          <w:szCs w:val="32"/>
          <w:highlight w:val="none"/>
          <w:lang w:val="en-US" w:eastAsia="zh-CN"/>
        </w:rPr>
        <w:t>为目标</w:t>
      </w:r>
      <w:r>
        <w:rPr>
          <w:rFonts w:hint="eastAsia" w:ascii="Times New Roman" w:hAnsi="Times New Roman" w:eastAsia="仿宋_GB2312" w:cs="方正仿宋_GBK"/>
          <w:b w:val="0"/>
          <w:bCs w:val="0"/>
          <w:sz w:val="32"/>
          <w:szCs w:val="32"/>
          <w:highlight w:val="none"/>
          <w:lang w:eastAsia="zh-CN"/>
        </w:rPr>
        <w:t>，</w:t>
      </w:r>
      <w:r>
        <w:rPr>
          <w:rFonts w:hint="eastAsia" w:ascii="Times New Roman" w:hAnsi="Times New Roman" w:eastAsia="仿宋_GB2312" w:cs="方正仿宋_GBK"/>
          <w:b w:val="0"/>
          <w:bCs w:val="0"/>
          <w:spacing w:val="0"/>
          <w:kern w:val="2"/>
          <w:highlight w:val="none"/>
          <w:lang w:eastAsia="zh-CN"/>
        </w:rPr>
        <w:t>以宁城县、松山区、喀喇沁旗、元宝山区等为核心区，</w:t>
      </w:r>
      <w:r>
        <w:rPr>
          <w:rFonts w:hint="eastAsia" w:ascii="Times New Roman" w:hAnsi="Times New Roman" w:eastAsia="仿宋_GB2312" w:cs="方正仿宋_GBK"/>
          <w:b w:val="0"/>
          <w:bCs w:val="0"/>
          <w:spacing w:val="0"/>
          <w:kern w:val="2"/>
          <w:highlight w:val="none"/>
        </w:rPr>
        <w:t>扎实推进设施农业现代化提升行动</w:t>
      </w:r>
      <w:r>
        <w:rPr>
          <w:rFonts w:hint="eastAsia" w:ascii="Times New Roman" w:hAnsi="Times New Roman" w:eastAsia="仿宋_GB2312" w:cs="方正仿宋_GBK"/>
          <w:b w:val="0"/>
          <w:bCs w:val="0"/>
          <w:spacing w:val="0"/>
          <w:kern w:val="2"/>
          <w:highlight w:val="none"/>
          <w:lang w:val="en-US" w:eastAsia="zh-CN"/>
        </w:rPr>
        <w:t>，推进设施农业标准化、数字化改造升级</w:t>
      </w:r>
      <w:r>
        <w:rPr>
          <w:rFonts w:hint="eastAsia" w:ascii="Times New Roman" w:hAnsi="Times New Roman" w:eastAsia="仿宋_GB2312" w:cs="方正仿宋_GBK"/>
          <w:b w:val="0"/>
          <w:bCs w:val="0"/>
          <w:spacing w:val="0"/>
          <w:kern w:val="2"/>
          <w:highlight w:val="none"/>
        </w:rPr>
        <w:t>，促进设施农业高质量绿色发展。</w:t>
      </w:r>
      <w:r>
        <w:rPr>
          <w:rFonts w:hint="eastAsia" w:ascii="Times New Roman" w:hAnsi="Times New Roman" w:eastAsia="仿宋_GB2312" w:cs="方正仿宋_GBK"/>
          <w:b w:val="0"/>
          <w:bCs w:val="0"/>
          <w:spacing w:val="0"/>
          <w:kern w:val="2"/>
          <w:highlight w:val="none"/>
          <w:lang w:val="en-US" w:eastAsia="zh-CN"/>
        </w:rPr>
        <w:t>推动老旧棚室更新改造，重点建设一批现代设施农业科技园区、智慧农业产业园区和现代智慧零碳农业园区</w:t>
      </w:r>
      <w:r>
        <w:rPr>
          <w:rFonts w:hint="eastAsia" w:eastAsia="仿宋_GB2312" w:cs="方正仿宋_GBK"/>
          <w:b w:val="0"/>
          <w:bCs w:val="0"/>
          <w:spacing w:val="0"/>
          <w:kern w:val="2"/>
          <w:highlight w:val="none"/>
          <w:lang w:val="en-US" w:eastAsia="zh-CN"/>
        </w:rPr>
        <w:t>，带动全市设施农业提档升级。</w:t>
      </w:r>
      <w:r>
        <w:rPr>
          <w:rFonts w:hint="eastAsia" w:ascii="Times New Roman" w:hAnsi="Times New Roman" w:eastAsia="仿宋_GB2312" w:cs="方正仿宋_GBK"/>
          <w:b w:val="0"/>
          <w:bCs w:val="0"/>
          <w:spacing w:val="0"/>
          <w:kern w:val="2"/>
          <w:highlight w:val="none"/>
          <w:lang w:val="en-US" w:eastAsia="zh-CN"/>
        </w:rPr>
        <w:t>扩大设施农业育苗中心建设规模，推动</w:t>
      </w:r>
      <w:r>
        <w:rPr>
          <w:rFonts w:hint="eastAsia" w:eastAsia="仿宋_GB2312" w:cs="方正仿宋_GBK"/>
          <w:b w:val="0"/>
          <w:bCs w:val="0"/>
          <w:spacing w:val="0"/>
          <w:kern w:val="2"/>
          <w:highlight w:val="none"/>
          <w:lang w:val="en-US" w:eastAsia="zh-CN"/>
        </w:rPr>
        <w:t>建设</w:t>
      </w:r>
      <w:r>
        <w:rPr>
          <w:rFonts w:hint="eastAsia" w:ascii="Times New Roman" w:hAnsi="Times New Roman" w:eastAsia="仿宋_GB2312" w:cs="方正仿宋_GBK"/>
          <w:b w:val="0"/>
          <w:bCs w:val="0"/>
          <w:spacing w:val="0"/>
          <w:kern w:val="2"/>
          <w:highlight w:val="none"/>
          <w:lang w:val="en-US" w:eastAsia="zh-CN"/>
        </w:rPr>
        <w:t>优良品种研、育、繁、推一体化的蔬菜集约化育苗中心，带动中小型育苗企业发展。</w:t>
      </w:r>
      <w:r>
        <w:rPr>
          <w:rFonts w:hint="eastAsia" w:ascii="Times New Roman" w:hAnsi="Times New Roman" w:eastAsia="仿宋_GB2312" w:cs="方正仿宋_GBK"/>
          <w:b w:val="0"/>
          <w:bCs w:val="0"/>
          <w:spacing w:val="0"/>
          <w:kern w:val="2"/>
          <w:highlight w:val="none"/>
        </w:rPr>
        <w:t>到2030年，</w:t>
      </w:r>
      <w:r>
        <w:rPr>
          <w:rFonts w:hint="eastAsia" w:ascii="Times New Roman" w:hAnsi="Times New Roman" w:eastAsia="仿宋_GB2312" w:cs="方正仿宋_GBK"/>
          <w:b w:val="0"/>
          <w:bCs w:val="0"/>
          <w:spacing w:val="0"/>
          <w:kern w:val="2"/>
          <w:highlight w:val="none"/>
          <w:lang w:val="en-US" w:eastAsia="zh-CN"/>
        </w:rPr>
        <w:t>力争</w:t>
      </w:r>
      <w:r>
        <w:rPr>
          <w:rFonts w:hint="eastAsia" w:ascii="Times New Roman" w:hAnsi="Times New Roman" w:eastAsia="仿宋_GB2312" w:cs="方正仿宋_GBK"/>
          <w:b w:val="0"/>
          <w:bCs w:val="0"/>
          <w:spacing w:val="0"/>
          <w:kern w:val="2"/>
          <w:highlight w:val="none"/>
        </w:rPr>
        <w:t>设施农业面积</w:t>
      </w:r>
      <w:r>
        <w:rPr>
          <w:rFonts w:hint="eastAsia" w:eastAsia="仿宋_GB2312" w:cs="方正仿宋_GBK"/>
          <w:b w:val="0"/>
          <w:bCs w:val="0"/>
          <w:spacing w:val="0"/>
          <w:kern w:val="2"/>
          <w:highlight w:val="none"/>
          <w:lang w:val="en-US" w:eastAsia="zh-CN"/>
        </w:rPr>
        <w:t>稳定在</w:t>
      </w:r>
      <w:r>
        <w:rPr>
          <w:rFonts w:hint="eastAsia" w:ascii="Times New Roman" w:hAnsi="Times New Roman" w:eastAsia="仿宋_GB2312" w:cs="方正仿宋_GBK"/>
          <w:b w:val="0"/>
          <w:bCs w:val="0"/>
          <w:spacing w:val="0"/>
          <w:kern w:val="2"/>
          <w:highlight w:val="none"/>
        </w:rPr>
        <w:t>2</w:t>
      </w:r>
      <w:r>
        <w:rPr>
          <w:rFonts w:hint="eastAsia" w:eastAsia="仿宋_GB2312" w:cs="方正仿宋_GBK"/>
          <w:b w:val="0"/>
          <w:bCs w:val="0"/>
          <w:spacing w:val="0"/>
          <w:kern w:val="2"/>
          <w:highlight w:val="none"/>
          <w:lang w:val="en-US" w:eastAsia="zh-CN"/>
        </w:rPr>
        <w:t>00</w:t>
      </w:r>
      <w:r>
        <w:rPr>
          <w:rFonts w:hint="eastAsia" w:ascii="Times New Roman" w:hAnsi="Times New Roman" w:eastAsia="仿宋_GB2312" w:cs="方正仿宋_GBK"/>
          <w:b w:val="0"/>
          <w:bCs w:val="0"/>
          <w:spacing w:val="0"/>
          <w:kern w:val="2"/>
          <w:highlight w:val="none"/>
        </w:rPr>
        <w:t>万亩</w:t>
      </w:r>
      <w:r>
        <w:rPr>
          <w:rFonts w:hint="eastAsia" w:eastAsia="仿宋_GB2312" w:cs="方正仿宋_GBK"/>
          <w:b w:val="0"/>
          <w:bCs w:val="0"/>
          <w:spacing w:val="0"/>
          <w:kern w:val="2"/>
          <w:highlight w:val="none"/>
          <w:lang w:val="en-US" w:eastAsia="zh-CN"/>
        </w:rPr>
        <w:t>以上</w:t>
      </w:r>
      <w:r>
        <w:rPr>
          <w:rFonts w:hint="eastAsia" w:ascii="Times New Roman" w:hAnsi="Times New Roman" w:eastAsia="仿宋_GB2312" w:cs="方正仿宋_GBK"/>
          <w:b w:val="0"/>
          <w:bCs w:val="0"/>
          <w:spacing w:val="0"/>
          <w:kern w:val="2"/>
          <w:highlight w:val="none"/>
          <w:lang w:eastAsia="zh-CN"/>
        </w:rPr>
        <w:t>，设施</w:t>
      </w:r>
      <w:r>
        <w:rPr>
          <w:rFonts w:hint="eastAsia" w:eastAsia="仿宋_GB2312" w:cs="方正仿宋_GBK"/>
          <w:b w:val="0"/>
          <w:bCs w:val="0"/>
          <w:spacing w:val="0"/>
          <w:kern w:val="2"/>
          <w:highlight w:val="none"/>
          <w:lang w:val="en-US" w:eastAsia="zh-CN"/>
        </w:rPr>
        <w:t>农产品</w:t>
      </w:r>
      <w:r>
        <w:rPr>
          <w:rFonts w:hint="eastAsia" w:ascii="Times New Roman" w:hAnsi="Times New Roman" w:eastAsia="仿宋_GB2312" w:cs="方正仿宋_GBK"/>
          <w:b w:val="0"/>
          <w:bCs w:val="0"/>
          <w:spacing w:val="0"/>
          <w:kern w:val="2"/>
          <w:highlight w:val="none"/>
          <w:lang w:eastAsia="zh-CN"/>
        </w:rPr>
        <w:t>产量</w:t>
      </w:r>
      <w:r>
        <w:rPr>
          <w:rFonts w:hint="eastAsia" w:eastAsia="仿宋_GB2312" w:cs="方正仿宋_GBK"/>
          <w:b w:val="0"/>
          <w:bCs w:val="0"/>
          <w:spacing w:val="0"/>
          <w:kern w:val="2"/>
          <w:highlight w:val="none"/>
          <w:lang w:val="en-US" w:eastAsia="zh-CN"/>
        </w:rPr>
        <w:t>达到560</w:t>
      </w:r>
      <w:r>
        <w:rPr>
          <w:rFonts w:hint="eastAsia" w:ascii="Times New Roman" w:hAnsi="Times New Roman" w:eastAsia="仿宋_GB2312" w:cs="方正仿宋_GBK"/>
          <w:b w:val="0"/>
          <w:bCs w:val="0"/>
          <w:spacing w:val="0"/>
          <w:kern w:val="2"/>
          <w:highlight w:val="none"/>
          <w:lang w:val="en-US" w:eastAsia="zh-CN"/>
        </w:rPr>
        <w:t>万</w:t>
      </w:r>
      <w:r>
        <w:rPr>
          <w:rFonts w:hint="eastAsia" w:ascii="Times New Roman" w:hAnsi="Times New Roman" w:eastAsia="仿宋_GB2312" w:cs="方正仿宋_GBK"/>
          <w:b w:val="0"/>
          <w:bCs w:val="0"/>
          <w:spacing w:val="0"/>
          <w:kern w:val="2"/>
          <w:highlight w:val="none"/>
          <w:lang w:eastAsia="zh-CN"/>
        </w:rPr>
        <w:t>吨</w:t>
      </w:r>
      <w:r>
        <w:rPr>
          <w:rFonts w:hint="eastAsia" w:ascii="Times New Roman" w:hAnsi="Times New Roman" w:eastAsia="仿宋_GB2312" w:cs="方正仿宋_GBK"/>
          <w:b w:val="0"/>
          <w:bCs w:val="0"/>
          <w:spacing w:val="0"/>
          <w:kern w:val="2"/>
          <w:highlight w:val="none"/>
          <w:lang w:val="en-US" w:eastAsia="zh-CN"/>
        </w:rPr>
        <w:t>。</w:t>
      </w:r>
    </w:p>
    <w:p w14:paraId="7F6DD2D6">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b w:val="0"/>
          <w:bCs w:val="0"/>
          <w:highlight w:val="none"/>
          <w:lang w:eastAsia="zh-CN"/>
        </w:rPr>
      </w:pPr>
      <w:bookmarkStart w:id="393" w:name="_Toc482"/>
      <w:r>
        <w:rPr>
          <w:rFonts w:hint="eastAsia" w:ascii="Times New Roman" w:hAnsi="Times New Roman" w:eastAsia="仿宋_GB2312" w:cs="方正仿宋_GBK"/>
          <w:b w:val="0"/>
          <w:bCs w:val="0"/>
          <w:color w:val="auto"/>
          <w:spacing w:val="0"/>
          <w:kern w:val="2"/>
          <w:highlight w:val="none"/>
          <w:lang w:eastAsia="zh-CN"/>
        </w:rPr>
        <w:t>推动畜牧业提质增效</w:t>
      </w:r>
      <w:bookmarkEnd w:id="393"/>
      <w:r>
        <w:rPr>
          <w:rFonts w:hint="eastAsia"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lang w:val="en-US" w:eastAsia="zh-CN"/>
        </w:rPr>
        <w:t>以建设</w:t>
      </w:r>
      <w:r>
        <w:rPr>
          <w:rFonts w:hint="eastAsia" w:ascii="Times New Roman" w:hAnsi="Times New Roman" w:eastAsia="仿宋_GB2312" w:cs="方正仿宋_GBK"/>
          <w:b w:val="0"/>
          <w:bCs w:val="0"/>
          <w:spacing w:val="0"/>
          <w:kern w:val="2"/>
          <w:highlight w:val="none"/>
          <w:lang w:eastAsia="zh-CN"/>
        </w:rPr>
        <w:t>全国优质农畜产品供应基地</w:t>
      </w:r>
      <w:r>
        <w:rPr>
          <w:rFonts w:hint="eastAsia" w:ascii="Times New Roman" w:hAnsi="Times New Roman" w:eastAsia="仿宋_GB2312" w:cs="方正仿宋_GBK"/>
          <w:b w:val="0"/>
          <w:bCs w:val="0"/>
          <w:spacing w:val="0"/>
          <w:kern w:val="2"/>
          <w:highlight w:val="none"/>
          <w:lang w:val="en-US" w:eastAsia="zh-CN"/>
        </w:rPr>
        <w:t>为目标，</w:t>
      </w:r>
      <w:r>
        <w:rPr>
          <w:rFonts w:hint="eastAsia" w:ascii="Times New Roman" w:hAnsi="Times New Roman" w:eastAsia="仿宋_GB2312" w:cs="方正仿宋_GBK"/>
          <w:b w:val="0"/>
          <w:bCs w:val="0"/>
          <w:spacing w:val="0"/>
          <w:kern w:val="2"/>
          <w:highlight w:val="none"/>
        </w:rPr>
        <w:t>着力提升畜产品供给保障能力</w:t>
      </w:r>
      <w:r>
        <w:rPr>
          <w:rFonts w:hint="eastAsia" w:ascii="Times New Roman" w:hAnsi="Times New Roman"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lang w:val="en-US" w:eastAsia="zh-CN"/>
        </w:rPr>
        <w:t>推动肉牛肉羊扩群提质，扩大肉牛冷配范围，提升肉牛品种质量</w:t>
      </w:r>
      <w:r>
        <w:rPr>
          <w:rFonts w:hint="eastAsia" w:eastAsia="仿宋_GB2312" w:cs="方正仿宋_GBK"/>
          <w:b w:val="0"/>
          <w:bCs w:val="0"/>
          <w:spacing w:val="0"/>
          <w:kern w:val="2"/>
          <w:highlight w:val="none"/>
          <w:lang w:val="en-US" w:eastAsia="zh-CN"/>
        </w:rPr>
        <w:t>，推广</w:t>
      </w:r>
      <w:r>
        <w:rPr>
          <w:rFonts w:hint="eastAsia" w:ascii="Times New Roman" w:hAnsi="Times New Roman" w:eastAsia="仿宋_GB2312" w:cs="方正仿宋_GBK"/>
          <w:b w:val="0"/>
          <w:bCs w:val="0"/>
          <w:spacing w:val="0"/>
          <w:kern w:val="2"/>
          <w:highlight w:val="none"/>
          <w:lang w:val="en-US" w:eastAsia="zh-CN"/>
        </w:rPr>
        <w:t>昭乌达肉羊、罕山白绒山羊</w:t>
      </w:r>
      <w:r>
        <w:rPr>
          <w:rFonts w:hint="eastAsia" w:eastAsia="仿宋_GB2312" w:cs="方正仿宋_GBK"/>
          <w:b w:val="0"/>
          <w:bCs w:val="0"/>
          <w:spacing w:val="0"/>
          <w:kern w:val="2"/>
          <w:highlight w:val="none"/>
          <w:lang w:val="en-US" w:eastAsia="zh-CN"/>
        </w:rPr>
        <w:t>等优势</w:t>
      </w:r>
      <w:r>
        <w:rPr>
          <w:rFonts w:hint="eastAsia" w:ascii="Times New Roman" w:hAnsi="Times New Roman" w:eastAsia="仿宋_GB2312" w:cs="方正仿宋_GBK"/>
          <w:b w:val="0"/>
          <w:bCs w:val="0"/>
          <w:spacing w:val="0"/>
          <w:kern w:val="2"/>
          <w:highlight w:val="none"/>
          <w:lang w:val="en-US" w:eastAsia="zh-CN"/>
        </w:rPr>
        <w:t>品种，建立高质量种羊繁育基地</w:t>
      </w:r>
      <w:r>
        <w:rPr>
          <w:rFonts w:hint="eastAsia" w:ascii="Times New Roman" w:hAnsi="Times New Roman" w:eastAsia="仿宋_GB2312" w:cs="方正仿宋_GBK"/>
          <w:b w:val="0"/>
          <w:bCs w:val="0"/>
          <w:spacing w:val="0"/>
          <w:kern w:val="2"/>
          <w:highlight w:val="none"/>
          <w:lang w:eastAsia="zh-CN"/>
        </w:rPr>
        <w:t>，发挥杂交改良优势，提高产品质效。实施</w:t>
      </w:r>
      <w:r>
        <w:rPr>
          <w:rFonts w:hint="eastAsia" w:eastAsia="仿宋_GB2312" w:cs="方正仿宋_GBK"/>
          <w:b w:val="0"/>
          <w:bCs w:val="0"/>
          <w:spacing w:val="0"/>
          <w:kern w:val="2"/>
          <w:highlight w:val="none"/>
          <w:lang w:val="en-US" w:eastAsia="zh-CN"/>
        </w:rPr>
        <w:t>肉牛肉羊</w:t>
      </w:r>
      <w:r>
        <w:rPr>
          <w:rFonts w:hint="eastAsia" w:ascii="Times New Roman" w:hAnsi="Times New Roman" w:eastAsia="仿宋_GB2312" w:cs="方正仿宋_GBK"/>
          <w:b w:val="0"/>
          <w:bCs w:val="0"/>
          <w:spacing w:val="0"/>
          <w:kern w:val="2"/>
          <w:highlight w:val="none"/>
          <w:lang w:eastAsia="zh-CN"/>
        </w:rPr>
        <w:t>育肥行动，</w:t>
      </w:r>
      <w:r>
        <w:rPr>
          <w:rFonts w:hint="eastAsia" w:ascii="Times New Roman" w:hAnsi="Times New Roman" w:eastAsia="仿宋_GB2312" w:cs="方正仿宋_GBK"/>
          <w:b w:val="0"/>
          <w:bCs w:val="0"/>
          <w:spacing w:val="0"/>
          <w:kern w:val="2"/>
          <w:highlight w:val="none"/>
          <w:lang w:val="en-US" w:eastAsia="zh-CN"/>
        </w:rPr>
        <w:t>建设</w:t>
      </w:r>
      <w:r>
        <w:rPr>
          <w:rFonts w:hint="eastAsia" w:eastAsia="仿宋_GB2312" w:cs="方正仿宋_GBK"/>
          <w:b w:val="0"/>
          <w:bCs w:val="0"/>
          <w:spacing w:val="0"/>
          <w:kern w:val="2"/>
          <w:highlight w:val="none"/>
          <w:lang w:val="en-US" w:eastAsia="zh-CN"/>
        </w:rPr>
        <w:t>一批</w:t>
      </w:r>
      <w:r>
        <w:rPr>
          <w:rFonts w:hint="eastAsia" w:ascii="Times New Roman" w:hAnsi="Times New Roman" w:eastAsia="仿宋_GB2312" w:cs="方正仿宋_GBK"/>
          <w:b w:val="0"/>
          <w:bCs w:val="0"/>
          <w:spacing w:val="0"/>
          <w:kern w:val="2"/>
          <w:highlight w:val="none"/>
          <w:lang w:val="en-US" w:eastAsia="zh-CN"/>
        </w:rPr>
        <w:t>肉牛</w:t>
      </w:r>
      <w:r>
        <w:rPr>
          <w:rFonts w:hint="eastAsia" w:eastAsia="仿宋_GB2312" w:cs="方正仿宋_GBK"/>
          <w:b w:val="0"/>
          <w:bCs w:val="0"/>
          <w:spacing w:val="0"/>
          <w:kern w:val="2"/>
          <w:highlight w:val="none"/>
          <w:lang w:val="en-US" w:eastAsia="zh-CN"/>
        </w:rPr>
        <w:t>肉羊</w:t>
      </w:r>
      <w:r>
        <w:rPr>
          <w:rFonts w:hint="eastAsia" w:ascii="Times New Roman" w:hAnsi="Times New Roman" w:eastAsia="仿宋_GB2312" w:cs="方正仿宋_GBK"/>
          <w:b w:val="0"/>
          <w:bCs w:val="0"/>
          <w:spacing w:val="0"/>
          <w:kern w:val="2"/>
          <w:highlight w:val="none"/>
          <w:lang w:val="en-US" w:eastAsia="zh-CN"/>
        </w:rPr>
        <w:t>标准化育肥园区，</w:t>
      </w:r>
      <w:r>
        <w:rPr>
          <w:rFonts w:hint="eastAsia" w:ascii="Times New Roman" w:hAnsi="Times New Roman" w:eastAsia="仿宋_GB2312" w:cs="方正仿宋_GBK"/>
          <w:b w:val="0"/>
          <w:bCs w:val="0"/>
          <w:spacing w:val="0"/>
          <w:kern w:val="2"/>
          <w:highlight w:val="none"/>
          <w:lang w:eastAsia="zh-CN"/>
        </w:rPr>
        <w:t>打造“</w:t>
      </w:r>
      <w:r>
        <w:rPr>
          <w:rFonts w:hint="eastAsia" w:eastAsia="仿宋_GB2312" w:cs="方正仿宋_GBK"/>
          <w:b w:val="0"/>
          <w:bCs w:val="0"/>
          <w:spacing w:val="0"/>
          <w:kern w:val="2"/>
          <w:highlight w:val="none"/>
          <w:lang w:val="en-US" w:eastAsia="zh-CN"/>
        </w:rPr>
        <w:t>优质肉牛肉羊生产强市</w:t>
      </w:r>
      <w:r>
        <w:rPr>
          <w:rFonts w:hint="eastAsia" w:ascii="Times New Roman" w:hAnsi="Times New Roman"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lang w:val="en-US" w:eastAsia="zh-CN"/>
        </w:rPr>
        <w:t>；鼓励优势产区肉牛屠宰加工企业不断延伸产业链条。稳定猪禽基础产能</w:t>
      </w:r>
      <w:r>
        <w:rPr>
          <w:rFonts w:hint="eastAsia" w:eastAsia="仿宋_GB2312" w:cs="方正仿宋_GBK"/>
          <w:b w:val="0"/>
          <w:bCs w:val="0"/>
          <w:spacing w:val="0"/>
          <w:kern w:val="2"/>
          <w:highlight w:val="none"/>
          <w:lang w:val="en-US" w:eastAsia="zh-CN"/>
        </w:rPr>
        <w:t>，</w:t>
      </w:r>
      <w:r>
        <w:rPr>
          <w:rFonts w:hint="eastAsia" w:ascii="Times New Roman" w:hAnsi="Times New Roman" w:eastAsia="仿宋_GB2312" w:cs="方正仿宋_GBK"/>
          <w:b w:val="0"/>
          <w:bCs w:val="0"/>
          <w:spacing w:val="0"/>
          <w:kern w:val="2"/>
          <w:highlight w:val="none"/>
          <w:lang w:val="en-US" w:eastAsia="zh-CN"/>
        </w:rPr>
        <w:t>建设</w:t>
      </w:r>
      <w:r>
        <w:rPr>
          <w:rFonts w:hint="eastAsia" w:eastAsia="仿宋_GB2312" w:cs="方正仿宋_GBK"/>
          <w:b w:val="0"/>
          <w:bCs w:val="0"/>
          <w:spacing w:val="0"/>
          <w:kern w:val="2"/>
          <w:highlight w:val="none"/>
          <w:lang w:val="en-US" w:eastAsia="zh-CN"/>
        </w:rPr>
        <w:t>高效</w:t>
      </w:r>
      <w:r>
        <w:rPr>
          <w:rFonts w:hint="eastAsia" w:ascii="Times New Roman" w:hAnsi="Times New Roman" w:eastAsia="仿宋_GB2312" w:cs="方正仿宋_GBK"/>
          <w:b w:val="0"/>
          <w:bCs w:val="0"/>
          <w:spacing w:val="0"/>
          <w:kern w:val="2"/>
          <w:highlight w:val="none"/>
          <w:lang w:val="en-US" w:eastAsia="zh-CN"/>
        </w:rPr>
        <w:t>猪禽养殖场，鼓励有条件的</w:t>
      </w:r>
      <w:r>
        <w:rPr>
          <w:rFonts w:hint="eastAsia" w:eastAsia="仿宋_GB2312" w:cs="方正仿宋_GBK"/>
          <w:b w:val="0"/>
          <w:bCs w:val="0"/>
          <w:spacing w:val="0"/>
          <w:kern w:val="2"/>
          <w:highlight w:val="none"/>
          <w:lang w:val="en-US" w:eastAsia="zh-CN"/>
        </w:rPr>
        <w:t>生产主体</w:t>
      </w:r>
      <w:r>
        <w:rPr>
          <w:rFonts w:hint="eastAsia" w:ascii="Times New Roman" w:hAnsi="Times New Roman" w:eastAsia="仿宋_GB2312" w:cs="方正仿宋_GBK"/>
          <w:b w:val="0"/>
          <w:bCs w:val="0"/>
          <w:spacing w:val="0"/>
          <w:kern w:val="2"/>
          <w:highlight w:val="none"/>
          <w:lang w:val="en-US" w:eastAsia="zh-CN"/>
        </w:rPr>
        <w:t>建设集母畜繁育、育成、出栏等各环节连续一体的生产</w:t>
      </w:r>
      <w:r>
        <w:rPr>
          <w:rFonts w:hint="eastAsia" w:eastAsia="仿宋_GB2312" w:cs="方正仿宋_GBK"/>
          <w:b w:val="0"/>
          <w:bCs w:val="0"/>
          <w:spacing w:val="0"/>
          <w:kern w:val="2"/>
          <w:highlight w:val="none"/>
          <w:lang w:val="en-US" w:eastAsia="zh-CN"/>
        </w:rPr>
        <w:t>体系</w:t>
      </w:r>
      <w:r>
        <w:rPr>
          <w:rFonts w:hint="eastAsia" w:ascii="Times New Roman" w:hAnsi="Times New Roman" w:eastAsia="仿宋_GB2312" w:cs="方正仿宋_GBK"/>
          <w:b w:val="0"/>
          <w:bCs w:val="0"/>
          <w:spacing w:val="0"/>
          <w:kern w:val="2"/>
          <w:highlight w:val="none"/>
          <w:lang w:val="en-US" w:eastAsia="zh-CN"/>
        </w:rPr>
        <w:t>，提高标准化、规模化、智能化水平</w:t>
      </w:r>
      <w:r>
        <w:rPr>
          <w:rFonts w:hint="eastAsia" w:eastAsia="仿宋_GB2312" w:cs="方正仿宋_GBK"/>
          <w:b w:val="0"/>
          <w:bCs w:val="0"/>
          <w:spacing w:val="0"/>
          <w:kern w:val="2"/>
          <w:highlight w:val="none"/>
          <w:lang w:val="en-US" w:eastAsia="zh-CN"/>
        </w:rPr>
        <w:t>，</w:t>
      </w:r>
      <w:r>
        <w:rPr>
          <w:rFonts w:hint="eastAsia" w:ascii="Times New Roman" w:hAnsi="Times New Roman" w:eastAsia="仿宋_GB2312" w:cs="方正仿宋_GBK"/>
          <w:b w:val="0"/>
          <w:bCs w:val="0"/>
          <w:spacing w:val="0"/>
          <w:kern w:val="2"/>
          <w:highlight w:val="none"/>
          <w:lang w:val="en-US" w:eastAsia="zh-CN"/>
        </w:rPr>
        <w:t>推进猪禽提档升级。</w:t>
      </w:r>
      <w:r>
        <w:rPr>
          <w:rFonts w:hint="eastAsia" w:ascii="Times New Roman" w:hAnsi="Times New Roman" w:eastAsia="仿宋_GB2312" w:cs="方正仿宋_GBK"/>
          <w:b w:val="0"/>
          <w:bCs w:val="0"/>
          <w:spacing w:val="0"/>
          <w:kern w:val="2"/>
          <w:highlight w:val="none"/>
          <w:lang w:eastAsia="zh-CN"/>
        </w:rPr>
        <w:t>推进舍饲圈养，</w:t>
      </w:r>
      <w:r>
        <w:rPr>
          <w:rFonts w:hint="eastAsia" w:eastAsia="仿宋_GB2312" w:cs="方正仿宋_GBK"/>
          <w:b w:val="0"/>
          <w:bCs w:val="0"/>
          <w:spacing w:val="0"/>
          <w:kern w:val="2"/>
          <w:highlight w:val="none"/>
          <w:lang w:val="en-US" w:eastAsia="zh-CN"/>
        </w:rPr>
        <w:t>发展</w:t>
      </w:r>
      <w:r>
        <w:rPr>
          <w:rFonts w:hint="eastAsia" w:ascii="Times New Roman" w:hAnsi="Times New Roman" w:eastAsia="仿宋_GB2312" w:cs="方正仿宋_GBK"/>
          <w:b w:val="0"/>
          <w:bCs w:val="0"/>
          <w:spacing w:val="0"/>
          <w:kern w:val="2"/>
          <w:highlight w:val="none"/>
          <w:lang w:eastAsia="zh-CN"/>
        </w:rPr>
        <w:t>节粮型畜牧业。</w:t>
      </w:r>
      <w:r>
        <w:rPr>
          <w:rFonts w:hint="eastAsia" w:eastAsia="仿宋_GB2312" w:cs="方正仿宋_GBK"/>
          <w:b w:val="0"/>
          <w:bCs w:val="0"/>
          <w:spacing w:val="0"/>
          <w:kern w:val="2"/>
          <w:highlight w:val="none"/>
          <w:lang w:val="en-US" w:eastAsia="zh-CN"/>
        </w:rPr>
        <w:t>深化奶业振兴行动。</w:t>
      </w:r>
      <w:r>
        <w:rPr>
          <w:rFonts w:hint="eastAsia" w:ascii="Times New Roman" w:hAnsi="Times New Roman" w:eastAsia="仿宋_GB2312" w:cs="方正仿宋_GBK"/>
          <w:b w:val="0"/>
          <w:bCs w:val="0"/>
          <w:spacing w:val="0"/>
          <w:kern w:val="2"/>
          <w:highlight w:val="none"/>
          <w:lang w:eastAsia="zh-CN"/>
        </w:rPr>
        <w:t>到20</w:t>
      </w:r>
      <w:r>
        <w:rPr>
          <w:rFonts w:hint="eastAsia" w:ascii="Times New Roman" w:hAnsi="Times New Roman" w:eastAsia="仿宋_GB2312" w:cs="方正仿宋_GBK"/>
          <w:b w:val="0"/>
          <w:bCs w:val="0"/>
          <w:spacing w:val="0"/>
          <w:kern w:val="2"/>
          <w:highlight w:val="none"/>
          <w:lang w:val="en-US" w:eastAsia="zh-CN"/>
        </w:rPr>
        <w:t>30</w:t>
      </w:r>
      <w:r>
        <w:rPr>
          <w:rFonts w:hint="eastAsia" w:ascii="Times New Roman" w:hAnsi="Times New Roman" w:eastAsia="仿宋_GB2312" w:cs="方正仿宋_GBK"/>
          <w:b w:val="0"/>
          <w:bCs w:val="0"/>
          <w:spacing w:val="0"/>
          <w:kern w:val="2"/>
          <w:highlight w:val="none"/>
          <w:lang w:eastAsia="zh-CN"/>
        </w:rPr>
        <w:t>年，</w:t>
      </w:r>
      <w:r>
        <w:rPr>
          <w:rFonts w:hint="eastAsia" w:ascii="Times New Roman" w:hAnsi="Times New Roman" w:eastAsia="仿宋_GB2312" w:cs="方正仿宋_GBK"/>
          <w:b w:val="0"/>
          <w:bCs w:val="0"/>
          <w:spacing w:val="0"/>
          <w:kern w:val="2"/>
          <w:highlight w:val="none"/>
          <w:lang w:val="en-US" w:eastAsia="zh-CN"/>
        </w:rPr>
        <w:t>力争</w:t>
      </w:r>
      <w:r>
        <w:rPr>
          <w:rFonts w:hint="eastAsia" w:ascii="Times New Roman" w:hAnsi="Times New Roman" w:eastAsia="仿宋_GB2312" w:cs="方正仿宋_GBK"/>
          <w:b w:val="0"/>
          <w:bCs w:val="0"/>
          <w:spacing w:val="0"/>
          <w:kern w:val="2"/>
          <w:highlight w:val="none"/>
          <w:lang w:eastAsia="zh-CN"/>
        </w:rPr>
        <w:t>牛存栏稳定在</w:t>
      </w:r>
      <w:r>
        <w:rPr>
          <w:rFonts w:hint="eastAsia" w:eastAsia="仿宋_GB2312" w:cs="方正仿宋_GBK"/>
          <w:b w:val="0"/>
          <w:bCs w:val="0"/>
          <w:spacing w:val="0"/>
          <w:kern w:val="2"/>
          <w:highlight w:val="none"/>
          <w:lang w:val="en-US" w:eastAsia="zh-CN"/>
        </w:rPr>
        <w:t>400</w:t>
      </w:r>
      <w:r>
        <w:rPr>
          <w:rFonts w:hint="eastAsia" w:ascii="Times New Roman" w:hAnsi="Times New Roman" w:eastAsia="仿宋_GB2312" w:cs="方正仿宋_GBK"/>
          <w:b w:val="0"/>
          <w:bCs w:val="0"/>
          <w:spacing w:val="0"/>
          <w:kern w:val="2"/>
          <w:highlight w:val="none"/>
          <w:lang w:eastAsia="zh-CN"/>
        </w:rPr>
        <w:t>万头，羊存栏稳定在</w:t>
      </w:r>
      <w:r>
        <w:rPr>
          <w:rFonts w:hint="eastAsia" w:eastAsia="仿宋_GB2312" w:cs="方正仿宋_GBK"/>
          <w:b w:val="0"/>
          <w:bCs w:val="0"/>
          <w:spacing w:val="0"/>
          <w:kern w:val="2"/>
          <w:highlight w:val="none"/>
          <w:lang w:val="en-US" w:eastAsia="zh-CN"/>
        </w:rPr>
        <w:t>1500</w:t>
      </w:r>
      <w:r>
        <w:rPr>
          <w:rFonts w:hint="eastAsia" w:ascii="Times New Roman" w:hAnsi="Times New Roman" w:eastAsia="仿宋_GB2312" w:cs="方正仿宋_GBK"/>
          <w:b w:val="0"/>
          <w:bCs w:val="0"/>
          <w:spacing w:val="0"/>
          <w:kern w:val="2"/>
          <w:highlight w:val="none"/>
          <w:lang w:eastAsia="zh-CN"/>
        </w:rPr>
        <w:t>万只，生猪存栏稳定在</w:t>
      </w:r>
      <w:r>
        <w:rPr>
          <w:rFonts w:hint="eastAsia" w:eastAsia="仿宋_GB2312" w:cs="方正仿宋_GBK"/>
          <w:b w:val="0"/>
          <w:bCs w:val="0"/>
          <w:spacing w:val="0"/>
          <w:kern w:val="2"/>
          <w:highlight w:val="none"/>
          <w:lang w:val="en-US" w:eastAsia="zh-CN"/>
        </w:rPr>
        <w:t>420</w:t>
      </w:r>
      <w:r>
        <w:rPr>
          <w:rFonts w:hint="eastAsia" w:ascii="Times New Roman" w:hAnsi="Times New Roman" w:eastAsia="仿宋_GB2312" w:cs="方正仿宋_GBK"/>
          <w:b w:val="0"/>
          <w:bCs w:val="0"/>
          <w:spacing w:val="0"/>
          <w:kern w:val="2"/>
          <w:highlight w:val="none"/>
          <w:lang w:eastAsia="zh-CN"/>
        </w:rPr>
        <w:t>万头，禽饲养量达到</w:t>
      </w:r>
      <w:r>
        <w:rPr>
          <w:rFonts w:hint="eastAsia" w:eastAsia="仿宋_GB2312" w:cs="方正仿宋_GBK"/>
          <w:b w:val="0"/>
          <w:bCs w:val="0"/>
          <w:spacing w:val="0"/>
          <w:kern w:val="2"/>
          <w:highlight w:val="none"/>
          <w:lang w:val="en-US" w:eastAsia="zh-CN"/>
        </w:rPr>
        <w:t>1.5</w:t>
      </w:r>
      <w:r>
        <w:rPr>
          <w:rFonts w:hint="eastAsia" w:ascii="Times New Roman" w:hAnsi="Times New Roman" w:eastAsia="仿宋_GB2312" w:cs="方正仿宋_GBK"/>
          <w:b w:val="0"/>
          <w:bCs w:val="0"/>
          <w:spacing w:val="0"/>
          <w:kern w:val="2"/>
          <w:highlight w:val="none"/>
          <w:lang w:eastAsia="zh-CN"/>
        </w:rPr>
        <w:t>亿只。</w:t>
      </w:r>
    </w:p>
    <w:p w14:paraId="4B3547E0">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spacing w:val="0"/>
          <w:kern w:val="2"/>
          <w:highlight w:val="none"/>
          <w:lang w:eastAsia="zh-CN"/>
        </w:rPr>
      </w:pPr>
      <w:bookmarkStart w:id="394" w:name="_Toc23909"/>
      <w:r>
        <w:rPr>
          <w:rFonts w:hint="eastAsia" w:ascii="Times New Roman" w:hAnsi="Times New Roman" w:eastAsia="仿宋_GB2312" w:cs="方正仿宋_GBK"/>
          <w:b w:val="0"/>
          <w:bCs w:val="0"/>
          <w:color w:val="auto"/>
          <w:spacing w:val="0"/>
          <w:kern w:val="2"/>
          <w:highlight w:val="none"/>
          <w:lang w:eastAsia="zh-CN"/>
        </w:rPr>
        <w:t>培优育强杂粮杂豆产业</w:t>
      </w:r>
      <w:bookmarkEnd w:id="394"/>
      <w:r>
        <w:rPr>
          <w:rFonts w:hint="eastAsia"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lang w:val="en-US" w:eastAsia="zh-CN"/>
        </w:rPr>
        <w:t>以建设</w:t>
      </w:r>
      <w:r>
        <w:rPr>
          <w:rFonts w:hint="eastAsia" w:ascii="Times New Roman" w:hAnsi="Times New Roman" w:eastAsia="仿宋_GB2312" w:cs="方正仿宋_GBK"/>
          <w:b w:val="0"/>
          <w:bCs w:val="0"/>
          <w:spacing w:val="0"/>
          <w:kern w:val="2"/>
          <w:highlight w:val="none"/>
          <w:lang w:eastAsia="zh-CN"/>
        </w:rPr>
        <w:t>国家优质杂粮杂豆生产输出基地</w:t>
      </w:r>
      <w:r>
        <w:rPr>
          <w:rFonts w:hint="eastAsia" w:ascii="Times New Roman" w:hAnsi="Times New Roman" w:eastAsia="仿宋_GB2312" w:cs="方正仿宋_GBK"/>
          <w:b w:val="0"/>
          <w:bCs w:val="0"/>
          <w:spacing w:val="0"/>
          <w:kern w:val="2"/>
          <w:highlight w:val="none"/>
          <w:lang w:val="en-US" w:eastAsia="zh-CN"/>
        </w:rPr>
        <w:t>为目标，</w:t>
      </w:r>
      <w:r>
        <w:rPr>
          <w:rFonts w:hint="eastAsia" w:ascii="Times New Roman" w:hAnsi="Times New Roman" w:eastAsia="仿宋_GB2312" w:cs="方正仿宋_GBK"/>
          <w:b w:val="0"/>
          <w:bCs w:val="0"/>
          <w:spacing w:val="0"/>
          <w:kern w:val="2"/>
          <w:highlight w:val="none"/>
          <w:lang w:eastAsia="zh-CN"/>
        </w:rPr>
        <w:t>以阿鲁科尔沁旗、敖汉旗、翁牛特旗、林西县、松山区等为核心区，进一步调优种植结构，加快新品种培育，持续做强杂粮杂豆产业。实施杂粮杂豆单产提升行动，推动谷子、高粱、荞麦等实现大面积单产提升。促进杂粮杂豆从生产、加工、储运到销售、消费等各环节有效衔接，推动全链条发展。到20</w:t>
      </w:r>
      <w:r>
        <w:rPr>
          <w:rFonts w:hint="eastAsia" w:ascii="Times New Roman" w:hAnsi="Times New Roman" w:eastAsia="仿宋_GB2312" w:cs="方正仿宋_GBK"/>
          <w:b w:val="0"/>
          <w:bCs w:val="0"/>
          <w:spacing w:val="0"/>
          <w:kern w:val="2"/>
          <w:highlight w:val="none"/>
          <w:lang w:val="en-US" w:eastAsia="zh-CN"/>
        </w:rPr>
        <w:t>30</w:t>
      </w:r>
      <w:r>
        <w:rPr>
          <w:rFonts w:hint="eastAsia" w:ascii="Times New Roman" w:hAnsi="Times New Roman" w:eastAsia="仿宋_GB2312" w:cs="方正仿宋_GBK"/>
          <w:b w:val="0"/>
          <w:bCs w:val="0"/>
          <w:spacing w:val="0"/>
          <w:kern w:val="2"/>
          <w:highlight w:val="none"/>
          <w:lang w:eastAsia="zh-CN"/>
        </w:rPr>
        <w:t>年，</w:t>
      </w:r>
      <w:r>
        <w:rPr>
          <w:rFonts w:hint="eastAsia" w:ascii="Times New Roman" w:hAnsi="Times New Roman" w:eastAsia="仿宋_GB2312" w:cs="方正仿宋_GBK"/>
          <w:b w:val="0"/>
          <w:bCs w:val="0"/>
          <w:spacing w:val="0"/>
          <w:kern w:val="2"/>
          <w:highlight w:val="none"/>
          <w:lang w:val="en-US" w:eastAsia="zh-CN"/>
        </w:rPr>
        <w:t>力争杂粮杂豆</w:t>
      </w:r>
      <w:r>
        <w:rPr>
          <w:rFonts w:hint="eastAsia" w:ascii="Times New Roman" w:hAnsi="Times New Roman" w:eastAsia="仿宋_GB2312" w:cs="方正仿宋_GBK"/>
          <w:b w:val="0"/>
          <w:bCs w:val="0"/>
          <w:spacing w:val="0"/>
          <w:kern w:val="2"/>
          <w:highlight w:val="none"/>
          <w:lang w:eastAsia="zh-CN"/>
        </w:rPr>
        <w:t>种植面积稳定在</w:t>
      </w:r>
      <w:r>
        <w:rPr>
          <w:rFonts w:hint="eastAsia" w:eastAsia="仿宋_GB2312" w:cs="方正仿宋_GBK"/>
          <w:b w:val="0"/>
          <w:bCs w:val="0"/>
          <w:spacing w:val="0"/>
          <w:kern w:val="2"/>
          <w:highlight w:val="none"/>
          <w:lang w:val="en-US" w:eastAsia="zh-CN"/>
        </w:rPr>
        <w:t>500</w:t>
      </w:r>
      <w:r>
        <w:rPr>
          <w:rFonts w:hint="eastAsia" w:ascii="Times New Roman" w:hAnsi="Times New Roman" w:eastAsia="仿宋_GB2312" w:cs="方正仿宋_GBK"/>
          <w:b w:val="0"/>
          <w:bCs w:val="0"/>
          <w:spacing w:val="0"/>
          <w:kern w:val="2"/>
          <w:highlight w:val="none"/>
          <w:lang w:eastAsia="zh-CN"/>
        </w:rPr>
        <w:t>万亩</w:t>
      </w:r>
      <w:r>
        <w:rPr>
          <w:rFonts w:hint="eastAsia" w:eastAsia="仿宋_GB2312" w:cs="方正仿宋_GBK"/>
          <w:b w:val="0"/>
          <w:bCs w:val="0"/>
          <w:spacing w:val="0"/>
          <w:kern w:val="2"/>
          <w:highlight w:val="none"/>
          <w:lang w:val="en-US" w:eastAsia="zh-CN"/>
        </w:rPr>
        <w:t>以上</w:t>
      </w:r>
      <w:r>
        <w:rPr>
          <w:rFonts w:hint="eastAsia" w:ascii="Times New Roman" w:hAnsi="Times New Roman" w:eastAsia="仿宋_GB2312" w:cs="方正仿宋_GBK"/>
          <w:b w:val="0"/>
          <w:bCs w:val="0"/>
          <w:spacing w:val="0"/>
          <w:kern w:val="2"/>
          <w:highlight w:val="none"/>
          <w:lang w:eastAsia="zh-CN"/>
        </w:rPr>
        <w:t>，产量</w:t>
      </w:r>
      <w:r>
        <w:rPr>
          <w:rFonts w:hint="eastAsia" w:eastAsia="仿宋_GB2312" w:cs="方正仿宋_GBK"/>
          <w:b w:val="0"/>
          <w:bCs w:val="0"/>
          <w:spacing w:val="0"/>
          <w:kern w:val="2"/>
          <w:highlight w:val="none"/>
          <w:lang w:val="en-US" w:eastAsia="zh-CN"/>
        </w:rPr>
        <w:t>稳定在25</w:t>
      </w:r>
      <w:r>
        <w:rPr>
          <w:rFonts w:hint="eastAsia" w:ascii="Times New Roman" w:hAnsi="Times New Roman" w:eastAsia="仿宋_GB2312" w:cs="方正仿宋_GBK"/>
          <w:b w:val="0"/>
          <w:bCs w:val="0"/>
          <w:spacing w:val="0"/>
          <w:kern w:val="2"/>
          <w:highlight w:val="none"/>
          <w:lang w:eastAsia="zh-CN"/>
        </w:rPr>
        <w:t>亿斤</w:t>
      </w:r>
      <w:r>
        <w:rPr>
          <w:rFonts w:hint="eastAsia" w:eastAsia="仿宋_GB2312" w:cs="方正仿宋_GBK"/>
          <w:b w:val="0"/>
          <w:bCs w:val="0"/>
          <w:spacing w:val="0"/>
          <w:kern w:val="2"/>
          <w:highlight w:val="none"/>
          <w:lang w:val="en-US" w:eastAsia="zh-CN"/>
        </w:rPr>
        <w:t>以上</w:t>
      </w:r>
      <w:r>
        <w:rPr>
          <w:rFonts w:hint="eastAsia" w:ascii="Times New Roman" w:hAnsi="Times New Roman" w:eastAsia="仿宋_GB2312" w:cs="方正仿宋_GBK"/>
          <w:b w:val="0"/>
          <w:bCs w:val="0"/>
          <w:spacing w:val="0"/>
          <w:kern w:val="2"/>
          <w:highlight w:val="none"/>
          <w:lang w:eastAsia="zh-CN"/>
        </w:rPr>
        <w:t>。</w:t>
      </w:r>
    </w:p>
    <w:p w14:paraId="64B8F992">
      <w:pPr>
        <w:pStyle w:val="43"/>
        <w:keepNext w:val="0"/>
        <w:keepLines w:val="0"/>
        <w:pageBreakBefore w:val="0"/>
        <w:shd w:val="clear" w:color="auto" w:fill="auto"/>
        <w:kinsoku/>
        <w:wordWrap/>
        <w:topLinePunct w:val="0"/>
        <w:autoSpaceDE/>
        <w:autoSpaceDN/>
        <w:bidi w:val="0"/>
        <w:adjustRightInd/>
        <w:spacing w:line="540" w:lineRule="exact"/>
        <w:ind w:firstLine="624" w:firstLineChars="200"/>
        <w:textAlignment w:val="auto"/>
        <w:outlineLvl w:val="9"/>
        <w:rPr>
          <w:rFonts w:hint="eastAsia" w:ascii="Times New Roman" w:hAnsi="Times New Roman" w:eastAsia="仿宋_GB2312" w:cs="方正仿宋_GBK"/>
          <w:b w:val="0"/>
          <w:bCs w:val="0"/>
          <w:spacing w:val="0"/>
          <w:kern w:val="2"/>
          <w:highlight w:val="none"/>
          <w:lang w:eastAsia="zh-CN"/>
        </w:rPr>
      </w:pPr>
      <w:bookmarkStart w:id="395" w:name="_Toc32164"/>
      <w:r>
        <w:rPr>
          <w:rFonts w:hint="eastAsia" w:ascii="Times New Roman" w:hAnsi="Times New Roman" w:eastAsia="仿宋_GB2312" w:cs="方正仿宋_GBK"/>
          <w:b w:val="0"/>
          <w:bCs w:val="0"/>
          <w:color w:val="auto"/>
          <w:spacing w:val="0"/>
          <w:kern w:val="2"/>
          <w:highlight w:val="none"/>
          <w:lang w:val="en-US" w:eastAsia="zh-CN"/>
        </w:rPr>
        <w:t>深入推进种业振兴</w:t>
      </w:r>
      <w:bookmarkEnd w:id="395"/>
      <w:r>
        <w:rPr>
          <w:rFonts w:hint="eastAsia" w:eastAsia="仿宋_GB2312" w:cs="方正仿宋_GBK"/>
          <w:b w:val="0"/>
          <w:bCs w:val="0"/>
          <w:spacing w:val="0"/>
          <w:kern w:val="2"/>
          <w:highlight w:val="none"/>
          <w:lang w:val="en-US" w:eastAsia="zh-CN"/>
        </w:rPr>
        <w:t>。以“种芯”工程为引领，</w:t>
      </w:r>
      <w:r>
        <w:rPr>
          <w:rFonts w:hint="eastAsia" w:ascii="Times New Roman" w:hAnsi="Times New Roman" w:eastAsia="仿宋_GB2312" w:cs="方正仿宋_GBK"/>
          <w:b w:val="0"/>
          <w:bCs w:val="0"/>
          <w:spacing w:val="0"/>
          <w:kern w:val="2"/>
          <w:highlight w:val="none"/>
          <w:lang w:eastAsia="zh-CN"/>
        </w:rPr>
        <w:t>围绕保障粮食安全和重要农畜产品稳产保供需要，以种质资源保护为基础，以自主创新为关键，以供种安全为底线，</w:t>
      </w:r>
      <w:r>
        <w:rPr>
          <w:rFonts w:hint="eastAsia" w:ascii="Times New Roman" w:hAnsi="Times New Roman" w:eastAsia="仿宋_GB2312" w:cs="方正仿宋_GBK"/>
          <w:b w:val="0"/>
          <w:bCs w:val="0"/>
          <w:spacing w:val="0"/>
          <w:kern w:val="2"/>
          <w:highlight w:val="none"/>
          <w:lang w:val="en-US" w:eastAsia="zh-CN"/>
        </w:rPr>
        <w:t>推动种源优质化，打造中国北方种业大市。实施种质资源保护利用工程</w:t>
      </w:r>
      <w:r>
        <w:rPr>
          <w:rFonts w:hint="eastAsia" w:eastAsia="仿宋_GB2312" w:cs="方正仿宋_GBK"/>
          <w:b w:val="0"/>
          <w:bCs w:val="0"/>
          <w:spacing w:val="0"/>
          <w:kern w:val="2"/>
          <w:highlight w:val="none"/>
          <w:lang w:val="en-US" w:eastAsia="zh-CN"/>
        </w:rPr>
        <w:t>，</w:t>
      </w:r>
      <w:r>
        <w:rPr>
          <w:rFonts w:hint="eastAsia" w:ascii="Times New Roman" w:hAnsi="Times New Roman" w:eastAsia="仿宋_GB2312" w:cs="方正仿宋_GBK"/>
          <w:b w:val="0"/>
          <w:bCs w:val="0"/>
          <w:spacing w:val="0"/>
          <w:kern w:val="2"/>
          <w:highlight w:val="none"/>
          <w:lang w:val="en-US" w:eastAsia="zh-CN"/>
        </w:rPr>
        <w:t>加快推进内蒙古东部作物种质资源库建设，</w:t>
      </w:r>
      <w:r>
        <w:rPr>
          <w:rFonts w:hint="eastAsia" w:eastAsia="仿宋_GB2312" w:cs="方正仿宋_GBK"/>
          <w:b w:val="0"/>
          <w:bCs w:val="0"/>
          <w:spacing w:val="0"/>
          <w:kern w:val="2"/>
          <w:highlight w:val="none"/>
          <w:lang w:val="en-US" w:eastAsia="zh-CN"/>
        </w:rPr>
        <w:t>继续</w:t>
      </w:r>
      <w:r>
        <w:rPr>
          <w:rFonts w:hint="eastAsia" w:ascii="Times New Roman" w:hAnsi="Times New Roman" w:eastAsia="仿宋_GB2312" w:cs="方正仿宋_GBK"/>
          <w:b w:val="0"/>
          <w:bCs w:val="0"/>
          <w:spacing w:val="0"/>
          <w:kern w:val="2"/>
          <w:highlight w:val="none"/>
          <w:lang w:val="en-US" w:eastAsia="zh-CN"/>
        </w:rPr>
        <w:t>开展农牧业种质资源</w:t>
      </w:r>
      <w:r>
        <w:rPr>
          <w:rFonts w:hint="eastAsia" w:eastAsia="仿宋_GB2312" w:cs="方正仿宋_GBK"/>
          <w:b w:val="0"/>
          <w:bCs w:val="0"/>
          <w:spacing w:val="0"/>
          <w:kern w:val="2"/>
          <w:highlight w:val="none"/>
          <w:lang w:val="en-US" w:eastAsia="zh-CN"/>
        </w:rPr>
        <w:t>收集鉴定</w:t>
      </w:r>
      <w:r>
        <w:rPr>
          <w:rFonts w:hint="eastAsia" w:ascii="Times New Roman" w:hAnsi="Times New Roman" w:eastAsia="仿宋_GB2312" w:cs="方正仿宋_GBK"/>
          <w:b w:val="0"/>
          <w:bCs w:val="0"/>
          <w:spacing w:val="0"/>
          <w:kern w:val="2"/>
          <w:highlight w:val="none"/>
          <w:lang w:val="en-US" w:eastAsia="zh-CN"/>
        </w:rPr>
        <w:t>工作</w:t>
      </w:r>
      <w:r>
        <w:rPr>
          <w:rFonts w:hint="eastAsia" w:eastAsia="仿宋_GB2312" w:cs="方正仿宋_GBK"/>
          <w:b w:val="0"/>
          <w:bCs w:val="0"/>
          <w:spacing w:val="0"/>
          <w:kern w:val="2"/>
          <w:highlight w:val="none"/>
          <w:lang w:val="en-US" w:eastAsia="zh-CN"/>
        </w:rPr>
        <w:t>、</w:t>
      </w:r>
      <w:r>
        <w:rPr>
          <w:rFonts w:hint="eastAsia" w:ascii="Times New Roman" w:hAnsi="Times New Roman" w:eastAsia="仿宋_GB2312" w:cs="方正仿宋_GBK"/>
          <w:b w:val="0"/>
          <w:bCs w:val="0"/>
          <w:spacing w:val="0"/>
          <w:kern w:val="2"/>
          <w:highlight w:val="none"/>
          <w:lang w:val="en-US" w:eastAsia="zh-CN"/>
        </w:rPr>
        <w:t>畜禽遗传资源生产性能测定工作。以松山区、敖汉旗、翁牛特旗等为核心区域，建设高标准种业基地</w:t>
      </w:r>
      <w:r>
        <w:rPr>
          <w:rFonts w:hint="eastAsia" w:eastAsia="仿宋_GB2312" w:cs="方正仿宋_GBK"/>
          <w:b w:val="0"/>
          <w:bCs w:val="0"/>
          <w:spacing w:val="0"/>
          <w:kern w:val="2"/>
          <w:highlight w:val="none"/>
          <w:lang w:val="en-US" w:eastAsia="zh-CN"/>
        </w:rPr>
        <w:t>。</w:t>
      </w:r>
      <w:r>
        <w:rPr>
          <w:rFonts w:hint="default" w:ascii="仿宋_GB2312" w:hAnsi="仿宋_GB2312" w:eastAsia="仿宋_GB2312" w:cs="仿宋_GB2312"/>
          <w:b w:val="0"/>
          <w:bCs w:val="0"/>
          <w:sz w:val="32"/>
          <w:szCs w:val="32"/>
          <w:highlight w:val="none"/>
          <w:shd w:val="clear" w:color="auto" w:fill="FFFFFF"/>
          <w:lang w:eastAsia="zh-CN"/>
        </w:rPr>
        <w:t>以国家、自治区核心育种场为依托，打造肉牛、肉羊、生猪、肉鸭等畜禽良种繁育基地。</w:t>
      </w:r>
      <w:r>
        <w:rPr>
          <w:rFonts w:hint="eastAsia" w:ascii="Times New Roman" w:hAnsi="Times New Roman" w:eastAsia="仿宋_GB2312" w:cs="方正仿宋_GBK"/>
          <w:b w:val="0"/>
          <w:bCs w:val="0"/>
          <w:spacing w:val="0"/>
          <w:kern w:val="2"/>
          <w:highlight w:val="none"/>
          <w:lang w:val="en-US" w:eastAsia="zh-CN"/>
        </w:rPr>
        <w:t>强化种业科技创新，提高玉米、蔬菜、杂粮杂豆、饲草等优质品种自给率，加快推进松山区安庆现代种业园区</w:t>
      </w:r>
      <w:r>
        <w:rPr>
          <w:rFonts w:hint="eastAsia" w:eastAsia="仿宋_GB2312" w:cs="方正仿宋_GBK"/>
          <w:b w:val="0"/>
          <w:bCs w:val="0"/>
          <w:spacing w:val="0"/>
          <w:kern w:val="2"/>
          <w:highlight w:val="none"/>
          <w:lang w:val="en-US" w:eastAsia="zh-CN"/>
        </w:rPr>
        <w:t>建设</w:t>
      </w:r>
      <w:r>
        <w:rPr>
          <w:rFonts w:hint="eastAsia" w:ascii="Times New Roman" w:hAnsi="Times New Roman" w:eastAsia="仿宋_GB2312" w:cs="方正仿宋_GBK"/>
          <w:b w:val="0"/>
          <w:bCs w:val="0"/>
          <w:spacing w:val="0"/>
          <w:kern w:val="2"/>
          <w:highlight w:val="none"/>
          <w:lang w:val="en-US" w:eastAsia="zh-CN"/>
        </w:rPr>
        <w:t>，引进</w:t>
      </w:r>
      <w:r>
        <w:rPr>
          <w:rFonts w:hint="eastAsia" w:eastAsia="仿宋_GB2312" w:cs="方正仿宋_GBK"/>
          <w:b w:val="0"/>
          <w:bCs w:val="0"/>
          <w:spacing w:val="0"/>
          <w:kern w:val="2"/>
          <w:highlight w:val="none"/>
          <w:lang w:val="en-US" w:eastAsia="zh-CN"/>
        </w:rPr>
        <w:t>一批</w:t>
      </w:r>
      <w:r>
        <w:rPr>
          <w:rFonts w:hint="eastAsia" w:ascii="Times New Roman" w:hAnsi="Times New Roman" w:eastAsia="仿宋_GB2312" w:cs="方正仿宋_GBK"/>
          <w:b w:val="0"/>
          <w:bCs w:val="0"/>
          <w:spacing w:val="0"/>
          <w:kern w:val="2"/>
          <w:highlight w:val="none"/>
          <w:lang w:val="en-US" w:eastAsia="zh-CN"/>
        </w:rPr>
        <w:t>种业企业，打造一批知名种业品牌。</w:t>
      </w:r>
      <w:r>
        <w:rPr>
          <w:rFonts w:hint="eastAsia" w:ascii="Times New Roman" w:hAnsi="Times New Roman" w:eastAsia="仿宋_GB2312" w:cs="方正仿宋_GBK"/>
          <w:b w:val="0"/>
          <w:bCs w:val="0"/>
          <w:spacing w:val="0"/>
          <w:kern w:val="2"/>
          <w:highlight w:val="none"/>
          <w:lang w:eastAsia="zh-CN"/>
        </w:rPr>
        <w:t>到20</w:t>
      </w:r>
      <w:r>
        <w:rPr>
          <w:rFonts w:hint="eastAsia" w:ascii="Times New Roman" w:hAnsi="Times New Roman" w:eastAsia="仿宋_GB2312" w:cs="方正仿宋_GBK"/>
          <w:b w:val="0"/>
          <w:bCs w:val="0"/>
          <w:spacing w:val="0"/>
          <w:kern w:val="2"/>
          <w:highlight w:val="none"/>
          <w:lang w:val="en-US" w:eastAsia="zh-CN"/>
        </w:rPr>
        <w:t>30</w:t>
      </w:r>
      <w:r>
        <w:rPr>
          <w:rFonts w:hint="eastAsia" w:ascii="Times New Roman" w:hAnsi="Times New Roman" w:eastAsia="仿宋_GB2312" w:cs="方正仿宋_GBK"/>
          <w:b w:val="0"/>
          <w:bCs w:val="0"/>
          <w:spacing w:val="0"/>
          <w:kern w:val="2"/>
          <w:highlight w:val="none"/>
          <w:lang w:eastAsia="zh-CN"/>
        </w:rPr>
        <w:t>年，</w:t>
      </w:r>
      <w:r>
        <w:rPr>
          <w:rFonts w:hint="eastAsia" w:ascii="Times New Roman" w:hAnsi="Times New Roman" w:eastAsia="仿宋_GB2312" w:cs="方正仿宋_GBK"/>
          <w:b w:val="0"/>
          <w:bCs w:val="0"/>
          <w:spacing w:val="0"/>
          <w:kern w:val="2"/>
          <w:highlight w:val="none"/>
          <w:lang w:val="en-US" w:eastAsia="zh-CN"/>
        </w:rPr>
        <w:t>力争制种</w:t>
      </w:r>
      <w:r>
        <w:rPr>
          <w:rFonts w:hint="eastAsia" w:ascii="Times New Roman" w:hAnsi="Times New Roman" w:eastAsia="仿宋_GB2312" w:cs="方正仿宋_GBK"/>
          <w:b w:val="0"/>
          <w:bCs w:val="0"/>
          <w:spacing w:val="0"/>
          <w:kern w:val="2"/>
          <w:highlight w:val="none"/>
          <w:lang w:eastAsia="zh-CN"/>
        </w:rPr>
        <w:t>面积突破</w:t>
      </w:r>
      <w:r>
        <w:rPr>
          <w:rFonts w:hint="eastAsia" w:eastAsia="仿宋_GB2312" w:cs="方正仿宋_GBK"/>
          <w:b w:val="0"/>
          <w:bCs w:val="0"/>
          <w:spacing w:val="0"/>
          <w:kern w:val="2"/>
          <w:highlight w:val="none"/>
          <w:lang w:val="en-US" w:eastAsia="zh-CN"/>
        </w:rPr>
        <w:t>20</w:t>
      </w:r>
      <w:r>
        <w:rPr>
          <w:rFonts w:hint="eastAsia" w:ascii="Times New Roman" w:hAnsi="Times New Roman" w:eastAsia="仿宋_GB2312" w:cs="方正仿宋_GBK"/>
          <w:b w:val="0"/>
          <w:bCs w:val="0"/>
          <w:spacing w:val="0"/>
          <w:kern w:val="2"/>
          <w:highlight w:val="none"/>
          <w:lang w:eastAsia="zh-CN"/>
        </w:rPr>
        <w:t>万亩</w:t>
      </w:r>
      <w:r>
        <w:rPr>
          <w:rFonts w:hint="eastAsia" w:eastAsia="仿宋_GB2312" w:cs="方正仿宋_GBK"/>
          <w:b w:val="0"/>
          <w:bCs w:val="0"/>
          <w:spacing w:val="0"/>
          <w:kern w:val="2"/>
          <w:highlight w:val="none"/>
          <w:lang w:val="en-US" w:eastAsia="zh-CN"/>
        </w:rPr>
        <w:t>以上</w:t>
      </w:r>
      <w:r>
        <w:rPr>
          <w:rFonts w:hint="eastAsia" w:ascii="Times New Roman" w:hAnsi="Times New Roman" w:eastAsia="仿宋_GB2312" w:cs="方正仿宋_GBK"/>
          <w:b w:val="0"/>
          <w:bCs w:val="0"/>
          <w:spacing w:val="0"/>
          <w:kern w:val="2"/>
          <w:highlight w:val="none"/>
          <w:lang w:eastAsia="zh-CN"/>
        </w:rPr>
        <w:t>，</w:t>
      </w:r>
      <w:r>
        <w:rPr>
          <w:rFonts w:hint="eastAsia" w:eastAsia="仿宋_GB2312" w:cs="方正仿宋_GBK"/>
          <w:b w:val="0"/>
          <w:bCs w:val="0"/>
          <w:spacing w:val="0"/>
          <w:kern w:val="2"/>
          <w:highlight w:val="none"/>
          <w:lang w:val="en-US" w:eastAsia="zh-CN"/>
        </w:rPr>
        <w:t>力争</w:t>
      </w:r>
      <w:r>
        <w:rPr>
          <w:rFonts w:hint="eastAsia" w:ascii="Times New Roman" w:hAnsi="Times New Roman" w:eastAsia="仿宋_GB2312" w:cs="方正仿宋_GBK"/>
          <w:b w:val="0"/>
          <w:bCs w:val="0"/>
          <w:spacing w:val="0"/>
          <w:kern w:val="2"/>
          <w:highlight w:val="none"/>
          <w:lang w:eastAsia="zh-CN"/>
        </w:rPr>
        <w:t>培育具有自主知识产权的农作物新品种</w:t>
      </w:r>
      <w:r>
        <w:rPr>
          <w:rFonts w:hint="eastAsia" w:eastAsia="仿宋_GB2312" w:cs="方正仿宋_GBK"/>
          <w:b w:val="0"/>
          <w:bCs w:val="0"/>
          <w:spacing w:val="0"/>
          <w:kern w:val="2"/>
          <w:highlight w:val="none"/>
          <w:lang w:val="en-US" w:eastAsia="zh-CN"/>
        </w:rPr>
        <w:t>75</w:t>
      </w:r>
      <w:r>
        <w:rPr>
          <w:rFonts w:hint="eastAsia" w:ascii="Times New Roman" w:hAnsi="Times New Roman" w:eastAsia="仿宋_GB2312" w:cs="方正仿宋_GBK"/>
          <w:b w:val="0"/>
          <w:bCs w:val="0"/>
          <w:spacing w:val="0"/>
          <w:kern w:val="2"/>
          <w:highlight w:val="none"/>
          <w:lang w:eastAsia="zh-CN"/>
        </w:rPr>
        <w:t>个。</w:t>
      </w:r>
    </w:p>
    <w:p w14:paraId="24C296DA">
      <w:pPr>
        <w:pStyle w:val="43"/>
        <w:keepNext w:val="0"/>
        <w:keepLines w:val="0"/>
        <w:pageBreakBefore w:val="0"/>
        <w:shd w:val="clear" w:color="auto" w:fill="auto"/>
        <w:kinsoku/>
        <w:wordWrap/>
        <w:topLinePunct w:val="0"/>
        <w:autoSpaceDE/>
        <w:autoSpaceDN/>
        <w:bidi w:val="0"/>
        <w:adjustRightInd/>
        <w:spacing w:line="540" w:lineRule="exact"/>
        <w:textAlignment w:val="auto"/>
        <w:outlineLvl w:val="9"/>
        <w:rPr>
          <w:rFonts w:hint="eastAsia"/>
          <w:b w:val="0"/>
          <w:bCs w:val="0"/>
          <w:highlight w:val="none"/>
          <w:lang w:val="en-US" w:eastAsia="zh-CN"/>
        </w:rPr>
      </w:pPr>
      <w:bookmarkStart w:id="396" w:name="_Toc12032"/>
      <w:r>
        <w:rPr>
          <w:rFonts w:hint="eastAsia" w:ascii="Times New Roman" w:hAnsi="Times New Roman" w:eastAsia="仿宋_GB2312" w:cs="方正仿宋_GBK"/>
          <w:b w:val="0"/>
          <w:bCs w:val="0"/>
          <w:color w:val="auto"/>
          <w:spacing w:val="0"/>
          <w:kern w:val="2"/>
          <w:highlight w:val="none"/>
        </w:rPr>
        <w:t>夯实林草产业发展基础</w:t>
      </w:r>
      <w:bookmarkEnd w:id="396"/>
      <w:r>
        <w:rPr>
          <w:rFonts w:hint="eastAsia" w:eastAsia="仿宋_GB2312" w:cs="方正仿宋_GBK"/>
          <w:b w:val="0"/>
          <w:bCs w:val="0"/>
          <w:spacing w:val="0"/>
          <w:kern w:val="2"/>
          <w:highlight w:val="none"/>
          <w:lang w:eastAsia="zh-CN"/>
        </w:rPr>
        <w:t>。</w:t>
      </w:r>
      <w:r>
        <w:rPr>
          <w:rFonts w:hint="eastAsia" w:eastAsia="仿宋_GB2312" w:cs="方正仿宋_GBK"/>
          <w:b w:val="0"/>
          <w:bCs w:val="0"/>
          <w:spacing w:val="0"/>
          <w:kern w:val="2"/>
          <w:highlight w:val="none"/>
          <w:lang w:val="en-US" w:eastAsia="zh-CN"/>
        </w:rPr>
        <w:t>按照“生态建设产业化、产业发展生态化”发展思路，紧紧围绕</w:t>
      </w:r>
      <w:r>
        <w:rPr>
          <w:rFonts w:hint="eastAsia" w:ascii="Times New Roman" w:hAnsi="Times New Roman" w:eastAsia="仿宋_GB2312" w:cs="方正仿宋_GBK"/>
          <w:b w:val="0"/>
          <w:bCs w:val="0"/>
          <w:spacing w:val="0"/>
          <w:kern w:val="2"/>
          <w:highlight w:val="none"/>
        </w:rPr>
        <w:t>木本</w:t>
      </w:r>
      <w:r>
        <w:rPr>
          <w:rFonts w:hint="eastAsia" w:eastAsia="仿宋_GB2312" w:cs="方正仿宋_GBK"/>
          <w:b w:val="0"/>
          <w:bCs w:val="0"/>
          <w:spacing w:val="0"/>
          <w:kern w:val="2"/>
          <w:highlight w:val="none"/>
          <w:lang w:val="en-US" w:eastAsia="zh-CN"/>
        </w:rPr>
        <w:t>粮油、特色林果、林下经济、灌木加工利用、森林草原旅游、森林康养等领域，进一步促进林草产业高质量发展。到2030年，力争林药种植达到32.5万亩以上，林菌种植达到1.2万亩以上。</w:t>
      </w:r>
      <w:r>
        <w:rPr>
          <w:rFonts w:hint="eastAsia" w:ascii="Times New Roman" w:hAnsi="Times New Roman" w:eastAsia="仿宋_GB2312" w:cs="方正仿宋_GBK"/>
          <w:b w:val="0"/>
          <w:bCs w:val="0"/>
          <w:spacing w:val="0"/>
          <w:kern w:val="2"/>
          <w:highlight w:val="none"/>
          <w:lang w:eastAsia="zh-CN"/>
        </w:rPr>
        <w:t>加强</w:t>
      </w:r>
      <w:r>
        <w:rPr>
          <w:rFonts w:hint="eastAsia" w:ascii="Times New Roman" w:hAnsi="Times New Roman" w:eastAsia="仿宋_GB2312" w:cs="方正仿宋_GBK"/>
          <w:b w:val="0"/>
          <w:bCs w:val="0"/>
          <w:spacing w:val="0"/>
          <w:kern w:val="2"/>
          <w:highlight w:val="none"/>
          <w:lang w:val="en-US" w:eastAsia="zh-CN"/>
        </w:rPr>
        <w:t>现代化、节水型</w:t>
      </w:r>
      <w:r>
        <w:rPr>
          <w:rFonts w:hint="eastAsia" w:ascii="Times New Roman" w:hAnsi="Times New Roman" w:eastAsia="仿宋_GB2312" w:cs="方正仿宋_GBK"/>
          <w:b w:val="0"/>
          <w:bCs w:val="0"/>
          <w:spacing w:val="0"/>
          <w:kern w:val="2"/>
          <w:highlight w:val="none"/>
          <w:lang w:eastAsia="zh-CN"/>
        </w:rPr>
        <w:t>人工饲草基地建设，做强阿鲁科尔沁旗人工种草核心区，壮大北部牧业旗优质饲草种植带</w:t>
      </w:r>
      <w:r>
        <w:rPr>
          <w:rFonts w:hint="eastAsia"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聚焦农区养殖优势区和肉牛、肉羊养殖产业带，大力推广全株玉米青贮。到20</w:t>
      </w:r>
      <w:r>
        <w:rPr>
          <w:rFonts w:hint="eastAsia" w:ascii="Times New Roman" w:hAnsi="Times New Roman" w:eastAsia="仿宋_GB2312" w:cs="方正仿宋_GBK"/>
          <w:b w:val="0"/>
          <w:bCs w:val="0"/>
          <w:spacing w:val="0"/>
          <w:kern w:val="2"/>
          <w:highlight w:val="none"/>
          <w:lang w:val="en-US" w:eastAsia="zh-CN"/>
        </w:rPr>
        <w:t>30</w:t>
      </w:r>
      <w:r>
        <w:rPr>
          <w:rFonts w:hint="eastAsia" w:ascii="Times New Roman" w:hAnsi="Times New Roman" w:eastAsia="仿宋_GB2312" w:cs="方正仿宋_GBK"/>
          <w:b w:val="0"/>
          <w:bCs w:val="0"/>
          <w:spacing w:val="0"/>
          <w:kern w:val="2"/>
          <w:highlight w:val="none"/>
        </w:rPr>
        <w:t>年，</w:t>
      </w:r>
      <w:r>
        <w:rPr>
          <w:rFonts w:hint="eastAsia" w:ascii="Times New Roman" w:hAnsi="Times New Roman" w:eastAsia="仿宋_GB2312" w:cs="方正仿宋_GBK"/>
          <w:b w:val="0"/>
          <w:bCs w:val="0"/>
          <w:spacing w:val="0"/>
          <w:kern w:val="2"/>
          <w:highlight w:val="none"/>
          <w:lang w:val="en-US" w:eastAsia="zh-CN"/>
        </w:rPr>
        <w:t>力争</w:t>
      </w:r>
      <w:r>
        <w:rPr>
          <w:rFonts w:hint="eastAsia" w:ascii="Times New Roman" w:hAnsi="Times New Roman" w:eastAsia="仿宋_GB2312" w:cs="方正仿宋_GBK"/>
          <w:b w:val="0"/>
          <w:bCs w:val="0"/>
          <w:spacing w:val="0"/>
          <w:kern w:val="2"/>
          <w:highlight w:val="none"/>
          <w:lang w:eastAsia="zh-CN"/>
        </w:rPr>
        <w:t>人工饲草种植面积稳定在3</w:t>
      </w:r>
      <w:r>
        <w:rPr>
          <w:rFonts w:hint="eastAsia" w:eastAsia="仿宋_GB2312" w:cs="方正仿宋_GBK"/>
          <w:b w:val="0"/>
          <w:bCs w:val="0"/>
          <w:spacing w:val="0"/>
          <w:kern w:val="2"/>
          <w:highlight w:val="none"/>
          <w:lang w:val="en-US" w:eastAsia="zh-CN"/>
        </w:rPr>
        <w:t>20</w:t>
      </w:r>
      <w:r>
        <w:rPr>
          <w:rFonts w:hint="eastAsia" w:ascii="Times New Roman" w:hAnsi="Times New Roman" w:eastAsia="仿宋_GB2312" w:cs="方正仿宋_GBK"/>
          <w:b w:val="0"/>
          <w:bCs w:val="0"/>
          <w:spacing w:val="0"/>
          <w:kern w:val="2"/>
          <w:highlight w:val="none"/>
          <w:lang w:eastAsia="zh-CN"/>
        </w:rPr>
        <w:t>万亩以上，</w:t>
      </w:r>
      <w:r>
        <w:rPr>
          <w:rFonts w:hint="eastAsia" w:eastAsia="仿宋_GB2312" w:cs="方正仿宋_GBK"/>
          <w:b w:val="0"/>
          <w:bCs w:val="0"/>
          <w:spacing w:val="0"/>
          <w:kern w:val="2"/>
          <w:highlight w:val="none"/>
          <w:lang w:val="en-US" w:eastAsia="zh-CN"/>
        </w:rPr>
        <w:t>人工饲草年</w:t>
      </w:r>
      <w:r>
        <w:rPr>
          <w:rFonts w:hint="eastAsia" w:ascii="Times New Roman" w:hAnsi="Times New Roman" w:eastAsia="仿宋_GB2312" w:cs="方正仿宋_GBK"/>
          <w:b w:val="0"/>
          <w:bCs w:val="0"/>
          <w:spacing w:val="0"/>
          <w:kern w:val="2"/>
          <w:highlight w:val="none"/>
          <w:lang w:eastAsia="zh-CN"/>
        </w:rPr>
        <w:t>产量</w:t>
      </w:r>
      <w:r>
        <w:rPr>
          <w:rFonts w:hint="eastAsia" w:eastAsia="仿宋_GB2312" w:cs="方正仿宋_GBK"/>
          <w:b w:val="0"/>
          <w:bCs w:val="0"/>
          <w:spacing w:val="0"/>
          <w:kern w:val="2"/>
          <w:highlight w:val="none"/>
          <w:lang w:val="en-US" w:eastAsia="zh-CN"/>
        </w:rPr>
        <w:t>稳定在</w:t>
      </w:r>
      <w:r>
        <w:rPr>
          <w:rFonts w:hint="eastAsia" w:ascii="Times New Roman" w:hAnsi="Times New Roman" w:eastAsia="仿宋_GB2312" w:cs="方正仿宋_GBK"/>
          <w:b w:val="0"/>
          <w:bCs w:val="0"/>
          <w:spacing w:val="0"/>
          <w:kern w:val="2"/>
          <w:highlight w:val="none"/>
          <w:lang w:eastAsia="zh-CN"/>
        </w:rPr>
        <w:t>8</w:t>
      </w:r>
      <w:r>
        <w:rPr>
          <w:rFonts w:hint="eastAsia" w:eastAsia="仿宋_GB2312" w:cs="方正仿宋_GBK"/>
          <w:b w:val="0"/>
          <w:bCs w:val="0"/>
          <w:spacing w:val="0"/>
          <w:kern w:val="2"/>
          <w:highlight w:val="none"/>
          <w:lang w:val="en-US" w:eastAsia="zh-CN"/>
        </w:rPr>
        <w:t>3</w:t>
      </w:r>
      <w:r>
        <w:rPr>
          <w:rFonts w:hint="eastAsia" w:ascii="Times New Roman" w:hAnsi="Times New Roman" w:eastAsia="仿宋_GB2312" w:cs="方正仿宋_GBK"/>
          <w:b w:val="0"/>
          <w:bCs w:val="0"/>
          <w:spacing w:val="0"/>
          <w:kern w:val="2"/>
          <w:highlight w:val="none"/>
          <w:lang w:eastAsia="zh-CN"/>
        </w:rPr>
        <w:t>0万吨以上</w:t>
      </w:r>
      <w:r>
        <w:rPr>
          <w:rFonts w:hint="eastAsia" w:ascii="Times New Roman" w:hAnsi="Times New Roman" w:eastAsia="仿宋_GB2312" w:cs="方正仿宋_GBK"/>
          <w:b w:val="0"/>
          <w:bCs w:val="0"/>
          <w:spacing w:val="0"/>
          <w:kern w:val="2"/>
          <w:highlight w:val="none"/>
          <w:lang w:val="en-US" w:eastAsia="zh-CN"/>
        </w:rPr>
        <w:t>。推进菊苣产业化、规模化发展</w:t>
      </w:r>
      <w:r>
        <w:rPr>
          <w:rFonts w:hint="eastAsia" w:eastAsia="仿宋_GB2312" w:cs="方正仿宋_GBK"/>
          <w:b w:val="0"/>
          <w:bCs w:val="0"/>
          <w:spacing w:val="0"/>
          <w:kern w:val="2"/>
          <w:highlight w:val="none"/>
          <w:lang w:val="en-US" w:eastAsia="zh-CN"/>
        </w:rPr>
        <w:t>。</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9"/>
      </w:tblGrid>
      <w:tr w14:paraId="43D75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859" w:type="dxa"/>
            <w:noWrap w:val="0"/>
            <w:vAlign w:val="top"/>
          </w:tcPr>
          <w:p w14:paraId="66F1FE10">
            <w:pPr>
              <w:keepNext w:val="0"/>
              <w:keepLines w:val="0"/>
              <w:pageBreakBefore w:val="0"/>
              <w:kinsoku/>
              <w:wordWrap/>
              <w:topLinePunct w:val="0"/>
              <w:autoSpaceDE/>
              <w:autoSpaceDN/>
              <w:bidi w:val="0"/>
              <w:adjustRightInd/>
              <w:spacing w:line="540" w:lineRule="exact"/>
              <w:ind w:firstLine="464" w:firstLineChars="200"/>
              <w:jc w:val="center"/>
              <w:textAlignment w:val="auto"/>
              <w:rPr>
                <w:rFonts w:ascii="Times New Roman" w:hAnsi="Times New Roman" w:eastAsia="方正仿宋_GBK" w:cs="Times New Roman"/>
                <w:b w:val="0"/>
                <w:bCs w:val="0"/>
                <w:sz w:val="24"/>
                <w:highlight w:val="none"/>
              </w:rPr>
            </w:pPr>
            <w:r>
              <w:rPr>
                <w:rFonts w:hint="eastAsia" w:ascii="Times New Roman" w:hAnsi="Times New Roman" w:eastAsia="仿宋_GB2312" w:cs="Times New Roman"/>
                <w:b w:val="0"/>
                <w:bCs w:val="0"/>
                <w:sz w:val="24"/>
                <w:highlight w:val="none"/>
              </w:rPr>
              <w:t>专栏</w:t>
            </w:r>
            <w:r>
              <w:rPr>
                <w:rFonts w:hint="eastAsia" w:ascii="Times New Roman" w:hAnsi="Times New Roman" w:eastAsia="仿宋_GB2312" w:cs="Times New Roman"/>
                <w:b w:val="0"/>
                <w:bCs w:val="0"/>
                <w:sz w:val="24"/>
                <w:highlight w:val="none"/>
                <w:lang w:val="en-US" w:eastAsia="zh-CN"/>
              </w:rPr>
              <w:t>8 农牧业提质增效</w:t>
            </w:r>
            <w:r>
              <w:rPr>
                <w:rFonts w:hint="eastAsia" w:ascii="Times New Roman" w:hAnsi="Times New Roman" w:eastAsia="仿宋_GB2312" w:cs="Times New Roman"/>
                <w:b w:val="0"/>
                <w:bCs w:val="0"/>
                <w:sz w:val="24"/>
                <w:highlight w:val="none"/>
              </w:rPr>
              <w:t>重大工程</w:t>
            </w:r>
          </w:p>
        </w:tc>
      </w:tr>
      <w:tr w14:paraId="57415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59" w:type="dxa"/>
            <w:noWrap w:val="0"/>
            <w:vAlign w:val="top"/>
          </w:tcPr>
          <w:p w14:paraId="1D120592">
            <w:pPr>
              <w:keepNext w:val="0"/>
              <w:keepLines w:val="0"/>
              <w:pageBreakBefore w:val="0"/>
              <w:kinsoku/>
              <w:wordWrap/>
              <w:topLinePunct w:val="0"/>
              <w:autoSpaceDE/>
              <w:autoSpaceDN/>
              <w:bidi w:val="0"/>
              <w:adjustRightInd/>
              <w:spacing w:line="540" w:lineRule="exact"/>
              <w:ind w:firstLine="464" w:firstLineChars="200"/>
              <w:textAlignment w:val="auto"/>
              <w:rPr>
                <w:rFonts w:hint="eastAsia" w:ascii="Times New Roman" w:hAnsi="Times New Roman" w:eastAsia="仿宋_GB2312" w:cs="Times New Roman"/>
                <w:b w:val="0"/>
                <w:bCs w:val="0"/>
                <w:sz w:val="24"/>
                <w:highlight w:val="none"/>
                <w:lang w:val="en-US" w:eastAsia="zh-CN"/>
              </w:rPr>
            </w:pPr>
            <w:r>
              <w:rPr>
                <w:rFonts w:hint="eastAsia" w:ascii="Times New Roman" w:hAnsi="Times New Roman" w:eastAsia="仿宋_GB2312" w:cs="Times New Roman"/>
                <w:b w:val="0"/>
                <w:bCs w:val="0"/>
                <w:sz w:val="24"/>
                <w:highlight w:val="none"/>
                <w:lang w:val="en-US" w:eastAsia="zh-CN"/>
              </w:rPr>
              <w:t>粮食安全重大工程：以高标准农田建设夯实粮食安全基础，</w:t>
            </w:r>
            <w:r>
              <w:rPr>
                <w:rFonts w:hint="eastAsia" w:ascii="Times New Roman" w:hAnsi="Times New Roman" w:eastAsia="仿宋_GB2312" w:cs="Times New Roman"/>
                <w:b w:val="0"/>
                <w:bCs w:val="0"/>
                <w:sz w:val="24"/>
                <w:highlight w:val="none"/>
              </w:rPr>
              <w:t>新建和改造提升高标准农田</w:t>
            </w:r>
            <w:r>
              <w:rPr>
                <w:rFonts w:hint="eastAsia" w:ascii="Times New Roman" w:hAnsi="Times New Roman" w:eastAsia="仿宋_GB2312" w:cs="Times New Roman"/>
                <w:b w:val="0"/>
                <w:bCs w:val="0"/>
                <w:sz w:val="24"/>
                <w:highlight w:val="none"/>
                <w:lang w:val="en-US" w:eastAsia="zh-CN"/>
              </w:rPr>
              <w:t>3</w:t>
            </w:r>
            <w:r>
              <w:rPr>
                <w:rFonts w:hint="eastAsia" w:ascii="Times New Roman" w:hAnsi="Times New Roman" w:eastAsia="仿宋_GB2312" w:cs="Times New Roman"/>
                <w:b w:val="0"/>
                <w:bCs w:val="0"/>
                <w:sz w:val="24"/>
                <w:highlight w:val="none"/>
              </w:rPr>
              <w:t>00万亩</w:t>
            </w:r>
            <w:r>
              <w:rPr>
                <w:rFonts w:hint="eastAsia" w:ascii="Times New Roman" w:hAnsi="Times New Roman" w:eastAsia="仿宋_GB2312" w:cs="Times New Roman"/>
                <w:b w:val="0"/>
                <w:bCs w:val="0"/>
                <w:sz w:val="24"/>
                <w:highlight w:val="none"/>
                <w:lang w:eastAsia="zh-CN"/>
              </w:rPr>
              <w:t>；</w:t>
            </w:r>
            <w:r>
              <w:rPr>
                <w:rFonts w:hint="eastAsia" w:ascii="Times New Roman" w:hAnsi="Times New Roman" w:eastAsia="仿宋_GB2312" w:cs="Times New Roman"/>
                <w:b w:val="0"/>
                <w:bCs w:val="0"/>
                <w:sz w:val="24"/>
                <w:highlight w:val="none"/>
                <w:lang w:val="en-US" w:eastAsia="zh-CN"/>
              </w:rPr>
              <w:t>着力提升粮食生产能力，</w:t>
            </w:r>
            <w:r>
              <w:rPr>
                <w:rFonts w:hint="eastAsia" w:ascii="Times New Roman" w:hAnsi="Times New Roman" w:eastAsia="仿宋_GB2312" w:cs="Times New Roman"/>
                <w:b w:val="0"/>
                <w:bCs w:val="0"/>
                <w:sz w:val="24"/>
                <w:highlight w:val="none"/>
              </w:rPr>
              <w:t>重点</w:t>
            </w:r>
            <w:r>
              <w:rPr>
                <w:rFonts w:hint="eastAsia" w:ascii="Times New Roman" w:hAnsi="Times New Roman" w:eastAsia="仿宋_GB2312" w:cs="Times New Roman"/>
                <w:b w:val="0"/>
                <w:bCs w:val="0"/>
                <w:sz w:val="24"/>
                <w:highlight w:val="none"/>
                <w:lang w:val="en-US" w:eastAsia="zh-CN"/>
              </w:rPr>
              <w:t>推进</w:t>
            </w:r>
            <w:r>
              <w:rPr>
                <w:rFonts w:hint="eastAsia" w:ascii="Times New Roman" w:hAnsi="Times New Roman" w:eastAsia="仿宋_GB2312" w:cs="Times New Roman"/>
                <w:b w:val="0"/>
                <w:bCs w:val="0"/>
                <w:sz w:val="24"/>
                <w:highlight w:val="none"/>
              </w:rPr>
              <w:t>玉米</w:t>
            </w:r>
            <w:r>
              <w:rPr>
                <w:rFonts w:hint="eastAsia" w:ascii="Times New Roman" w:hAnsi="Times New Roman" w:eastAsia="仿宋_GB2312" w:cs="Times New Roman"/>
                <w:b w:val="0"/>
                <w:bCs w:val="0"/>
                <w:sz w:val="24"/>
                <w:highlight w:val="none"/>
                <w:lang w:eastAsia="zh-CN"/>
              </w:rPr>
              <w:t>、</w:t>
            </w:r>
            <w:r>
              <w:rPr>
                <w:rFonts w:hint="eastAsia" w:ascii="Times New Roman" w:hAnsi="Times New Roman" w:eastAsia="仿宋_GB2312" w:cs="Times New Roman"/>
                <w:b w:val="0"/>
                <w:bCs w:val="0"/>
                <w:sz w:val="24"/>
                <w:highlight w:val="none"/>
                <w:lang w:val="en-US" w:eastAsia="zh-CN"/>
              </w:rPr>
              <w:t>大豆、马铃薯等主要粮油作物大面积单产提升；有效提升耕地质量，因地制宜开展盐碱耕地治理改良、推进黑土地保护利用。</w:t>
            </w:r>
          </w:p>
          <w:p w14:paraId="156273CE">
            <w:pPr>
              <w:keepNext w:val="0"/>
              <w:keepLines w:val="0"/>
              <w:pageBreakBefore w:val="0"/>
              <w:kinsoku/>
              <w:wordWrap/>
              <w:topLinePunct w:val="0"/>
              <w:autoSpaceDE/>
              <w:autoSpaceDN/>
              <w:bidi w:val="0"/>
              <w:adjustRightInd/>
              <w:spacing w:line="540" w:lineRule="exact"/>
              <w:ind w:firstLine="464" w:firstLineChars="200"/>
              <w:textAlignment w:val="auto"/>
              <w:rPr>
                <w:rFonts w:hint="default" w:ascii="Times New Roman" w:hAnsi="Times New Roman" w:eastAsia="仿宋_GB2312" w:cs="Times New Roman"/>
                <w:b w:val="0"/>
                <w:bCs w:val="0"/>
                <w:sz w:val="24"/>
                <w:highlight w:val="none"/>
                <w:lang w:val="en-US" w:eastAsia="zh-CN"/>
              </w:rPr>
            </w:pPr>
            <w:r>
              <w:rPr>
                <w:rFonts w:hint="eastAsia" w:ascii="Times New Roman" w:hAnsi="Times New Roman" w:eastAsia="仿宋_GB2312" w:cs="Times New Roman"/>
                <w:b w:val="0"/>
                <w:bCs w:val="0"/>
                <w:sz w:val="24"/>
                <w:highlight w:val="none"/>
                <w:lang w:val="en-US" w:eastAsia="zh-CN"/>
              </w:rPr>
              <w:t>设施农业重大工程：坚持资源集约节约、科技创新引领、生产绿色循环、经营主体多元的基本原则，以升级改造老旧设施、推进先进设施带动为重点，促进设施农业集约化、标准化、机械化、绿色化、数字化发展。</w:t>
            </w:r>
          </w:p>
          <w:p w14:paraId="27D79BF0">
            <w:pPr>
              <w:keepNext w:val="0"/>
              <w:keepLines w:val="0"/>
              <w:pageBreakBefore w:val="0"/>
              <w:kinsoku/>
              <w:wordWrap/>
              <w:topLinePunct w:val="0"/>
              <w:autoSpaceDE/>
              <w:autoSpaceDN/>
              <w:bidi w:val="0"/>
              <w:adjustRightInd/>
              <w:spacing w:line="540" w:lineRule="exact"/>
              <w:ind w:firstLine="464" w:firstLineChars="200"/>
              <w:textAlignment w:val="auto"/>
              <w:rPr>
                <w:rFonts w:hint="eastAsia" w:ascii="Times New Roman" w:hAnsi="Times New Roman" w:eastAsia="仿宋_GB2312" w:cs="Times New Roman"/>
                <w:b w:val="0"/>
                <w:bCs w:val="0"/>
                <w:sz w:val="24"/>
                <w:highlight w:val="none"/>
                <w:lang w:val="en-US" w:eastAsia="zh-CN"/>
              </w:rPr>
            </w:pPr>
            <w:r>
              <w:rPr>
                <w:rFonts w:hint="eastAsia" w:ascii="Times New Roman" w:hAnsi="Times New Roman" w:eastAsia="仿宋_GB2312" w:cs="Times New Roman"/>
                <w:b w:val="0"/>
                <w:bCs w:val="0"/>
                <w:sz w:val="24"/>
                <w:highlight w:val="none"/>
                <w:lang w:val="en-US" w:eastAsia="zh-CN"/>
              </w:rPr>
              <w:t>畜牧业重大工程：围绕肉羊、肉牛、生猪、家禽等产业，优化发展布局，在阿鲁科尔沁旗、巴林右旗、克什克腾旗、翁牛特旗、林西县等地区打造肉牛繁育优势区，在宁城县、翁牛特旗、松山区、敖汉旗、巴林左旗建设肉牛肉羊标准化育肥基地，在敖汉、克什克腾旗、巴林右旗、元宝山区等建立高质量种羊繁育基地，在翁牛特旗、敖汉旗、松山区、喀喇沁旗打造高效猪禽养殖场。</w:t>
            </w:r>
          </w:p>
          <w:p w14:paraId="78F1BE1D">
            <w:pPr>
              <w:keepNext w:val="0"/>
              <w:keepLines w:val="0"/>
              <w:pageBreakBefore w:val="0"/>
              <w:kinsoku/>
              <w:wordWrap/>
              <w:topLinePunct w:val="0"/>
              <w:autoSpaceDE/>
              <w:autoSpaceDN/>
              <w:bidi w:val="0"/>
              <w:adjustRightInd/>
              <w:spacing w:line="540" w:lineRule="exact"/>
              <w:ind w:firstLine="464" w:firstLineChars="200"/>
              <w:textAlignment w:val="auto"/>
              <w:rPr>
                <w:rFonts w:hint="eastAsia" w:ascii="Times New Roman" w:hAnsi="Times New Roman" w:eastAsia="仿宋_GB2312" w:cs="Times New Roman"/>
                <w:b w:val="0"/>
                <w:bCs w:val="0"/>
                <w:sz w:val="24"/>
                <w:highlight w:val="none"/>
                <w:lang w:val="en-US" w:eastAsia="zh-CN"/>
              </w:rPr>
            </w:pPr>
            <w:r>
              <w:rPr>
                <w:rFonts w:hint="eastAsia" w:ascii="Times New Roman" w:hAnsi="Times New Roman" w:eastAsia="仿宋_GB2312" w:cs="Times New Roman"/>
                <w:b w:val="0"/>
                <w:bCs w:val="0"/>
                <w:sz w:val="24"/>
                <w:highlight w:val="none"/>
                <w:lang w:val="en-US" w:eastAsia="zh-CN"/>
              </w:rPr>
              <w:t>杂粮杂豆重大工程：坚持</w:t>
            </w:r>
            <w:r>
              <w:rPr>
                <w:rFonts w:hint="eastAsia" w:ascii="Times New Roman" w:hAnsi="Times New Roman" w:eastAsia="仿宋_GB2312" w:cs="Times New Roman"/>
                <w:b w:val="0"/>
                <w:bCs w:val="0"/>
                <w:sz w:val="24"/>
                <w:highlight w:val="none"/>
              </w:rPr>
              <w:t>提高单产、精深加工、培育品种</w:t>
            </w:r>
            <w:r>
              <w:rPr>
                <w:rFonts w:hint="eastAsia" w:ascii="Times New Roman" w:hAnsi="Times New Roman" w:eastAsia="仿宋_GB2312" w:cs="Times New Roman"/>
                <w:b w:val="0"/>
                <w:bCs w:val="0"/>
                <w:sz w:val="24"/>
                <w:highlight w:val="none"/>
                <w:lang w:eastAsia="zh-CN"/>
              </w:rPr>
              <w:t>、</w:t>
            </w:r>
            <w:r>
              <w:rPr>
                <w:rFonts w:hint="eastAsia" w:ascii="Times New Roman" w:hAnsi="Times New Roman" w:eastAsia="仿宋_GB2312" w:cs="Times New Roman"/>
                <w:b w:val="0"/>
                <w:bCs w:val="0"/>
                <w:sz w:val="24"/>
                <w:highlight w:val="none"/>
              </w:rPr>
              <w:t>塑造品牌</w:t>
            </w:r>
            <w:r>
              <w:rPr>
                <w:rFonts w:hint="eastAsia" w:ascii="Times New Roman" w:hAnsi="Times New Roman" w:eastAsia="仿宋_GB2312" w:cs="Times New Roman"/>
                <w:b w:val="0"/>
                <w:bCs w:val="0"/>
                <w:sz w:val="24"/>
                <w:highlight w:val="none"/>
                <w:lang w:val="en-US" w:eastAsia="zh-CN"/>
              </w:rPr>
              <w:t>发展思路，重点发展</w:t>
            </w:r>
            <w:r>
              <w:rPr>
                <w:rFonts w:hint="eastAsia" w:ascii="Times New Roman" w:hAnsi="Times New Roman" w:eastAsia="仿宋_GB2312" w:cs="Times New Roman"/>
                <w:b w:val="0"/>
                <w:bCs w:val="0"/>
                <w:sz w:val="24"/>
                <w:highlight w:val="none"/>
              </w:rPr>
              <w:t>谷子、高粱、荞麦等</w:t>
            </w:r>
            <w:r>
              <w:rPr>
                <w:rFonts w:hint="eastAsia" w:ascii="Times New Roman" w:hAnsi="Times New Roman" w:eastAsia="仿宋_GB2312" w:cs="Times New Roman"/>
                <w:b w:val="0"/>
                <w:bCs w:val="0"/>
                <w:sz w:val="24"/>
                <w:highlight w:val="none"/>
                <w:lang w:val="en-US" w:eastAsia="zh-CN"/>
              </w:rPr>
              <w:t>优势品种，推动</w:t>
            </w:r>
            <w:r>
              <w:rPr>
                <w:rFonts w:hint="eastAsia" w:ascii="Times New Roman" w:hAnsi="Times New Roman" w:eastAsia="仿宋_GB2312" w:cs="Times New Roman"/>
                <w:b w:val="0"/>
                <w:bCs w:val="0"/>
                <w:sz w:val="24"/>
                <w:highlight w:val="none"/>
              </w:rPr>
              <w:t>小杂粮成长为</w:t>
            </w:r>
            <w:r>
              <w:rPr>
                <w:rFonts w:hint="eastAsia" w:ascii="Times New Roman" w:hAnsi="Times New Roman" w:eastAsia="仿宋_GB2312" w:cs="Times New Roman"/>
                <w:b w:val="0"/>
                <w:bCs w:val="0"/>
                <w:sz w:val="24"/>
                <w:highlight w:val="none"/>
                <w:lang w:val="en-US" w:eastAsia="zh-CN"/>
              </w:rPr>
              <w:t>大产业，</w:t>
            </w:r>
            <w:r>
              <w:rPr>
                <w:rFonts w:hint="eastAsia" w:ascii="Times New Roman" w:hAnsi="Times New Roman" w:eastAsia="仿宋_GB2312" w:cs="Times New Roman"/>
                <w:b w:val="0"/>
                <w:bCs w:val="0"/>
                <w:sz w:val="24"/>
                <w:highlight w:val="none"/>
              </w:rPr>
              <w:t>重点</w:t>
            </w:r>
            <w:r>
              <w:rPr>
                <w:rFonts w:hint="eastAsia" w:ascii="Times New Roman" w:hAnsi="Times New Roman" w:eastAsia="仿宋_GB2312" w:cs="Times New Roman"/>
                <w:b w:val="0"/>
                <w:bCs w:val="0"/>
                <w:sz w:val="24"/>
                <w:highlight w:val="none"/>
                <w:lang w:val="en-US" w:eastAsia="zh-CN"/>
              </w:rPr>
              <w:t>推进</w:t>
            </w:r>
            <w:r>
              <w:rPr>
                <w:rFonts w:hint="eastAsia" w:ascii="Times New Roman" w:hAnsi="Times New Roman" w:eastAsia="仿宋_GB2312" w:cs="Times New Roman"/>
                <w:b w:val="0"/>
                <w:bCs w:val="0"/>
                <w:sz w:val="24"/>
                <w:highlight w:val="none"/>
              </w:rPr>
              <w:t>旱作谷子优势特色产业集群</w:t>
            </w:r>
            <w:r>
              <w:rPr>
                <w:rFonts w:hint="eastAsia" w:ascii="Times New Roman" w:hAnsi="Times New Roman" w:eastAsia="仿宋_GB2312" w:cs="Times New Roman"/>
                <w:b w:val="0"/>
                <w:bCs w:val="0"/>
                <w:sz w:val="24"/>
                <w:highlight w:val="none"/>
                <w:lang w:val="en-US" w:eastAsia="zh-CN"/>
              </w:rPr>
              <w:t>等建设。</w:t>
            </w:r>
          </w:p>
          <w:p w14:paraId="06391AA1">
            <w:pPr>
              <w:keepNext w:val="0"/>
              <w:keepLines w:val="0"/>
              <w:pageBreakBefore w:val="0"/>
              <w:kinsoku/>
              <w:wordWrap/>
              <w:topLinePunct w:val="0"/>
              <w:autoSpaceDE/>
              <w:autoSpaceDN/>
              <w:bidi w:val="0"/>
              <w:adjustRightInd/>
              <w:spacing w:line="540" w:lineRule="exact"/>
              <w:ind w:firstLine="464" w:firstLineChars="200"/>
              <w:textAlignment w:val="auto"/>
              <w:rPr>
                <w:rFonts w:hint="default" w:ascii="Times New Roman" w:hAnsi="Times New Roman" w:eastAsia="仿宋_GB2312" w:cs="Times New Roman"/>
                <w:b w:val="0"/>
                <w:bCs w:val="0"/>
                <w:sz w:val="24"/>
                <w:highlight w:val="none"/>
                <w:lang w:val="en-US" w:eastAsia="zh-CN"/>
              </w:rPr>
            </w:pPr>
            <w:r>
              <w:rPr>
                <w:rFonts w:hint="eastAsia" w:ascii="Times New Roman" w:hAnsi="Times New Roman" w:eastAsia="仿宋_GB2312" w:cs="Times New Roman"/>
                <w:b w:val="0"/>
                <w:bCs w:val="0"/>
                <w:sz w:val="24"/>
                <w:highlight w:val="none"/>
                <w:lang w:val="en-US" w:eastAsia="zh-CN"/>
              </w:rPr>
              <w:t>种业振兴重大工程：坚持资源保护、品种培育、品牌推广发展思路，围绕肉羊、生猪、肉鸭、玉米、谷子等优势品种，构建以企业为主体、以科研机构为支撑、以基地为依托的种业发展体系。</w:t>
            </w:r>
          </w:p>
          <w:p w14:paraId="05EA533B">
            <w:pPr>
              <w:keepNext w:val="0"/>
              <w:keepLines w:val="0"/>
              <w:pageBreakBefore w:val="0"/>
              <w:kinsoku/>
              <w:wordWrap/>
              <w:topLinePunct w:val="0"/>
              <w:autoSpaceDE/>
              <w:autoSpaceDN/>
              <w:bidi w:val="0"/>
              <w:adjustRightInd/>
              <w:spacing w:line="540" w:lineRule="exact"/>
              <w:ind w:firstLine="464" w:firstLineChars="200"/>
              <w:textAlignment w:val="auto"/>
              <w:rPr>
                <w:rFonts w:hint="default" w:ascii="Times New Roman" w:hAnsi="Times New Roman" w:eastAsia="方正仿宋_GBK" w:cs="Times New Roman"/>
                <w:b w:val="0"/>
                <w:bCs w:val="0"/>
                <w:highlight w:val="none"/>
                <w:lang w:val="en-US" w:eastAsia="zh-CN"/>
              </w:rPr>
            </w:pPr>
            <w:r>
              <w:rPr>
                <w:rFonts w:hint="eastAsia" w:ascii="Times New Roman" w:hAnsi="Times New Roman" w:eastAsia="仿宋_GB2312" w:cs="Times New Roman"/>
                <w:b w:val="0"/>
                <w:bCs w:val="0"/>
                <w:sz w:val="24"/>
                <w:highlight w:val="none"/>
                <w:lang w:val="en-US" w:eastAsia="zh-CN"/>
              </w:rPr>
              <w:t>林草产业重大工程：坚持集中集约集聚发展思路，围绕木本粮油、林下经济等产业，支持林业产业基地建设、林菌、林药标准化基地建设。</w:t>
            </w:r>
          </w:p>
        </w:tc>
      </w:tr>
    </w:tbl>
    <w:p w14:paraId="2D4ADDAF">
      <w:pPr>
        <w:keepNext w:val="0"/>
        <w:keepLines w:val="0"/>
        <w:pageBreakBefore w:val="0"/>
        <w:shd w:val="clear" w:color="auto" w:fill="auto"/>
        <w:kinsoku/>
        <w:wordWrap/>
        <w:topLinePunct w:val="0"/>
        <w:autoSpaceDE/>
        <w:autoSpaceDN/>
        <w:bidi w:val="0"/>
        <w:adjustRightInd/>
        <w:spacing w:line="540" w:lineRule="exact"/>
        <w:textAlignment w:val="auto"/>
        <w:rPr>
          <w:rFonts w:hint="eastAsia"/>
          <w:b w:val="0"/>
          <w:bCs w:val="0"/>
          <w:highlight w:val="none"/>
          <w:lang w:val="en-US" w:eastAsia="zh-CN"/>
        </w:rPr>
      </w:pPr>
    </w:p>
    <w:p w14:paraId="2DAF0C18">
      <w:pPr>
        <w:pStyle w:val="43"/>
        <w:keepNext w:val="0"/>
        <w:keepLines w:val="0"/>
        <w:pageBreakBefore w:val="0"/>
        <w:shd w:val="clear" w:color="auto" w:fill="auto"/>
        <w:kinsoku/>
        <w:wordWrap/>
        <w:topLinePunct w:val="0"/>
        <w:autoSpaceDE/>
        <w:autoSpaceDN/>
        <w:bidi w:val="0"/>
        <w:adjustRightInd/>
        <w:spacing w:line="540" w:lineRule="exact"/>
        <w:ind w:firstLine="624" w:firstLineChars="200"/>
        <w:textAlignment w:val="auto"/>
        <w:outlineLvl w:val="9"/>
        <w:rPr>
          <w:rFonts w:hint="eastAsia" w:ascii="Times New Roman" w:hAnsi="Times New Roman" w:eastAsia="仿宋_GB2312" w:cs="方正仿宋_GBK"/>
          <w:b w:val="0"/>
          <w:bCs w:val="0"/>
          <w:spacing w:val="0"/>
          <w:kern w:val="2"/>
          <w:highlight w:val="none"/>
          <w:lang w:eastAsia="zh-CN"/>
        </w:rPr>
      </w:pP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eastAsia="仿宋_GB2312" w:cs="方正仿宋_GBK"/>
          <w:b w:val="0"/>
          <w:bCs w:val="0"/>
          <w:color w:val="auto"/>
          <w:spacing w:val="0"/>
          <w:kern w:val="2"/>
          <w:sz w:val="32"/>
          <w:szCs w:val="32"/>
          <w:highlight w:val="none"/>
          <w:lang w:val="en-US" w:eastAsia="zh-CN"/>
        </w:rPr>
        <w:t>健全现代化农牧业产业体系。</w:t>
      </w:r>
      <w:r>
        <w:rPr>
          <w:rFonts w:hint="eastAsia" w:ascii="Times New Roman" w:hAnsi="Times New Roman" w:eastAsia="仿宋_GB2312" w:cs="方正仿宋_GBK"/>
          <w:b w:val="0"/>
          <w:bCs w:val="0"/>
          <w:spacing w:val="0"/>
          <w:kern w:val="2"/>
          <w:highlight w:val="none"/>
        </w:rPr>
        <w:t>提升</w:t>
      </w:r>
      <w:r>
        <w:rPr>
          <w:rFonts w:hint="eastAsia" w:eastAsia="仿宋_GB2312" w:cs="方正仿宋_GBK"/>
          <w:b w:val="0"/>
          <w:bCs w:val="0"/>
          <w:spacing w:val="0"/>
          <w:kern w:val="2"/>
          <w:highlight w:val="none"/>
          <w:lang w:val="en-US" w:eastAsia="zh-CN"/>
        </w:rPr>
        <w:t>农畜</w:t>
      </w:r>
      <w:r>
        <w:rPr>
          <w:rFonts w:hint="eastAsia" w:ascii="Times New Roman" w:hAnsi="Times New Roman" w:eastAsia="仿宋_GB2312" w:cs="方正仿宋_GBK"/>
          <w:b w:val="0"/>
          <w:bCs w:val="0"/>
          <w:spacing w:val="0"/>
          <w:kern w:val="2"/>
          <w:highlight w:val="none"/>
        </w:rPr>
        <w:t>产品精深加工水平，加强品牌建设，强化科技装备支撑，</w:t>
      </w:r>
      <w:r>
        <w:rPr>
          <w:rFonts w:hint="eastAsia" w:eastAsia="仿宋_GB2312" w:cs="方正仿宋_GBK"/>
          <w:b w:val="0"/>
          <w:bCs w:val="0"/>
          <w:spacing w:val="0"/>
          <w:kern w:val="2"/>
          <w:highlight w:val="none"/>
          <w:lang w:val="en-US" w:eastAsia="zh-CN"/>
        </w:rPr>
        <w:t>完善产业链条</w:t>
      </w:r>
      <w:r>
        <w:rPr>
          <w:rFonts w:hint="eastAsia" w:ascii="Times New Roman" w:hAnsi="Times New Roman" w:eastAsia="仿宋_GB2312" w:cs="方正仿宋_GBK"/>
          <w:b w:val="0"/>
          <w:bCs w:val="0"/>
          <w:spacing w:val="0"/>
          <w:kern w:val="2"/>
          <w:highlight w:val="none"/>
        </w:rPr>
        <w:t>，提升农牧业综合效益</w:t>
      </w:r>
      <w:r>
        <w:rPr>
          <w:rFonts w:hint="eastAsia" w:ascii="Times New Roman" w:hAnsi="Times New Roman" w:eastAsia="仿宋_GB2312" w:cs="方正仿宋_GBK"/>
          <w:b w:val="0"/>
          <w:bCs w:val="0"/>
          <w:spacing w:val="0"/>
          <w:kern w:val="2"/>
          <w:highlight w:val="none"/>
          <w:lang w:eastAsia="zh-CN"/>
        </w:rPr>
        <w:t>和竞争力。</w:t>
      </w:r>
    </w:p>
    <w:p w14:paraId="5EB833EC">
      <w:pPr>
        <w:pStyle w:val="43"/>
        <w:keepNext w:val="0"/>
        <w:keepLines w:val="0"/>
        <w:pageBreakBefore w:val="0"/>
        <w:shd w:val="clear" w:color="auto" w:fill="auto"/>
        <w:kinsoku/>
        <w:wordWrap/>
        <w:topLinePunct w:val="0"/>
        <w:autoSpaceDE/>
        <w:autoSpaceDN/>
        <w:bidi w:val="0"/>
        <w:adjustRightInd/>
        <w:spacing w:line="540" w:lineRule="exact"/>
        <w:ind w:firstLine="624" w:firstLineChars="200"/>
        <w:textAlignment w:val="auto"/>
        <w:outlineLvl w:val="9"/>
        <w:rPr>
          <w:rFonts w:hint="eastAsia" w:ascii="Times New Roman" w:hAnsi="Times New Roman" w:eastAsia="仿宋_GB2312" w:cs="方正仿宋_GBK"/>
          <w:b w:val="0"/>
          <w:bCs w:val="0"/>
          <w:spacing w:val="0"/>
          <w:kern w:val="2"/>
          <w:highlight w:val="none"/>
        </w:rPr>
      </w:pPr>
      <w:bookmarkStart w:id="397" w:name="_Toc8467"/>
      <w:r>
        <w:rPr>
          <w:rFonts w:hint="eastAsia" w:ascii="Times New Roman" w:hAnsi="Times New Roman" w:eastAsia="仿宋_GB2312" w:cs="方正仿宋_GBK"/>
          <w:b w:val="0"/>
          <w:bCs w:val="0"/>
          <w:spacing w:val="0"/>
          <w:kern w:val="2"/>
          <w:highlight w:val="none"/>
          <w:lang w:eastAsia="zh-CN"/>
        </w:rPr>
        <w:t>推进</w:t>
      </w:r>
      <w:r>
        <w:rPr>
          <w:rFonts w:hint="eastAsia" w:ascii="Times New Roman" w:hAnsi="Times New Roman" w:eastAsia="仿宋_GB2312" w:cs="方正仿宋_GBK"/>
          <w:b w:val="0"/>
          <w:bCs w:val="0"/>
          <w:spacing w:val="0"/>
          <w:kern w:val="2"/>
          <w:highlight w:val="none"/>
          <w:lang w:val="en-US" w:eastAsia="zh-CN"/>
        </w:rPr>
        <w:t>加工流通提质</w:t>
      </w:r>
      <w:r>
        <w:rPr>
          <w:rFonts w:hint="eastAsia" w:eastAsia="仿宋_GB2312" w:cs="方正仿宋_GBK"/>
          <w:b w:val="0"/>
          <w:bCs w:val="0"/>
          <w:color w:val="auto"/>
          <w:highlight w:val="none"/>
          <w:lang w:val="en-US" w:eastAsia="zh-CN"/>
        </w:rPr>
        <w:t>升级</w:t>
      </w:r>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color w:val="auto"/>
          <w:highlight w:val="none"/>
          <w:lang w:eastAsia="zh-CN"/>
        </w:rPr>
        <w:t>立足“粮肉菜特奶”</w:t>
      </w:r>
      <w:r>
        <w:rPr>
          <w:rFonts w:hint="eastAsia" w:ascii="Times New Roman" w:hAnsi="Times New Roman" w:eastAsia="仿宋_GB2312" w:cs="方正仿宋_GBK"/>
          <w:b w:val="0"/>
          <w:bCs w:val="0"/>
          <w:color w:val="auto"/>
          <w:highlight w:val="none"/>
          <w:lang w:val="en-US" w:eastAsia="zh-CN"/>
        </w:rPr>
        <w:t>等优势产业基础</w:t>
      </w:r>
      <w:r>
        <w:rPr>
          <w:rFonts w:hint="eastAsia" w:ascii="Times New Roman" w:hAnsi="Times New Roman" w:eastAsia="仿宋_GB2312" w:cs="方正仿宋_GBK"/>
          <w:b w:val="0"/>
          <w:bCs w:val="0"/>
          <w:color w:val="auto"/>
          <w:highlight w:val="none"/>
          <w:lang w:eastAsia="zh-CN"/>
        </w:rPr>
        <w:t>，</w:t>
      </w:r>
      <w:r>
        <w:rPr>
          <w:rFonts w:hint="eastAsia" w:eastAsia="仿宋_GB2312" w:cs="方正仿宋_GBK"/>
          <w:b w:val="0"/>
          <w:bCs w:val="0"/>
          <w:color w:val="auto"/>
          <w:highlight w:val="none"/>
          <w:lang w:val="en-US" w:eastAsia="zh-CN"/>
        </w:rPr>
        <w:t>聚焦玉米、肉牛肉羊、杂粮杂豆、果蔬、猪禽、乳制品、中药材、绒毛、糖类等优势产业，</w:t>
      </w:r>
      <w:r>
        <w:rPr>
          <w:rFonts w:hint="eastAsia" w:ascii="Times New Roman" w:hAnsi="Times New Roman" w:eastAsia="仿宋_GB2312" w:cs="方正仿宋_GBK"/>
          <w:b w:val="0"/>
          <w:bCs w:val="0"/>
          <w:color w:val="auto"/>
          <w:highlight w:val="none"/>
        </w:rPr>
        <w:t>推动</w:t>
      </w:r>
      <w:r>
        <w:rPr>
          <w:rFonts w:hint="eastAsia" w:eastAsia="仿宋_GB2312" w:cs="方正仿宋_GBK"/>
          <w:b w:val="0"/>
          <w:bCs w:val="0"/>
          <w:color w:val="auto"/>
          <w:highlight w:val="none"/>
          <w:lang w:val="en-US" w:eastAsia="zh-CN"/>
        </w:rPr>
        <w:t>农畜产品加工业</w:t>
      </w:r>
      <w:r>
        <w:rPr>
          <w:rFonts w:hint="eastAsia" w:ascii="Times New Roman" w:hAnsi="Times New Roman" w:eastAsia="仿宋_GB2312" w:cs="方正仿宋_GBK"/>
          <w:b w:val="0"/>
          <w:bCs w:val="0"/>
          <w:color w:val="auto"/>
          <w:highlight w:val="none"/>
        </w:rPr>
        <w:t>全产业链增值。做优做强乳制品加工，支持乳制品加工企业扩大加工量。</w:t>
      </w:r>
      <w:r>
        <w:rPr>
          <w:rFonts w:hint="eastAsia" w:ascii="Times New Roman" w:hAnsi="Times New Roman" w:eastAsia="仿宋_GB2312" w:cs="方正仿宋_GBK"/>
          <w:b w:val="0"/>
          <w:bCs w:val="0"/>
          <w:color w:val="auto"/>
          <w:highlight w:val="none"/>
          <w:lang w:val="en-US" w:eastAsia="zh-CN"/>
        </w:rPr>
        <w:t>集中资源发展肉产业，以争做全区肉产业龙头为目标，</w:t>
      </w:r>
      <w:r>
        <w:rPr>
          <w:rFonts w:hint="eastAsia" w:ascii="Times New Roman" w:hAnsi="Times New Roman" w:eastAsia="仿宋_GB2312" w:cs="方正仿宋_GBK"/>
          <w:b w:val="0"/>
          <w:bCs w:val="0"/>
          <w:color w:val="auto"/>
          <w:highlight w:val="none"/>
        </w:rPr>
        <w:t>推动企业充分释放产能，</w:t>
      </w:r>
      <w:r>
        <w:rPr>
          <w:rFonts w:hint="eastAsia" w:ascii="Times New Roman" w:hAnsi="Times New Roman" w:eastAsia="仿宋_GB2312" w:cs="方正仿宋_GBK"/>
          <w:b w:val="0"/>
          <w:bCs w:val="0"/>
          <w:color w:val="auto"/>
          <w:highlight w:val="none"/>
          <w:lang w:val="en-US" w:eastAsia="zh-CN"/>
        </w:rPr>
        <w:t>大力发展精深加工，持续壮大产业规模，</w:t>
      </w:r>
      <w:r>
        <w:rPr>
          <w:rFonts w:hint="eastAsia" w:ascii="Times New Roman" w:hAnsi="Times New Roman" w:eastAsia="仿宋_GB2312" w:cs="方正仿宋_GBK"/>
          <w:b w:val="0"/>
          <w:bCs w:val="0"/>
          <w:color w:val="auto"/>
          <w:highlight w:val="none"/>
        </w:rPr>
        <w:t>打造肉类加工集群。</w:t>
      </w:r>
      <w:r>
        <w:rPr>
          <w:rFonts w:hint="eastAsia" w:ascii="Times New Roman" w:hAnsi="Times New Roman" w:eastAsia="仿宋_GB2312" w:cs="方正仿宋_GBK"/>
          <w:b w:val="0"/>
          <w:bCs w:val="0"/>
          <w:spacing w:val="0"/>
          <w:kern w:val="2"/>
          <w:highlight w:val="none"/>
        </w:rPr>
        <w:t>推进皮毛骨血等副产物综合利用</w:t>
      </w:r>
      <w:r>
        <w:rPr>
          <w:rFonts w:hint="eastAsia" w:eastAsia="仿宋_GB2312" w:cs="方正仿宋_GBK"/>
          <w:b w:val="0"/>
          <w:bCs w:val="0"/>
          <w:spacing w:val="0"/>
          <w:kern w:val="2"/>
          <w:highlight w:val="none"/>
          <w:lang w:eastAsia="zh-CN"/>
        </w:rPr>
        <w:t>。</w:t>
      </w:r>
      <w:r>
        <w:rPr>
          <w:rFonts w:hint="eastAsia" w:eastAsia="仿宋_GB2312" w:cs="方正仿宋_GBK"/>
          <w:b w:val="0"/>
          <w:bCs w:val="0"/>
          <w:spacing w:val="0"/>
          <w:kern w:val="2"/>
          <w:highlight w:val="none"/>
          <w:lang w:val="en-US" w:eastAsia="zh-CN"/>
        </w:rPr>
        <w:t>大力</w:t>
      </w:r>
      <w:r>
        <w:rPr>
          <w:rFonts w:hint="eastAsia" w:eastAsia="仿宋_GB2312" w:cs="方正仿宋_GBK"/>
          <w:b w:val="0"/>
          <w:bCs w:val="0"/>
          <w:spacing w:val="0"/>
          <w:kern w:val="2"/>
          <w:highlight w:val="none"/>
          <w:lang w:eastAsia="zh-CN"/>
        </w:rPr>
        <w:t>开发菊粉等高附加值产品。</w:t>
      </w:r>
      <w:r>
        <w:rPr>
          <w:rFonts w:hint="eastAsia" w:eastAsia="仿宋_GB2312" w:cs="方正仿宋_GBK"/>
          <w:b w:val="0"/>
          <w:bCs w:val="0"/>
          <w:spacing w:val="0"/>
          <w:kern w:val="2"/>
          <w:highlight w:val="none"/>
          <w:lang w:val="en-US" w:eastAsia="zh-CN"/>
        </w:rPr>
        <w:t>坚持统筹布局、集中发展，做大做强现代农牧业产业园区和食品加工园区。</w:t>
      </w:r>
      <w:r>
        <w:rPr>
          <w:rFonts w:hint="eastAsia" w:ascii="Times New Roman" w:hAnsi="Times New Roman" w:eastAsia="仿宋_GB2312" w:cs="方正仿宋_GBK"/>
          <w:b w:val="0"/>
          <w:bCs w:val="0"/>
          <w:color w:val="auto"/>
          <w:highlight w:val="none"/>
        </w:rPr>
        <w:t>到20</w:t>
      </w:r>
      <w:r>
        <w:rPr>
          <w:rFonts w:hint="eastAsia" w:ascii="Times New Roman" w:hAnsi="Times New Roman" w:eastAsia="仿宋_GB2312" w:cs="方正仿宋_GBK"/>
          <w:b w:val="0"/>
          <w:bCs w:val="0"/>
          <w:color w:val="auto"/>
          <w:highlight w:val="none"/>
          <w:lang w:val="en-US" w:eastAsia="zh-CN"/>
        </w:rPr>
        <w:t>30</w:t>
      </w:r>
      <w:r>
        <w:rPr>
          <w:rFonts w:hint="eastAsia" w:ascii="Times New Roman" w:hAnsi="Times New Roman" w:eastAsia="仿宋_GB2312" w:cs="方正仿宋_GBK"/>
          <w:b w:val="0"/>
          <w:bCs w:val="0"/>
          <w:color w:val="auto"/>
          <w:highlight w:val="none"/>
        </w:rPr>
        <w:t>年</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力争</w:t>
      </w:r>
      <w:r>
        <w:rPr>
          <w:rFonts w:hint="eastAsia" w:eastAsia="仿宋_GB2312" w:cs="方正仿宋_GBK"/>
          <w:b w:val="0"/>
          <w:bCs w:val="0"/>
          <w:color w:val="auto"/>
          <w:highlight w:val="none"/>
          <w:lang w:val="en-US" w:eastAsia="zh-CN"/>
        </w:rPr>
        <w:t>食品加工</w:t>
      </w:r>
      <w:r>
        <w:rPr>
          <w:rFonts w:hint="eastAsia" w:ascii="Times New Roman" w:hAnsi="Times New Roman" w:eastAsia="仿宋_GB2312" w:cs="方正仿宋_GBK"/>
          <w:b w:val="0"/>
          <w:bCs w:val="0"/>
          <w:color w:val="auto"/>
          <w:highlight w:val="none"/>
          <w:lang w:val="en-US" w:eastAsia="zh-CN"/>
        </w:rPr>
        <w:t>产业产值达到350</w:t>
      </w:r>
      <w:r>
        <w:rPr>
          <w:rFonts w:hint="eastAsia" w:ascii="Times New Roman" w:hAnsi="Times New Roman" w:eastAsia="仿宋_GB2312" w:cs="方正仿宋_GBK"/>
          <w:b w:val="0"/>
          <w:bCs w:val="0"/>
          <w:color w:val="auto"/>
          <w:highlight w:val="none"/>
        </w:rPr>
        <w:t>亿元</w:t>
      </w:r>
      <w:r>
        <w:rPr>
          <w:rFonts w:hint="eastAsia" w:ascii="Times New Roman" w:hAnsi="Times New Roman" w:eastAsia="仿宋_GB2312" w:cs="方正仿宋_GBK"/>
          <w:b w:val="0"/>
          <w:bCs w:val="0"/>
          <w:color w:val="auto"/>
          <w:highlight w:val="none"/>
          <w:lang w:eastAsia="zh-CN"/>
        </w:rPr>
        <w:t>，主要农</w:t>
      </w:r>
      <w:r>
        <w:rPr>
          <w:rFonts w:hint="eastAsia" w:eastAsia="仿宋_GB2312" w:cs="方正仿宋_GBK"/>
          <w:b w:val="0"/>
          <w:bCs w:val="0"/>
          <w:color w:val="auto"/>
          <w:highlight w:val="none"/>
          <w:lang w:val="en-US" w:eastAsia="zh-CN"/>
        </w:rPr>
        <w:t>畜</w:t>
      </w:r>
      <w:r>
        <w:rPr>
          <w:rFonts w:hint="eastAsia" w:ascii="Times New Roman" w:hAnsi="Times New Roman" w:eastAsia="仿宋_GB2312" w:cs="方正仿宋_GBK"/>
          <w:b w:val="0"/>
          <w:bCs w:val="0"/>
          <w:color w:val="auto"/>
          <w:highlight w:val="none"/>
          <w:lang w:eastAsia="zh-CN"/>
        </w:rPr>
        <w:t>产品加工转化率达到8</w:t>
      </w:r>
      <w:r>
        <w:rPr>
          <w:rFonts w:hint="eastAsia" w:ascii="Times New Roman" w:hAnsi="Times New Roman" w:eastAsia="仿宋_GB2312" w:cs="方正仿宋_GBK"/>
          <w:b w:val="0"/>
          <w:bCs w:val="0"/>
          <w:color w:val="auto"/>
          <w:highlight w:val="none"/>
          <w:lang w:val="en-US" w:eastAsia="zh-CN"/>
        </w:rPr>
        <w:t>2</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以上</w:t>
      </w:r>
      <w:r>
        <w:rPr>
          <w:rFonts w:hint="eastAsia" w:ascii="Times New Roman" w:hAnsi="Times New Roman" w:eastAsia="仿宋_GB2312" w:cs="方正仿宋_GBK"/>
          <w:b w:val="0"/>
          <w:bCs w:val="0"/>
          <w:color w:val="auto"/>
          <w:highlight w:val="none"/>
        </w:rPr>
        <w:t>。</w:t>
      </w:r>
      <w:r>
        <w:rPr>
          <w:rFonts w:hint="eastAsia" w:ascii="Times New Roman" w:hAnsi="Times New Roman" w:eastAsia="仿宋_GB2312" w:cs="方正仿宋_GBK"/>
          <w:b w:val="0"/>
          <w:bCs w:val="0"/>
          <w:spacing w:val="0"/>
          <w:kern w:val="2"/>
          <w:highlight w:val="none"/>
        </w:rPr>
        <w:t>加快建设农畜产品产地初加工设施、快递物流发货集中仓、前置仓，实施“互联网+”农畜产品出村进城工程。持续完善农村寄递物流体系，推动“快递进村”通达率稳定</w:t>
      </w:r>
      <w:r>
        <w:rPr>
          <w:rFonts w:hint="eastAsia" w:eastAsia="仿宋_GB2312" w:cs="方正仿宋_GBK"/>
          <w:b w:val="0"/>
          <w:bCs w:val="0"/>
          <w:spacing w:val="0"/>
          <w:kern w:val="2"/>
          <w:highlight w:val="none"/>
          <w:lang w:val="en-US" w:eastAsia="zh-CN"/>
        </w:rPr>
        <w:t>提升</w:t>
      </w:r>
      <w:r>
        <w:rPr>
          <w:rFonts w:hint="eastAsia" w:ascii="Times New Roman" w:hAnsi="Times New Roman" w:eastAsia="仿宋_GB2312" w:cs="方正仿宋_GBK"/>
          <w:b w:val="0"/>
          <w:bCs w:val="0"/>
          <w:spacing w:val="0"/>
          <w:kern w:val="2"/>
          <w:highlight w:val="none"/>
        </w:rPr>
        <w:t>。</w:t>
      </w:r>
    </w:p>
    <w:bookmarkEnd w:id="397"/>
    <w:p w14:paraId="566B7460">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spacing w:val="-6"/>
          <w:kern w:val="2"/>
          <w:highlight w:val="none"/>
        </w:rPr>
      </w:pPr>
      <w:r>
        <w:rPr>
          <w:rFonts w:hint="eastAsia" w:eastAsia="仿宋_GB2312" w:cs="方正仿宋_GBK"/>
          <w:b w:val="0"/>
          <w:bCs w:val="0"/>
          <w:color w:val="auto"/>
          <w:spacing w:val="0"/>
          <w:kern w:val="2"/>
          <w:highlight w:val="none"/>
          <w:lang w:val="en-US" w:eastAsia="zh-CN"/>
        </w:rPr>
        <w:t>实施品牌提质工程</w:t>
      </w:r>
      <w:r>
        <w:rPr>
          <w:rFonts w:hint="eastAsia" w:eastAsia="仿宋_GB2312" w:cs="方正仿宋_GBK"/>
          <w:b w:val="0"/>
          <w:bCs w:val="0"/>
          <w:spacing w:val="0"/>
          <w:kern w:val="2"/>
          <w:highlight w:val="none"/>
          <w:lang w:val="en-US" w:eastAsia="zh-CN"/>
        </w:rPr>
        <w:t>。</w:t>
      </w:r>
      <w:r>
        <w:rPr>
          <w:rFonts w:hint="eastAsia" w:ascii="Times New Roman" w:hAnsi="Times New Roman" w:eastAsia="仿宋_GB2312" w:cs="方正仿宋_GBK"/>
          <w:b w:val="0"/>
          <w:bCs w:val="0"/>
          <w:spacing w:val="0"/>
          <w:kern w:val="2"/>
          <w:highlight w:val="none"/>
          <w:lang w:val="en-US" w:eastAsia="zh-CN"/>
        </w:rPr>
        <w:t>聚焦农业全产业链价值提升，</w:t>
      </w:r>
      <w:r>
        <w:rPr>
          <w:rFonts w:hint="eastAsia" w:eastAsia="仿宋_GB2312" w:cs="方正仿宋_GBK"/>
          <w:b w:val="0"/>
          <w:bCs w:val="0"/>
          <w:spacing w:val="0"/>
          <w:kern w:val="2"/>
          <w:highlight w:val="none"/>
          <w:lang w:val="en-US" w:eastAsia="zh-CN"/>
        </w:rPr>
        <w:t>持续深化</w:t>
      </w:r>
      <w:r>
        <w:rPr>
          <w:rFonts w:hint="eastAsia" w:ascii="Times New Roman" w:hAnsi="Times New Roman" w:eastAsia="仿宋_GB2312" w:cs="方正仿宋_GBK"/>
          <w:b w:val="0"/>
          <w:bCs w:val="0"/>
          <w:spacing w:val="0"/>
          <w:kern w:val="2"/>
          <w:highlight w:val="none"/>
        </w:rPr>
        <w:t>“</w:t>
      </w:r>
      <w:r>
        <w:rPr>
          <w:rFonts w:hint="eastAsia" w:ascii="Times New Roman" w:hAnsi="Times New Roman" w:eastAsia="仿宋_GB2312" w:cs="方正仿宋_GBK"/>
          <w:b w:val="0"/>
          <w:bCs w:val="0"/>
          <w:spacing w:val="0"/>
          <w:kern w:val="2"/>
          <w:highlight w:val="none"/>
          <w:lang w:eastAsia="zh-CN"/>
        </w:rPr>
        <w:t>区域公用品牌+企业</w:t>
      </w:r>
      <w:r>
        <w:rPr>
          <w:rFonts w:hint="eastAsia" w:eastAsia="仿宋_GB2312" w:cs="方正仿宋_GBK"/>
          <w:b w:val="0"/>
          <w:bCs w:val="0"/>
          <w:spacing w:val="0"/>
          <w:kern w:val="2"/>
          <w:highlight w:val="none"/>
          <w:lang w:val="en-US" w:eastAsia="zh-CN"/>
        </w:rPr>
        <w:t>和</w:t>
      </w:r>
      <w:r>
        <w:rPr>
          <w:rFonts w:hint="eastAsia" w:ascii="Times New Roman" w:hAnsi="Times New Roman" w:eastAsia="仿宋_GB2312" w:cs="方正仿宋_GBK"/>
          <w:b w:val="0"/>
          <w:bCs w:val="0"/>
          <w:spacing w:val="0"/>
          <w:kern w:val="2"/>
          <w:highlight w:val="none"/>
          <w:lang w:eastAsia="zh-CN"/>
        </w:rPr>
        <w:t>产品品牌</w:t>
      </w:r>
      <w:r>
        <w:rPr>
          <w:rFonts w:hint="eastAsia" w:ascii="Times New Roman" w:hAnsi="Times New Roman" w:eastAsia="仿宋_GB2312" w:cs="方正仿宋_GBK"/>
          <w:b w:val="0"/>
          <w:bCs w:val="0"/>
          <w:spacing w:val="0"/>
          <w:kern w:val="2"/>
          <w:highlight w:val="none"/>
        </w:rPr>
        <w:t>”协同发展路径</w:t>
      </w:r>
      <w:r>
        <w:rPr>
          <w:rFonts w:hint="eastAsia" w:ascii="Times New Roman" w:hAnsi="Times New Roman" w:eastAsia="仿宋_GB2312" w:cs="方正仿宋_GBK"/>
          <w:b w:val="0"/>
          <w:bCs w:val="0"/>
          <w:spacing w:val="0"/>
          <w:kern w:val="2"/>
          <w:highlight w:val="none"/>
          <w:lang w:eastAsia="zh-CN"/>
        </w:rPr>
        <w:t>，</w:t>
      </w:r>
      <w:r>
        <w:rPr>
          <w:rFonts w:hint="eastAsia" w:eastAsia="仿宋_GB2312" w:cs="方正仿宋_GBK"/>
          <w:b w:val="0"/>
          <w:bCs w:val="0"/>
          <w:spacing w:val="0"/>
          <w:kern w:val="2"/>
          <w:highlight w:val="none"/>
          <w:lang w:val="en-US" w:eastAsia="zh-CN"/>
        </w:rPr>
        <w:t>稳步</w:t>
      </w:r>
      <w:r>
        <w:rPr>
          <w:rFonts w:hint="eastAsia" w:ascii="Times New Roman" w:hAnsi="Times New Roman" w:eastAsia="仿宋_GB2312" w:cs="方正仿宋_GBK"/>
          <w:b w:val="0"/>
          <w:bCs w:val="0"/>
          <w:spacing w:val="0"/>
          <w:kern w:val="2"/>
          <w:highlight w:val="none"/>
        </w:rPr>
        <w:t>提升</w:t>
      </w:r>
      <w:r>
        <w:rPr>
          <w:rFonts w:hint="eastAsia" w:eastAsia="仿宋_GB2312" w:cs="方正仿宋_GBK"/>
          <w:b w:val="0"/>
          <w:bCs w:val="0"/>
          <w:spacing w:val="0"/>
          <w:kern w:val="2"/>
          <w:highlight w:val="none"/>
          <w:lang w:val="en-US" w:eastAsia="zh-CN"/>
        </w:rPr>
        <w:t>全市农牧业</w:t>
      </w:r>
      <w:r>
        <w:rPr>
          <w:rFonts w:hint="eastAsia" w:ascii="Times New Roman" w:hAnsi="Times New Roman" w:eastAsia="仿宋_GB2312" w:cs="方正仿宋_GBK"/>
          <w:b w:val="0"/>
          <w:bCs w:val="0"/>
          <w:spacing w:val="0"/>
          <w:kern w:val="2"/>
          <w:highlight w:val="none"/>
        </w:rPr>
        <w:t>品牌价值</w:t>
      </w:r>
      <w:r>
        <w:rPr>
          <w:rFonts w:hint="eastAsia" w:eastAsia="仿宋_GB2312" w:cs="方正仿宋_GBK"/>
          <w:b w:val="0"/>
          <w:bCs w:val="0"/>
          <w:spacing w:val="0"/>
          <w:kern w:val="2"/>
          <w:highlight w:val="none"/>
          <w:lang w:val="en-US" w:eastAsia="zh-CN"/>
        </w:rPr>
        <w:t>与市场公信力</w:t>
      </w:r>
      <w:r>
        <w:rPr>
          <w:rFonts w:hint="eastAsia" w:ascii="Times New Roman" w:hAnsi="Times New Roman" w:eastAsia="仿宋_GB2312" w:cs="方正仿宋_GBK"/>
          <w:b w:val="0"/>
          <w:bCs w:val="0"/>
          <w:spacing w:val="0"/>
          <w:kern w:val="2"/>
          <w:highlight w:val="none"/>
        </w:rPr>
        <w:t>。</w:t>
      </w:r>
      <w:r>
        <w:rPr>
          <w:rFonts w:hint="eastAsia" w:eastAsia="仿宋_GB2312" w:cs="方正仿宋_GBK"/>
          <w:b w:val="0"/>
          <w:bCs w:val="0"/>
          <w:spacing w:val="0"/>
          <w:kern w:val="2"/>
          <w:highlight w:val="none"/>
          <w:lang w:val="en-US" w:eastAsia="zh-CN"/>
        </w:rPr>
        <w:t>聚焦</w:t>
      </w:r>
      <w:r>
        <w:rPr>
          <w:rFonts w:hint="eastAsia" w:ascii="Times New Roman" w:hAnsi="Times New Roman" w:eastAsia="仿宋_GB2312" w:cs="方正仿宋_GBK"/>
          <w:b w:val="0"/>
          <w:bCs w:val="0"/>
          <w:spacing w:val="0"/>
          <w:kern w:val="2"/>
          <w:highlight w:val="none"/>
        </w:rPr>
        <w:t>“敖汉小米”</w:t>
      </w:r>
      <w:r>
        <w:rPr>
          <w:rFonts w:hint="eastAsia"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“赤峰番茄”</w:t>
      </w:r>
      <w:r>
        <w:rPr>
          <w:rFonts w:hint="eastAsia"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lang w:val="en-US" w:eastAsia="zh-CN"/>
        </w:rPr>
        <w:t>昭乌达羊</w:t>
      </w:r>
      <w:r>
        <w:rPr>
          <w:rFonts w:hint="eastAsia" w:ascii="Times New Roman" w:hAnsi="Times New Roman" w:eastAsia="仿宋_GB2312" w:cs="方正仿宋_GBK"/>
          <w:b w:val="0"/>
          <w:bCs w:val="0"/>
          <w:spacing w:val="0"/>
          <w:kern w:val="2"/>
          <w:highlight w:val="none"/>
        </w:rPr>
        <w:t>肉”等</w:t>
      </w:r>
      <w:r>
        <w:rPr>
          <w:rFonts w:hint="eastAsia" w:eastAsia="仿宋_GB2312" w:cs="方正仿宋_GBK"/>
          <w:b w:val="0"/>
          <w:bCs w:val="0"/>
          <w:spacing w:val="0"/>
          <w:kern w:val="2"/>
          <w:highlight w:val="none"/>
          <w:lang w:val="en-US" w:eastAsia="zh-CN"/>
        </w:rPr>
        <w:t>特色</w:t>
      </w:r>
      <w:r>
        <w:rPr>
          <w:rFonts w:hint="eastAsia" w:ascii="Times New Roman" w:hAnsi="Times New Roman" w:eastAsia="仿宋_GB2312" w:cs="方正仿宋_GBK"/>
          <w:b w:val="0"/>
          <w:bCs w:val="0"/>
          <w:spacing w:val="0"/>
          <w:kern w:val="2"/>
          <w:highlight w:val="none"/>
        </w:rPr>
        <w:t>品牌</w:t>
      </w:r>
      <w:r>
        <w:rPr>
          <w:rFonts w:hint="eastAsia" w:eastAsia="仿宋_GB2312" w:cs="方正仿宋_GBK"/>
          <w:b w:val="0"/>
          <w:bCs w:val="0"/>
          <w:spacing w:val="0"/>
          <w:kern w:val="2"/>
          <w:highlight w:val="none"/>
          <w:lang w:eastAsia="zh-CN"/>
        </w:rPr>
        <w:t>，</w:t>
      </w:r>
      <w:r>
        <w:rPr>
          <w:rFonts w:hint="eastAsia" w:eastAsia="仿宋_GB2312" w:cs="方正仿宋_GBK"/>
          <w:b w:val="0"/>
          <w:bCs w:val="0"/>
          <w:spacing w:val="0"/>
          <w:kern w:val="2"/>
          <w:highlight w:val="none"/>
          <w:lang w:val="en-US" w:eastAsia="zh-CN"/>
        </w:rPr>
        <w:t>持续扩大核心竞争优势。</w:t>
      </w:r>
      <w:r>
        <w:rPr>
          <w:rFonts w:hint="eastAsia" w:ascii="Times New Roman" w:hAnsi="Times New Roman" w:eastAsia="仿宋_GB2312" w:cs="方正仿宋_GBK"/>
          <w:b w:val="0"/>
          <w:bCs w:val="0"/>
          <w:spacing w:val="0"/>
          <w:kern w:val="2"/>
          <w:highlight w:val="none"/>
          <w:lang w:val="en-US" w:eastAsia="zh-CN"/>
        </w:rPr>
        <w:t>到2030年，</w:t>
      </w:r>
      <w:r>
        <w:rPr>
          <w:rFonts w:hint="eastAsia" w:ascii="Times New Roman" w:hAnsi="Times New Roman" w:eastAsia="仿宋_GB2312" w:cs="方正仿宋_GBK"/>
          <w:b w:val="0"/>
          <w:bCs w:val="0"/>
          <w:spacing w:val="0"/>
          <w:kern w:val="2"/>
          <w:highlight w:val="none"/>
        </w:rPr>
        <w:t>力争“赤诚峰味”品牌</w:t>
      </w:r>
      <w:r>
        <w:rPr>
          <w:rFonts w:hint="eastAsia" w:eastAsia="仿宋_GB2312" w:cs="方正仿宋_GBK"/>
          <w:b w:val="0"/>
          <w:bCs w:val="0"/>
          <w:spacing w:val="0"/>
          <w:kern w:val="2"/>
          <w:highlight w:val="none"/>
          <w:lang w:val="en-US" w:eastAsia="zh-CN"/>
        </w:rPr>
        <w:t>联盟</w:t>
      </w:r>
      <w:r>
        <w:rPr>
          <w:rFonts w:hint="eastAsia" w:ascii="Times New Roman" w:hAnsi="Times New Roman" w:eastAsia="仿宋_GB2312" w:cs="方正仿宋_GBK"/>
          <w:b w:val="0"/>
          <w:bCs w:val="0"/>
          <w:spacing w:val="0"/>
          <w:kern w:val="2"/>
          <w:highlight w:val="none"/>
        </w:rPr>
        <w:t>总价值突破1</w:t>
      </w:r>
      <w:r>
        <w:rPr>
          <w:rFonts w:hint="eastAsia" w:ascii="Times New Roman" w:hAnsi="Times New Roman" w:eastAsia="仿宋_GB2312" w:cs="方正仿宋_GBK"/>
          <w:b w:val="0"/>
          <w:bCs w:val="0"/>
          <w:spacing w:val="0"/>
          <w:kern w:val="2"/>
          <w:highlight w:val="none"/>
          <w:lang w:val="en-US" w:eastAsia="zh-CN"/>
        </w:rPr>
        <w:t>3</w:t>
      </w:r>
      <w:r>
        <w:rPr>
          <w:rFonts w:hint="eastAsia" w:ascii="Times New Roman" w:hAnsi="Times New Roman" w:eastAsia="仿宋_GB2312" w:cs="方正仿宋_GBK"/>
          <w:b w:val="0"/>
          <w:bCs w:val="0"/>
          <w:spacing w:val="0"/>
          <w:kern w:val="2"/>
          <w:highlight w:val="none"/>
        </w:rPr>
        <w:t>00</w:t>
      </w:r>
      <w:r>
        <w:rPr>
          <w:rFonts w:hint="eastAsia" w:ascii="Times New Roman" w:hAnsi="Times New Roman" w:eastAsia="仿宋_GB2312" w:cs="方正仿宋_GBK"/>
          <w:b w:val="0"/>
          <w:bCs w:val="0"/>
          <w:spacing w:val="0"/>
          <w:kern w:val="2"/>
          <w:highlight w:val="none"/>
          <w:lang w:eastAsia="zh-CN"/>
        </w:rPr>
        <w:t>亿元</w:t>
      </w:r>
      <w:r>
        <w:rPr>
          <w:rFonts w:hint="eastAsia"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lang w:val="en"/>
        </w:rPr>
        <w:t>积极争取</w:t>
      </w:r>
      <w:r>
        <w:rPr>
          <w:rFonts w:hint="eastAsia" w:ascii="Times New Roman" w:hAnsi="Times New Roman" w:eastAsia="仿宋_GB2312" w:cs="方正仿宋_GBK"/>
          <w:b w:val="0"/>
          <w:bCs w:val="0"/>
          <w:spacing w:val="0"/>
          <w:kern w:val="2"/>
          <w:highlight w:val="none"/>
        </w:rPr>
        <w:t>“昭乌达肉羊”</w:t>
      </w:r>
      <w:r>
        <w:rPr>
          <w:rFonts w:hint="eastAsia"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“赤峰荞麦”等品牌入选</w:t>
      </w:r>
      <w:r>
        <w:rPr>
          <w:rFonts w:hint="eastAsia" w:ascii="Times New Roman" w:hAnsi="Times New Roman" w:eastAsia="仿宋_GB2312" w:cs="方正仿宋_GBK"/>
          <w:b w:val="0"/>
          <w:bCs w:val="0"/>
          <w:spacing w:val="0"/>
          <w:kern w:val="2"/>
          <w:highlight w:val="none"/>
          <w:lang w:eastAsia="zh-CN"/>
        </w:rPr>
        <w:t>自治区级品牌</w:t>
      </w:r>
      <w:r>
        <w:rPr>
          <w:rFonts w:hint="eastAsia" w:eastAsia="仿宋_GB2312" w:cs="方正仿宋_GBK"/>
          <w:b w:val="0"/>
          <w:bCs w:val="0"/>
          <w:spacing w:val="0"/>
          <w:kern w:val="2"/>
          <w:highlight w:val="none"/>
          <w:lang w:val="en-US" w:eastAsia="zh-CN"/>
        </w:rPr>
        <w:t>目录</w:t>
      </w:r>
      <w:r>
        <w:rPr>
          <w:rFonts w:hint="eastAsia" w:ascii="Times New Roman" w:hAnsi="Times New Roman" w:eastAsia="仿宋_GB2312" w:cs="方正仿宋_GBK"/>
          <w:b w:val="0"/>
          <w:bCs w:val="0"/>
          <w:spacing w:val="0"/>
          <w:kern w:val="2"/>
          <w:highlight w:val="none"/>
        </w:rPr>
        <w:t>，</w:t>
      </w:r>
      <w:r>
        <w:rPr>
          <w:rFonts w:hint="eastAsia" w:eastAsia="仿宋_GB2312" w:cs="方正仿宋_GBK"/>
          <w:b w:val="0"/>
          <w:bCs w:val="0"/>
          <w:spacing w:val="0"/>
          <w:kern w:val="2"/>
          <w:highlight w:val="none"/>
          <w:lang w:val="en-US" w:eastAsia="zh-CN"/>
        </w:rPr>
        <w:t>加快</w:t>
      </w:r>
      <w:r>
        <w:rPr>
          <w:rFonts w:hint="eastAsia" w:ascii="Times New Roman" w:hAnsi="Times New Roman" w:eastAsia="仿宋_GB2312" w:cs="方正仿宋_GBK"/>
          <w:b w:val="0"/>
          <w:bCs w:val="0"/>
          <w:spacing w:val="0"/>
          <w:kern w:val="2"/>
          <w:highlight w:val="none"/>
        </w:rPr>
        <w:t>培育一批</w:t>
      </w:r>
      <w:r>
        <w:rPr>
          <w:rFonts w:hint="eastAsia" w:eastAsia="仿宋_GB2312" w:cs="方正仿宋_GBK"/>
          <w:b w:val="0"/>
          <w:bCs w:val="0"/>
          <w:spacing w:val="0"/>
          <w:kern w:val="2"/>
          <w:highlight w:val="none"/>
          <w:lang w:val="en-US" w:eastAsia="zh-CN"/>
        </w:rPr>
        <w:t>具有较强影响力的企业品牌与产品品牌，持续激发农牧业品牌建设的内生动力，推动农牧业高质量发展。</w:t>
      </w:r>
    </w:p>
    <w:p w14:paraId="7CCC5DDE">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spacing w:val="-11"/>
          <w:kern w:val="2"/>
          <w:highlight w:val="none"/>
        </w:rPr>
      </w:pPr>
      <w:bookmarkStart w:id="398" w:name="_Toc8979"/>
      <w:r>
        <w:rPr>
          <w:rFonts w:hint="eastAsia" w:ascii="Times New Roman" w:hAnsi="Times New Roman" w:eastAsia="仿宋_GB2312" w:cs="方正仿宋_GBK"/>
          <w:b w:val="0"/>
          <w:bCs w:val="0"/>
          <w:color w:val="auto"/>
          <w:spacing w:val="0"/>
          <w:kern w:val="2"/>
          <w:highlight w:val="none"/>
        </w:rPr>
        <w:t>加快农牧业科技创新</w:t>
      </w:r>
      <w:bookmarkEnd w:id="398"/>
      <w:r>
        <w:rPr>
          <w:rFonts w:hint="eastAsia"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lang w:val="en-US" w:eastAsia="zh-CN"/>
        </w:rPr>
        <w:t>提升农牧业科技装备水平</w:t>
      </w:r>
      <w:r>
        <w:rPr>
          <w:rFonts w:hint="eastAsia" w:eastAsia="仿宋_GB2312" w:cs="方正仿宋_GBK"/>
          <w:b w:val="0"/>
          <w:bCs w:val="0"/>
          <w:spacing w:val="0"/>
          <w:kern w:val="2"/>
          <w:highlight w:val="none"/>
          <w:lang w:val="en-US" w:eastAsia="zh-CN"/>
        </w:rPr>
        <w:t>，</w:t>
      </w:r>
      <w:r>
        <w:rPr>
          <w:rFonts w:hint="eastAsia" w:ascii="Times New Roman" w:hAnsi="Times New Roman" w:eastAsia="仿宋_GB2312" w:cs="方正仿宋_GBK"/>
          <w:b w:val="0"/>
          <w:bCs w:val="0"/>
          <w:spacing w:val="0"/>
          <w:kern w:val="2"/>
          <w:highlight w:val="none"/>
        </w:rPr>
        <w:t>加强高端智能、丘陵山区适用农机装备研发</w:t>
      </w:r>
      <w:r>
        <w:rPr>
          <w:rFonts w:hint="eastAsia" w:eastAsia="仿宋_GB2312" w:cs="方正仿宋_GBK"/>
          <w:b w:val="0"/>
          <w:bCs w:val="0"/>
          <w:spacing w:val="0"/>
          <w:kern w:val="2"/>
          <w:highlight w:val="none"/>
          <w:lang w:val="en-US" w:eastAsia="zh-CN"/>
        </w:rPr>
        <w:t>与规模化</w:t>
      </w:r>
      <w:r>
        <w:rPr>
          <w:rFonts w:hint="eastAsia" w:ascii="Times New Roman" w:hAnsi="Times New Roman" w:eastAsia="仿宋_GB2312" w:cs="方正仿宋_GBK"/>
          <w:b w:val="0"/>
          <w:bCs w:val="0"/>
          <w:spacing w:val="0"/>
          <w:kern w:val="2"/>
          <w:highlight w:val="none"/>
        </w:rPr>
        <w:t>应用，促进良田良种良机良法集成增效。</w:t>
      </w:r>
      <w:r>
        <w:rPr>
          <w:rFonts w:hint="eastAsia" w:ascii="Times New Roman" w:hAnsi="Times New Roman" w:eastAsia="仿宋_GB2312" w:cs="方正仿宋_GBK"/>
          <w:b w:val="0"/>
          <w:bCs w:val="0"/>
          <w:spacing w:val="0"/>
          <w:kern w:val="2"/>
          <w:highlight w:val="none"/>
          <w:lang w:val="en-US" w:eastAsia="zh-CN"/>
        </w:rPr>
        <w:t>积极发展智慧农牧业</w:t>
      </w:r>
      <w:r>
        <w:rPr>
          <w:rFonts w:hint="eastAsia" w:eastAsia="仿宋_GB2312" w:cs="方正仿宋_GBK"/>
          <w:b w:val="0"/>
          <w:bCs w:val="0"/>
          <w:spacing w:val="0"/>
          <w:kern w:val="2"/>
          <w:highlight w:val="none"/>
          <w:lang w:val="en-US" w:eastAsia="zh-CN"/>
        </w:rPr>
        <w:t>，加快推进物联网、大数据、区块链、人工智能、机器人等信息技术在农牧业领域普及应用，推进面向节水增效的气象预报支撑技术应用，提升农业用水管理的精准调控能力。集成应用适宜信息技术装备，建设多样化的智慧农（牧）场。加强农牧业技术推广体系建设，强化基层</w:t>
      </w:r>
      <w:r>
        <w:rPr>
          <w:rFonts w:hint="eastAsia" w:eastAsia="仿宋_GB2312" w:cs="方正仿宋_GBK"/>
          <w:b w:val="0"/>
          <w:bCs w:val="0"/>
          <w:spacing w:val="-11"/>
          <w:kern w:val="2"/>
          <w:highlight w:val="none"/>
          <w:lang w:val="en-US" w:eastAsia="zh-CN"/>
        </w:rPr>
        <w:t>农技推广体系公益性服务功能，推动构建以农技推广机构为主体，科研院校、新型农业经营主体、涉农企业等共同参与的多元农技推广服务体系。加强基层农技推广队伍建设。</w:t>
      </w:r>
      <w:r>
        <w:rPr>
          <w:rFonts w:hint="eastAsia" w:ascii="Times New Roman" w:hAnsi="Times New Roman" w:eastAsia="仿宋_GB2312" w:cs="方正仿宋_GBK"/>
          <w:b w:val="0"/>
          <w:bCs w:val="0"/>
          <w:spacing w:val="-11"/>
          <w:kern w:val="2"/>
          <w:highlight w:val="none"/>
        </w:rPr>
        <w:t>到“十五五”末，农作物耕种收综合机械化率力争达到</w:t>
      </w:r>
      <w:r>
        <w:rPr>
          <w:rFonts w:hint="eastAsia" w:eastAsia="仿宋_GB2312" w:cs="方正仿宋_GBK"/>
          <w:b w:val="0"/>
          <w:bCs w:val="0"/>
          <w:spacing w:val="-11"/>
          <w:kern w:val="2"/>
          <w:highlight w:val="none"/>
          <w:lang w:val="en-US" w:eastAsia="zh-CN"/>
        </w:rPr>
        <w:t>88.4</w:t>
      </w:r>
      <w:r>
        <w:rPr>
          <w:rFonts w:hint="eastAsia" w:ascii="Times New Roman" w:hAnsi="Times New Roman" w:eastAsia="仿宋_GB2312" w:cs="方正仿宋_GBK"/>
          <w:b w:val="0"/>
          <w:bCs w:val="0"/>
          <w:spacing w:val="-11"/>
          <w:kern w:val="2"/>
          <w:highlight w:val="none"/>
        </w:rPr>
        <w:t>%</w:t>
      </w:r>
      <w:r>
        <w:rPr>
          <w:rFonts w:hint="eastAsia" w:eastAsia="仿宋_GB2312" w:cs="方正仿宋_GBK"/>
          <w:b w:val="0"/>
          <w:bCs w:val="0"/>
          <w:spacing w:val="-11"/>
          <w:kern w:val="2"/>
          <w:highlight w:val="none"/>
          <w:lang w:eastAsia="zh-CN"/>
        </w:rPr>
        <w:t>，</w:t>
      </w:r>
      <w:r>
        <w:rPr>
          <w:rFonts w:hint="eastAsia" w:ascii="Times New Roman" w:hAnsi="Times New Roman" w:eastAsia="仿宋_GB2312" w:cs="方正仿宋_GBK"/>
          <w:b w:val="0"/>
          <w:bCs w:val="0"/>
          <w:spacing w:val="-11"/>
          <w:kern w:val="2"/>
          <w:highlight w:val="none"/>
        </w:rPr>
        <w:t>畜牧养殖机械化率力争达到</w:t>
      </w:r>
      <w:r>
        <w:rPr>
          <w:rFonts w:hint="eastAsia" w:eastAsia="仿宋_GB2312" w:cs="方正仿宋_GBK"/>
          <w:b w:val="0"/>
          <w:bCs w:val="0"/>
          <w:spacing w:val="-11"/>
          <w:kern w:val="2"/>
          <w:highlight w:val="none"/>
          <w:lang w:val="en-US" w:eastAsia="zh-CN"/>
        </w:rPr>
        <w:t>54</w:t>
      </w:r>
      <w:r>
        <w:rPr>
          <w:rFonts w:hint="eastAsia" w:ascii="Times New Roman" w:hAnsi="Times New Roman" w:eastAsia="仿宋_GB2312" w:cs="方正仿宋_GBK"/>
          <w:b w:val="0"/>
          <w:bCs w:val="0"/>
          <w:spacing w:val="-11"/>
          <w:kern w:val="2"/>
          <w:highlight w:val="none"/>
        </w:rPr>
        <w:t>%。</w:t>
      </w:r>
    </w:p>
    <w:p w14:paraId="277270CC">
      <w:pPr>
        <w:keepNext w:val="0"/>
        <w:keepLines w:val="0"/>
        <w:pageBreakBefore w:val="0"/>
        <w:widowControl/>
        <w:numPr>
          <w:ilvl w:val="0"/>
          <w:numId w:val="5"/>
        </w:numPr>
        <w:shd w:val="clear" w:color="auto" w:fill="auto"/>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399" w:name="_Toc28492"/>
      <w:bookmarkStart w:id="400" w:name="_Toc16229"/>
      <w:bookmarkStart w:id="401" w:name="_Toc19826"/>
      <w:bookmarkStart w:id="402" w:name="_Toc26764"/>
      <w:bookmarkStart w:id="403" w:name="_Toc27278"/>
      <w:bookmarkStart w:id="404" w:name="_Toc9256"/>
      <w:bookmarkStart w:id="405" w:name="_Toc5924"/>
      <w:bookmarkStart w:id="406" w:name="_Toc20717"/>
      <w:bookmarkStart w:id="407" w:name="_Toc23758"/>
      <w:bookmarkStart w:id="408" w:name="_Toc763"/>
      <w:bookmarkStart w:id="409" w:name="_Toc29786"/>
      <w:bookmarkStart w:id="410" w:name="_Toc20707"/>
      <w:bookmarkStart w:id="411" w:name="_Toc20893"/>
      <w:bookmarkStart w:id="412" w:name="_Toc1141"/>
      <w:r>
        <w:rPr>
          <w:rFonts w:hint="eastAsia" w:ascii="楷体_GB2312" w:hAnsi="楷体_GB2312" w:eastAsia="楷体_GB2312" w:cs="楷体_GB2312"/>
          <w:b w:val="0"/>
          <w:bCs w:val="0"/>
          <w:color w:val="auto"/>
          <w:sz w:val="32"/>
          <w:szCs w:val="40"/>
          <w:highlight w:val="none"/>
          <w:lang w:val="en-US" w:eastAsia="zh-CN"/>
        </w:rPr>
        <w:t>促进服务业优质高效发展</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p>
    <w:p w14:paraId="10ACA7E7">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eastAsia="仿宋_GB2312" w:cs="方正仿宋_GBK"/>
          <w:b w:val="0"/>
          <w:bCs w:val="0"/>
          <w:spacing w:val="0"/>
          <w:kern w:val="2"/>
          <w:highlight w:val="none"/>
          <w:lang w:val="en-US" w:eastAsia="zh-CN"/>
        </w:rPr>
      </w:pPr>
      <w:r>
        <w:rPr>
          <w:rFonts w:hint="eastAsia" w:ascii="Times New Roman" w:hAnsi="Times New Roman" w:eastAsia="仿宋_GB2312" w:cs="方正仿宋_GBK"/>
          <w:b w:val="0"/>
          <w:bCs w:val="0"/>
          <w:sz w:val="32"/>
          <w:szCs w:val="32"/>
          <w:highlight w:val="none"/>
        </w:rPr>
        <w:t>以满足人民美好生活需要、开辟新领域新赛道为导向，推动生产性服务业向高</w:t>
      </w:r>
      <w:r>
        <w:rPr>
          <w:rFonts w:hint="eastAsia" w:eastAsia="仿宋_GB2312" w:cs="方正仿宋_GBK"/>
          <w:b w:val="0"/>
          <w:bCs w:val="0"/>
          <w:spacing w:val="0"/>
          <w:kern w:val="2"/>
          <w:highlight w:val="none"/>
          <w:lang w:val="en-US" w:eastAsia="zh-CN"/>
        </w:rPr>
        <w:t>端化和专业化拓展、生活性服务业向品质化和多样化提升，全面提升服务业质量效率和竞争力。</w:t>
      </w:r>
    </w:p>
    <w:p w14:paraId="7D0BBC9E">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eastAsia="仿宋_GB2312" w:cs="方正仿宋_GBK"/>
          <w:b w:val="0"/>
          <w:bCs w:val="0"/>
          <w:spacing w:val="0"/>
          <w:kern w:val="2"/>
          <w:highlight w:val="none"/>
          <w:lang w:val="en-US" w:eastAsia="zh-CN"/>
        </w:rPr>
      </w:pPr>
      <w:bookmarkStart w:id="413" w:name="_Toc11251"/>
      <w:bookmarkStart w:id="414" w:name="_Toc7952"/>
      <w:bookmarkStart w:id="415" w:name="_Toc29000"/>
      <w:bookmarkStart w:id="416" w:name="_Toc20759"/>
      <w:bookmarkStart w:id="417" w:name="_Toc10690"/>
      <w:bookmarkStart w:id="418" w:name="_Toc28181"/>
      <w:bookmarkStart w:id="419" w:name="_Toc3496"/>
      <w:bookmarkStart w:id="420" w:name="_Toc9954"/>
      <w:bookmarkStart w:id="421" w:name="_Toc11999"/>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eastAsia="仿宋_GB2312" w:cs="方正仿宋_GBK"/>
          <w:b w:val="0"/>
          <w:bCs w:val="0"/>
          <w:spacing w:val="0"/>
          <w:kern w:val="2"/>
          <w:highlight w:val="none"/>
          <w:lang w:val="en-US" w:eastAsia="zh-CN"/>
        </w:rPr>
        <w:t>推动生产性服务业专业化高端化发展</w:t>
      </w:r>
      <w:bookmarkEnd w:id="413"/>
      <w:bookmarkEnd w:id="414"/>
      <w:bookmarkEnd w:id="415"/>
      <w:bookmarkEnd w:id="416"/>
      <w:bookmarkEnd w:id="417"/>
      <w:bookmarkEnd w:id="418"/>
      <w:bookmarkEnd w:id="419"/>
      <w:bookmarkEnd w:id="420"/>
      <w:bookmarkEnd w:id="421"/>
      <w:r>
        <w:rPr>
          <w:rFonts w:hint="eastAsia" w:eastAsia="仿宋_GB2312" w:cs="方正仿宋_GBK"/>
          <w:b w:val="0"/>
          <w:bCs w:val="0"/>
          <w:spacing w:val="0"/>
          <w:kern w:val="2"/>
          <w:highlight w:val="none"/>
          <w:lang w:val="en-US" w:eastAsia="zh-CN"/>
        </w:rPr>
        <w:t>。着</w:t>
      </w:r>
      <w:r>
        <w:rPr>
          <w:rFonts w:hint="eastAsia" w:ascii="Times New Roman" w:hAnsi="Times New Roman" w:eastAsia="仿宋_GB2312" w:cs="方正仿宋_GBK"/>
          <w:b w:val="0"/>
          <w:bCs w:val="0"/>
          <w:sz w:val="32"/>
          <w:szCs w:val="32"/>
          <w:highlight w:val="none"/>
          <w:lang w:eastAsia="zh-CN"/>
        </w:rPr>
        <w:t>力做大生产性服务业规模、优化结构，</w:t>
      </w:r>
      <w:r>
        <w:rPr>
          <w:rFonts w:hint="eastAsia" w:ascii="Times New Roman" w:hAnsi="Times New Roman" w:eastAsia="仿宋_GB2312" w:cs="方正仿宋_GBK"/>
          <w:b w:val="0"/>
          <w:bCs w:val="0"/>
          <w:sz w:val="32"/>
          <w:szCs w:val="32"/>
          <w:highlight w:val="none"/>
          <w:lang w:val="en-US" w:eastAsia="zh-CN"/>
        </w:rPr>
        <w:t>围绕现代物流、现代金融等重点领域，</w:t>
      </w:r>
      <w:r>
        <w:rPr>
          <w:rFonts w:hint="eastAsia" w:ascii="Times New Roman" w:hAnsi="Times New Roman" w:eastAsia="仿宋_GB2312" w:cs="方正仿宋_GBK"/>
          <w:b w:val="0"/>
          <w:bCs w:val="0"/>
          <w:sz w:val="32"/>
          <w:szCs w:val="32"/>
          <w:highlight w:val="none"/>
          <w:lang w:eastAsia="zh-CN"/>
        </w:rPr>
        <w:t>提升专业化服务水平，提</w:t>
      </w:r>
      <w:r>
        <w:rPr>
          <w:rFonts w:hint="eastAsia" w:eastAsia="仿宋_GB2312" w:cs="方正仿宋_GBK"/>
          <w:b w:val="0"/>
          <w:bCs w:val="0"/>
          <w:spacing w:val="0"/>
          <w:kern w:val="2"/>
          <w:highlight w:val="none"/>
          <w:lang w:val="en-US" w:eastAsia="zh-CN"/>
        </w:rPr>
        <w:t>高现代服务业与先进制造业、现代农牧业融合发展水平。</w:t>
      </w:r>
    </w:p>
    <w:p w14:paraId="2B96F4EF">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sz w:val="32"/>
          <w:szCs w:val="32"/>
          <w:highlight w:val="none"/>
          <w:lang w:val="en-US" w:eastAsia="zh-CN"/>
        </w:rPr>
      </w:pPr>
      <w:bookmarkStart w:id="422" w:name="_Toc31433"/>
      <w:r>
        <w:rPr>
          <w:rFonts w:hint="eastAsia" w:eastAsia="仿宋_GB2312" w:cs="方正仿宋_GBK"/>
          <w:b w:val="0"/>
          <w:bCs w:val="0"/>
          <w:spacing w:val="0"/>
          <w:kern w:val="2"/>
          <w:highlight w:val="none"/>
          <w:lang w:val="en-US" w:eastAsia="zh-CN"/>
        </w:rPr>
        <w:t>推动现代物流业创新发展</w:t>
      </w:r>
      <w:bookmarkEnd w:id="422"/>
      <w:r>
        <w:rPr>
          <w:rFonts w:hint="eastAsia" w:eastAsia="仿宋_GB2312" w:cs="方正仿宋_GBK"/>
          <w:b w:val="0"/>
          <w:bCs w:val="0"/>
          <w:spacing w:val="0"/>
          <w:kern w:val="2"/>
          <w:highlight w:val="none"/>
          <w:lang w:val="en-US" w:eastAsia="zh-CN"/>
        </w:rPr>
        <w:t>。以建设商贸服务型</w:t>
      </w:r>
      <w:r>
        <w:rPr>
          <w:rFonts w:hint="eastAsia" w:ascii="Times New Roman" w:hAnsi="Times New Roman" w:eastAsia="仿宋_GB2312" w:cs="方正仿宋_GBK"/>
          <w:b w:val="0"/>
          <w:bCs w:val="0"/>
          <w:highlight w:val="none"/>
        </w:rPr>
        <w:t>国家物流枢纽承载城市、国家现代流通战略支点城市</w:t>
      </w:r>
      <w:r>
        <w:rPr>
          <w:rFonts w:hint="eastAsia" w:ascii="Times New Roman" w:hAnsi="Times New Roman" w:eastAsia="仿宋_GB2312" w:cs="方正仿宋_GBK"/>
          <w:b w:val="0"/>
          <w:bCs w:val="0"/>
          <w:highlight w:val="none"/>
          <w:lang w:eastAsia="zh-CN"/>
        </w:rPr>
        <w:t>、</w:t>
      </w:r>
      <w:r>
        <w:rPr>
          <w:rFonts w:hint="eastAsia" w:ascii="Times New Roman" w:hAnsi="Times New Roman" w:eastAsia="仿宋_GB2312" w:cs="方正仿宋_GBK"/>
          <w:b w:val="0"/>
          <w:bCs w:val="0"/>
          <w:highlight w:val="none"/>
        </w:rPr>
        <w:t>全国</w:t>
      </w:r>
      <w:r>
        <w:rPr>
          <w:rFonts w:hint="eastAsia" w:ascii="Times New Roman" w:hAnsi="Times New Roman" w:eastAsia="仿宋_GB2312" w:cs="方正仿宋_GBK"/>
          <w:b w:val="0"/>
          <w:bCs w:val="0"/>
          <w:highlight w:val="none"/>
          <w:lang w:val="en-US" w:eastAsia="zh-CN"/>
        </w:rPr>
        <w:t>性</w:t>
      </w:r>
      <w:r>
        <w:rPr>
          <w:rFonts w:hint="eastAsia" w:ascii="Times New Roman" w:hAnsi="Times New Roman" w:eastAsia="仿宋_GB2312" w:cs="方正仿宋_GBK"/>
          <w:b w:val="0"/>
          <w:bCs w:val="0"/>
          <w:highlight w:val="none"/>
        </w:rPr>
        <w:t>邮政快递枢纽承载城市为契机，坚持</w:t>
      </w:r>
      <w:r>
        <w:rPr>
          <w:rFonts w:hint="eastAsia" w:ascii="Times New Roman" w:hAnsi="Times New Roman" w:eastAsia="仿宋_GB2312" w:cs="方正仿宋_GBK"/>
          <w:b w:val="0"/>
          <w:bCs w:val="0"/>
          <w:highlight w:val="none"/>
          <w:lang w:val="en-US" w:eastAsia="zh-CN"/>
        </w:rPr>
        <w:t>优化供给、创新业态、提质增效</w:t>
      </w:r>
      <w:r>
        <w:rPr>
          <w:rFonts w:hint="eastAsia" w:eastAsia="仿宋_GB2312" w:cs="方正仿宋_GBK"/>
          <w:b w:val="0"/>
          <w:bCs w:val="0"/>
          <w:highlight w:val="none"/>
          <w:lang w:val="en-US" w:eastAsia="zh-CN"/>
        </w:rPr>
        <w:t>发展思路，</w:t>
      </w:r>
      <w:r>
        <w:rPr>
          <w:rFonts w:hint="eastAsia" w:ascii="Times New Roman" w:hAnsi="Times New Roman" w:eastAsia="仿宋_GB2312" w:cs="方正仿宋_GBK"/>
          <w:b w:val="0"/>
          <w:bCs w:val="0"/>
          <w:highlight w:val="none"/>
        </w:rPr>
        <w:t>依托现有物流基础设施和产业发展基础，强化资源整合和优化配置，推动产业深度融合，将现代物流业打造成为经济高质量发展的重要支撑点和区域竞争力提升的核心动力</w:t>
      </w:r>
      <w:r>
        <w:rPr>
          <w:rFonts w:hint="eastAsia" w:ascii="Times New Roman" w:hAnsi="Times New Roman" w:eastAsia="仿宋_GB2312" w:cs="方正仿宋_GBK"/>
          <w:b w:val="0"/>
          <w:bCs w:val="0"/>
          <w:highlight w:val="none"/>
        </w:rPr>
        <w:fldChar w:fldCharType="begin"/>
      </w:r>
      <w:r>
        <w:rPr>
          <w:rFonts w:hint="eastAsia" w:ascii="Times New Roman" w:hAnsi="Times New Roman" w:eastAsia="仿宋_GB2312" w:cs="方正仿宋_GBK"/>
          <w:b w:val="0"/>
          <w:bCs w:val="0"/>
          <w:highlight w:val="none"/>
        </w:rPr>
        <w:instrText xml:space="preserve"> HYPERLINK "https://nm.spb.gov.cn/nmgzzqyzglj/c100057/c100061/202510/e2ba922efb0f40bb97b32fbe75a9a276.shtml" \t "https://chat.deepseek.com/a/chat/s/_blank" </w:instrText>
      </w:r>
      <w:r>
        <w:rPr>
          <w:rFonts w:hint="eastAsia" w:ascii="Times New Roman" w:hAnsi="Times New Roman" w:eastAsia="仿宋_GB2312" w:cs="方正仿宋_GBK"/>
          <w:b w:val="0"/>
          <w:bCs w:val="0"/>
          <w:highlight w:val="none"/>
        </w:rPr>
        <w:fldChar w:fldCharType="separate"/>
      </w:r>
      <w:r>
        <w:rPr>
          <w:rFonts w:hint="eastAsia" w:ascii="Times New Roman" w:hAnsi="Times New Roman" w:eastAsia="仿宋_GB2312" w:cs="方正仿宋_GBK"/>
          <w:b w:val="0"/>
          <w:bCs w:val="0"/>
          <w:highlight w:val="none"/>
        </w:rPr>
        <w:fldChar w:fldCharType="end"/>
      </w:r>
      <w:r>
        <w:rPr>
          <w:rFonts w:hint="eastAsia" w:ascii="Times New Roman" w:hAnsi="Times New Roman" w:eastAsia="仿宋_GB2312" w:cs="方正仿宋_GBK"/>
          <w:b w:val="0"/>
          <w:bCs w:val="0"/>
          <w:highlight w:val="none"/>
        </w:rPr>
        <w:fldChar w:fldCharType="begin"/>
      </w:r>
      <w:r>
        <w:rPr>
          <w:rFonts w:hint="eastAsia" w:ascii="Times New Roman" w:hAnsi="Times New Roman" w:eastAsia="仿宋_GB2312" w:cs="方正仿宋_GBK"/>
          <w:b w:val="0"/>
          <w:bCs w:val="0"/>
          <w:highlight w:val="none"/>
        </w:rPr>
        <w:instrText xml:space="preserve"> HYPERLINK "https://inews.nmgnews.com.cn/system/2019/06/19/012729367.shtml" \t "https://chat.deepseek.com/a/chat/s/_blank" </w:instrText>
      </w:r>
      <w:r>
        <w:rPr>
          <w:rFonts w:hint="eastAsia" w:ascii="Times New Roman" w:hAnsi="Times New Roman" w:eastAsia="仿宋_GB2312" w:cs="方正仿宋_GBK"/>
          <w:b w:val="0"/>
          <w:bCs w:val="0"/>
          <w:highlight w:val="none"/>
        </w:rPr>
        <w:fldChar w:fldCharType="separate"/>
      </w:r>
      <w:r>
        <w:rPr>
          <w:rFonts w:hint="eastAsia" w:ascii="Times New Roman" w:hAnsi="Times New Roman" w:eastAsia="仿宋_GB2312" w:cs="方正仿宋_GBK"/>
          <w:b w:val="0"/>
          <w:bCs w:val="0"/>
          <w:highlight w:val="none"/>
        </w:rPr>
        <w:fldChar w:fldCharType="end"/>
      </w:r>
      <w:r>
        <w:rPr>
          <w:rFonts w:hint="eastAsia" w:ascii="Times New Roman" w:hAnsi="Times New Roman" w:eastAsia="仿宋_GB2312" w:cs="方正仿宋_GBK"/>
          <w:b w:val="0"/>
          <w:bCs w:val="0"/>
          <w:highlight w:val="none"/>
        </w:rPr>
        <w:t>。</w:t>
      </w:r>
      <w:r>
        <w:rPr>
          <w:rFonts w:hint="eastAsia" w:eastAsia="仿宋_GB2312" w:cs="方正仿宋_GBK"/>
          <w:b w:val="0"/>
          <w:bCs w:val="0"/>
          <w:highlight w:val="none"/>
          <w:lang w:val="en-US" w:eastAsia="zh-CN"/>
        </w:rPr>
        <w:t>着力</w:t>
      </w:r>
      <w:r>
        <w:rPr>
          <w:rFonts w:hint="eastAsia" w:ascii="Times New Roman" w:hAnsi="Times New Roman" w:eastAsia="仿宋_GB2312" w:cs="方正仿宋_GBK"/>
          <w:b w:val="0"/>
          <w:bCs w:val="0"/>
          <w:highlight w:val="none"/>
        </w:rPr>
        <w:t>构建“通道+枢纽+网络”的现代物流运行体系</w:t>
      </w:r>
      <w:r>
        <w:rPr>
          <w:rFonts w:hint="eastAsia" w:ascii="Times New Roman" w:hAnsi="Times New Roman" w:eastAsia="仿宋_GB2312" w:cs="方正仿宋_GBK"/>
          <w:b w:val="0"/>
          <w:bCs w:val="0"/>
          <w:highlight w:val="none"/>
          <w:lang w:eastAsia="zh-CN"/>
        </w:rPr>
        <w:t>，</w:t>
      </w:r>
      <w:r>
        <w:rPr>
          <w:rFonts w:hint="eastAsia" w:ascii="Times New Roman" w:hAnsi="Times New Roman" w:eastAsia="仿宋_GB2312" w:cs="方正仿宋_GBK"/>
          <w:b w:val="0"/>
          <w:bCs w:val="0"/>
          <w:highlight w:val="none"/>
        </w:rPr>
        <w:t>优化市内集疏运体系，</w:t>
      </w:r>
      <w:r>
        <w:rPr>
          <w:rFonts w:hint="eastAsia" w:eastAsia="仿宋_GB2312" w:cs="方正仿宋_GBK"/>
          <w:b w:val="0"/>
          <w:bCs w:val="0"/>
          <w:highlight w:val="none"/>
          <w:lang w:val="en-US" w:eastAsia="zh-CN"/>
        </w:rPr>
        <w:t>加快</w:t>
      </w:r>
      <w:r>
        <w:rPr>
          <w:rFonts w:hint="eastAsia" w:ascii="Times New Roman" w:hAnsi="Times New Roman" w:eastAsia="仿宋_GB2312" w:cs="方正仿宋_GBK"/>
          <w:b w:val="0"/>
          <w:bCs w:val="0"/>
          <w:highlight w:val="none"/>
        </w:rPr>
        <w:t>建设连接主要园区、机场</w:t>
      </w:r>
      <w:r>
        <w:rPr>
          <w:rFonts w:hint="eastAsia" w:ascii="Times New Roman" w:hAnsi="Times New Roman" w:eastAsia="仿宋_GB2312" w:cs="方正仿宋_GBK"/>
          <w:b w:val="0"/>
          <w:bCs w:val="0"/>
          <w:highlight w:val="none"/>
          <w:lang w:eastAsia="zh-CN"/>
        </w:rPr>
        <w:t>、铁路集疏运站</w:t>
      </w:r>
      <w:r>
        <w:rPr>
          <w:rFonts w:hint="eastAsia" w:ascii="Times New Roman" w:hAnsi="Times New Roman" w:eastAsia="仿宋_GB2312" w:cs="方正仿宋_GBK"/>
          <w:b w:val="0"/>
          <w:bCs w:val="0"/>
          <w:highlight w:val="none"/>
        </w:rPr>
        <w:t>的快速道路</w:t>
      </w:r>
      <w:r>
        <w:rPr>
          <w:rFonts w:hint="eastAsia" w:ascii="Times New Roman" w:hAnsi="Times New Roman" w:eastAsia="仿宋_GB2312" w:cs="方正仿宋_GBK"/>
          <w:b w:val="0"/>
          <w:bCs w:val="0"/>
          <w:highlight w:val="none"/>
          <w:lang w:eastAsia="zh-CN"/>
        </w:rPr>
        <w:t>；</w:t>
      </w:r>
      <w:r>
        <w:rPr>
          <w:rFonts w:hint="eastAsia" w:ascii="Times New Roman" w:hAnsi="Times New Roman" w:eastAsia="仿宋_GB2312" w:cs="方正仿宋_GBK"/>
          <w:b w:val="0"/>
          <w:bCs w:val="0"/>
          <w:highlight w:val="none"/>
        </w:rPr>
        <w:t>完善多式联运体系</w:t>
      </w:r>
      <w:r>
        <w:rPr>
          <w:rFonts w:hint="eastAsia" w:ascii="Times New Roman" w:hAnsi="Times New Roman" w:eastAsia="仿宋_GB2312" w:cs="方正仿宋_GBK"/>
          <w:b w:val="0"/>
          <w:bCs w:val="0"/>
          <w:highlight w:val="none"/>
          <w:lang w:eastAsia="zh-CN"/>
        </w:rPr>
        <w:t>，</w:t>
      </w:r>
      <w:r>
        <w:rPr>
          <w:rFonts w:hint="eastAsia" w:ascii="Times New Roman" w:hAnsi="Times New Roman" w:eastAsia="仿宋_GB2312" w:cs="方正仿宋_GBK"/>
          <w:b w:val="0"/>
          <w:bCs w:val="0"/>
          <w:highlight w:val="none"/>
        </w:rPr>
        <w:t>加强铁路、公路、航空等多种运输方式的衔接，推动建设具有多式联运功能的物流枢纽</w:t>
      </w:r>
      <w:r>
        <w:rPr>
          <w:rFonts w:hint="eastAsia" w:ascii="Times New Roman" w:hAnsi="Times New Roman" w:eastAsia="仿宋_GB2312" w:cs="方正仿宋_GBK"/>
          <w:b w:val="0"/>
          <w:bCs w:val="0"/>
          <w:highlight w:val="none"/>
          <w:lang w:eastAsia="zh-CN"/>
        </w:rPr>
        <w:t>；</w:t>
      </w:r>
      <w:r>
        <w:rPr>
          <w:rFonts w:hint="eastAsia" w:ascii="Times New Roman" w:hAnsi="Times New Roman" w:eastAsia="仿宋_GB2312" w:cs="方正仿宋_GBK"/>
          <w:b w:val="0"/>
          <w:bCs w:val="0"/>
          <w:highlight w:val="none"/>
        </w:rPr>
        <w:t>积极发展</w:t>
      </w:r>
      <w:r>
        <w:rPr>
          <w:rFonts w:hint="eastAsia" w:ascii="Times New Roman" w:hAnsi="Times New Roman" w:eastAsia="仿宋_GB2312" w:cs="方正仿宋_GBK"/>
          <w:b w:val="0"/>
          <w:bCs w:val="0"/>
          <w:highlight w:val="none"/>
          <w:lang w:eastAsia="zh-CN"/>
        </w:rPr>
        <w:t>“</w:t>
      </w:r>
      <w:r>
        <w:rPr>
          <w:rFonts w:hint="eastAsia" w:ascii="Times New Roman" w:hAnsi="Times New Roman" w:eastAsia="仿宋_GB2312" w:cs="方正仿宋_GBK"/>
          <w:b w:val="0"/>
          <w:bCs w:val="0"/>
          <w:highlight w:val="none"/>
        </w:rPr>
        <w:t>公铁海多式联运、重去重回</w:t>
      </w:r>
      <w:r>
        <w:rPr>
          <w:rFonts w:hint="eastAsia" w:ascii="Times New Roman" w:hAnsi="Times New Roman" w:eastAsia="仿宋_GB2312" w:cs="方正仿宋_GBK"/>
          <w:b w:val="0"/>
          <w:bCs w:val="0"/>
          <w:highlight w:val="none"/>
          <w:lang w:eastAsia="zh-CN"/>
        </w:rPr>
        <w:t>”</w:t>
      </w:r>
      <w:r>
        <w:rPr>
          <w:rFonts w:hint="eastAsia" w:ascii="Times New Roman" w:hAnsi="Times New Roman" w:eastAsia="仿宋_GB2312" w:cs="方正仿宋_GBK"/>
          <w:b w:val="0"/>
          <w:bCs w:val="0"/>
          <w:highlight w:val="none"/>
        </w:rPr>
        <w:t>高效运输模式，对接锦州港、大连港、天津港</w:t>
      </w:r>
      <w:r>
        <w:rPr>
          <w:rFonts w:hint="eastAsia" w:eastAsia="仿宋_GB2312" w:cs="方正仿宋_GBK"/>
          <w:b w:val="0"/>
          <w:bCs w:val="0"/>
          <w:highlight w:val="none"/>
          <w:lang w:eastAsia="zh-CN"/>
        </w:rPr>
        <w:t>、</w:t>
      </w:r>
      <w:r>
        <w:rPr>
          <w:rFonts w:hint="eastAsia" w:eastAsia="仿宋_GB2312" w:cs="方正仿宋_GBK"/>
          <w:b w:val="0"/>
          <w:bCs w:val="0"/>
          <w:highlight w:val="none"/>
          <w:lang w:val="en-US" w:eastAsia="zh-CN"/>
        </w:rPr>
        <w:t>曹妃甸港</w:t>
      </w:r>
      <w:r>
        <w:rPr>
          <w:rFonts w:hint="eastAsia" w:ascii="Times New Roman" w:hAnsi="Times New Roman" w:eastAsia="仿宋_GB2312" w:cs="方正仿宋_GBK"/>
          <w:b w:val="0"/>
          <w:bCs w:val="0"/>
          <w:highlight w:val="none"/>
        </w:rPr>
        <w:t>等沿海港口，畅通出海通道</w:t>
      </w:r>
      <w:r>
        <w:rPr>
          <w:rFonts w:hint="eastAsia" w:ascii="Times New Roman" w:hAnsi="Times New Roman" w:eastAsia="仿宋_GB2312" w:cs="方正仿宋_GBK"/>
          <w:b w:val="0"/>
          <w:bCs w:val="0"/>
          <w:highlight w:val="none"/>
        </w:rPr>
        <w:fldChar w:fldCharType="begin"/>
      </w:r>
      <w:r>
        <w:rPr>
          <w:rFonts w:hint="eastAsia" w:ascii="Times New Roman" w:hAnsi="Times New Roman" w:eastAsia="仿宋_GB2312" w:cs="方正仿宋_GBK"/>
          <w:b w:val="0"/>
          <w:bCs w:val="0"/>
          <w:highlight w:val="none"/>
        </w:rPr>
        <w:instrText xml:space="preserve"> HYPERLINK "https://nm.spb.gov.cn/nmgzzqyzglj/c101482/202508/e045db2ed3fd454e8e0f0559d86931b8.shtml" \t "https://chat.deepseek.com/a/chat/s/_blank" </w:instrText>
      </w:r>
      <w:r>
        <w:rPr>
          <w:rFonts w:hint="eastAsia" w:ascii="Times New Roman" w:hAnsi="Times New Roman" w:eastAsia="仿宋_GB2312" w:cs="方正仿宋_GBK"/>
          <w:b w:val="0"/>
          <w:bCs w:val="0"/>
          <w:highlight w:val="none"/>
        </w:rPr>
        <w:fldChar w:fldCharType="separate"/>
      </w:r>
      <w:r>
        <w:rPr>
          <w:rFonts w:hint="eastAsia" w:ascii="Times New Roman" w:hAnsi="Times New Roman" w:eastAsia="仿宋_GB2312" w:cs="方正仿宋_GBK"/>
          <w:b w:val="0"/>
          <w:bCs w:val="0"/>
          <w:highlight w:val="none"/>
        </w:rPr>
        <w:fldChar w:fldCharType="end"/>
      </w:r>
      <w:r>
        <w:rPr>
          <w:rFonts w:hint="eastAsia" w:ascii="Times New Roman" w:hAnsi="Times New Roman" w:eastAsia="仿宋_GB2312" w:cs="方正仿宋_GBK"/>
          <w:b w:val="0"/>
          <w:bCs w:val="0"/>
          <w:highlight w:val="none"/>
        </w:rPr>
        <w:fldChar w:fldCharType="begin"/>
      </w:r>
      <w:r>
        <w:rPr>
          <w:rFonts w:hint="eastAsia" w:ascii="Times New Roman" w:hAnsi="Times New Roman" w:eastAsia="仿宋_GB2312" w:cs="方正仿宋_GBK"/>
          <w:b w:val="0"/>
          <w:bCs w:val="0"/>
          <w:highlight w:val="none"/>
        </w:rPr>
        <w:instrText xml:space="preserve"> HYPERLINK "https://inews.nmgnews.com.cn/system/2019/06/19/012729367.shtml" \t "https://chat.deepseek.com/a/chat/s/_blank" </w:instrText>
      </w:r>
      <w:r>
        <w:rPr>
          <w:rFonts w:hint="eastAsia" w:ascii="Times New Roman" w:hAnsi="Times New Roman" w:eastAsia="仿宋_GB2312" w:cs="方正仿宋_GBK"/>
          <w:b w:val="0"/>
          <w:bCs w:val="0"/>
          <w:highlight w:val="none"/>
        </w:rPr>
        <w:fldChar w:fldCharType="separate"/>
      </w:r>
      <w:r>
        <w:rPr>
          <w:rFonts w:hint="eastAsia" w:ascii="Times New Roman" w:hAnsi="Times New Roman" w:eastAsia="仿宋_GB2312" w:cs="方正仿宋_GBK"/>
          <w:b w:val="0"/>
          <w:bCs w:val="0"/>
          <w:highlight w:val="none"/>
        </w:rPr>
        <w:fldChar w:fldCharType="end"/>
      </w:r>
      <w:r>
        <w:rPr>
          <w:rFonts w:hint="eastAsia" w:ascii="Times New Roman" w:hAnsi="Times New Roman" w:eastAsia="仿宋_GB2312" w:cs="方正仿宋_GBK"/>
          <w:b w:val="0"/>
          <w:bCs w:val="0"/>
          <w:highlight w:val="none"/>
        </w:rPr>
        <w:t>。</w:t>
      </w:r>
      <w:r>
        <w:rPr>
          <w:rFonts w:hint="eastAsia" w:ascii="Times New Roman" w:hAnsi="Times New Roman" w:eastAsia="仿宋_GB2312" w:cs="方正仿宋_GBK"/>
          <w:b w:val="0"/>
          <w:bCs w:val="0"/>
          <w:highlight w:val="none"/>
          <w:lang w:val="en-US" w:eastAsia="zh-CN"/>
        </w:rPr>
        <w:t>高标准建设</w:t>
      </w:r>
      <w:r>
        <w:rPr>
          <w:rFonts w:hint="eastAsia" w:eastAsia="仿宋_GB2312" w:cs="方正仿宋_GBK"/>
          <w:b w:val="0"/>
          <w:bCs w:val="0"/>
          <w:highlight w:val="none"/>
          <w:lang w:val="en-US" w:eastAsia="zh-CN"/>
        </w:rPr>
        <w:t>红山、松山自治区级商贸服务型物流枢纽</w:t>
      </w:r>
      <w:r>
        <w:rPr>
          <w:rFonts w:hint="eastAsia" w:ascii="Times New Roman" w:hAnsi="Times New Roman" w:eastAsia="仿宋_GB2312" w:cs="方正仿宋_GBK"/>
          <w:b w:val="0"/>
          <w:bCs w:val="0"/>
          <w:highlight w:val="none"/>
          <w:lang w:val="en-US" w:eastAsia="zh-CN"/>
        </w:rPr>
        <w:t>等核心枢纽</w:t>
      </w:r>
      <w:r>
        <w:rPr>
          <w:rFonts w:hint="eastAsia" w:ascii="Times New Roman" w:hAnsi="Times New Roman" w:eastAsia="仿宋_GB2312" w:cs="方正仿宋_GBK"/>
          <w:b w:val="0"/>
          <w:bCs w:val="0"/>
          <w:highlight w:val="none"/>
        </w:rPr>
        <w:t>，强化货物集散、仓储配送、分拨转运、供应链服务、口岸服务等核心功能。</w:t>
      </w:r>
      <w:r>
        <w:rPr>
          <w:rFonts w:hint="eastAsia" w:ascii="Times New Roman" w:hAnsi="Times New Roman" w:eastAsia="仿宋_GB2312" w:cs="方正仿宋_GBK"/>
          <w:b w:val="0"/>
          <w:bCs w:val="0"/>
          <w:sz w:val="32"/>
          <w:szCs w:val="32"/>
          <w:highlight w:val="none"/>
          <w:lang w:eastAsia="zh-CN"/>
        </w:rPr>
        <w:t>积极探索“产业集群+物流枢纽”发展模式，发展以“红山智运”为代表的网络货运新业态，提高车货匹配率，拓展车后市场。</w:t>
      </w:r>
      <w:r>
        <w:rPr>
          <w:rFonts w:hint="eastAsia" w:ascii="Times New Roman" w:hAnsi="Times New Roman" w:eastAsia="仿宋_GB2312" w:cs="方正仿宋_GBK"/>
          <w:b w:val="0"/>
          <w:bCs w:val="0"/>
          <w:sz w:val="32"/>
          <w:szCs w:val="32"/>
          <w:highlight w:val="none"/>
          <w:lang w:val="en-US" w:eastAsia="zh-CN"/>
        </w:rPr>
        <w:t>提升赤峰商贸服务物流园区承载能力，优化物流园区管理模式，引导各片区精准定位、统一管理、优势互补、错位发展，实现中心城区物流一体化发展，打造全市物流核心区。因地制宜建设专业市场，根据各地区资源禀赋、优势产业，合理布局建设各具特色的专业市场，提升专业市场枢纽能级和辐射带动能力。招引、培育现代交通物流领军企业，</w:t>
      </w:r>
      <w:r>
        <w:rPr>
          <w:rFonts w:hint="eastAsia" w:eastAsia="仿宋_GB2312" w:cs="方正仿宋_GBK"/>
          <w:b w:val="0"/>
          <w:bCs w:val="0"/>
          <w:sz w:val="32"/>
          <w:szCs w:val="32"/>
          <w:highlight w:val="none"/>
          <w:lang w:val="en-US" w:eastAsia="zh-CN"/>
        </w:rPr>
        <w:t>支持</w:t>
      </w:r>
      <w:r>
        <w:rPr>
          <w:rFonts w:hint="eastAsia" w:ascii="Times New Roman" w:hAnsi="Times New Roman" w:eastAsia="仿宋_GB2312" w:cs="方正仿宋_GBK"/>
          <w:b w:val="0"/>
          <w:bCs w:val="0"/>
          <w:sz w:val="32"/>
          <w:szCs w:val="32"/>
          <w:highlight w:val="none"/>
          <w:lang w:val="en-US" w:eastAsia="zh-CN"/>
        </w:rPr>
        <w:t>现代交通物流企业做大做强，引进国内外有实力的商贸物流企业在赤峰</w:t>
      </w:r>
      <w:r>
        <w:rPr>
          <w:rFonts w:hint="eastAsia" w:eastAsia="仿宋_GB2312" w:cs="方正仿宋_GBK"/>
          <w:b w:val="0"/>
          <w:bCs w:val="0"/>
          <w:sz w:val="32"/>
          <w:szCs w:val="32"/>
          <w:highlight w:val="none"/>
          <w:lang w:val="en-US" w:eastAsia="zh-CN"/>
        </w:rPr>
        <w:t>发展</w:t>
      </w:r>
      <w:r>
        <w:rPr>
          <w:rFonts w:hint="eastAsia" w:ascii="Times New Roman" w:hAnsi="Times New Roman" w:eastAsia="仿宋_GB2312" w:cs="方正仿宋_GBK"/>
          <w:b w:val="0"/>
          <w:bCs w:val="0"/>
          <w:sz w:val="32"/>
          <w:szCs w:val="32"/>
          <w:highlight w:val="none"/>
          <w:lang w:val="en-US" w:eastAsia="zh-CN"/>
        </w:rPr>
        <w:t>。抓好重点商贸物流项目谋划和建设，持续提升红山物流园区、松山商贸物流城管理水平，加快建设蒙东现代快递物流园区，谋划推进和美空港物流园区建设。</w:t>
      </w:r>
    </w:p>
    <w:p w14:paraId="20A1BD6C">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color w:val="auto"/>
          <w:sz w:val="32"/>
          <w:szCs w:val="32"/>
          <w:highlight w:val="none"/>
          <w:lang w:eastAsia="zh-CN"/>
        </w:rPr>
      </w:pPr>
      <w:bookmarkStart w:id="423" w:name="_Toc9646"/>
      <w:r>
        <w:rPr>
          <w:rFonts w:hint="eastAsia" w:ascii="Times New Roman" w:hAnsi="Times New Roman" w:eastAsia="仿宋_GB2312" w:cs="方正仿宋_GBK"/>
          <w:b w:val="0"/>
          <w:bCs w:val="0"/>
          <w:color w:val="auto"/>
          <w:sz w:val="32"/>
          <w:szCs w:val="32"/>
          <w:highlight w:val="none"/>
          <w:lang w:eastAsia="zh-CN"/>
        </w:rPr>
        <w:t>提升金融服务实体经济</w:t>
      </w:r>
      <w:r>
        <w:rPr>
          <w:rFonts w:hint="eastAsia" w:eastAsia="仿宋_GB2312" w:cs="方正仿宋_GBK"/>
          <w:b w:val="0"/>
          <w:bCs w:val="0"/>
          <w:color w:val="auto"/>
          <w:sz w:val="32"/>
          <w:szCs w:val="32"/>
          <w:highlight w:val="none"/>
          <w:lang w:val="en-US" w:eastAsia="zh-CN"/>
        </w:rPr>
        <w:t>和社会民生质效</w:t>
      </w:r>
      <w:bookmarkEnd w:id="423"/>
      <w:r>
        <w:rPr>
          <w:rFonts w:hint="eastAsia" w:eastAsia="仿宋_GB2312" w:cs="方正仿宋_GBK"/>
          <w:b w:val="0"/>
          <w:bCs w:val="0"/>
          <w:sz w:val="32"/>
          <w:szCs w:val="32"/>
          <w:highlight w:val="none"/>
          <w:lang w:eastAsia="zh-CN"/>
        </w:rPr>
        <w:t>。</w:t>
      </w:r>
      <w:r>
        <w:rPr>
          <w:rFonts w:hint="eastAsia" w:ascii="Times New Roman" w:hAnsi="Times New Roman" w:eastAsia="仿宋_GB2312" w:cs="方正仿宋_GBK"/>
          <w:b w:val="0"/>
          <w:bCs w:val="0"/>
          <w:color w:val="auto"/>
          <w:sz w:val="32"/>
          <w:szCs w:val="32"/>
          <w:highlight w:val="none"/>
          <w:lang w:eastAsia="zh-CN"/>
        </w:rPr>
        <w:t>加速引聚金融要素资源，发展金融服务新业态、新产品，推动金融与</w:t>
      </w:r>
      <w:r>
        <w:rPr>
          <w:rFonts w:hint="eastAsia" w:eastAsia="仿宋_GB2312" w:cs="方正仿宋_GBK"/>
          <w:b w:val="0"/>
          <w:bCs w:val="0"/>
          <w:color w:val="auto"/>
          <w:sz w:val="32"/>
          <w:szCs w:val="32"/>
          <w:highlight w:val="none"/>
          <w:lang w:val="en-US" w:eastAsia="zh-CN"/>
        </w:rPr>
        <w:t>实体经济</w:t>
      </w:r>
      <w:r>
        <w:rPr>
          <w:rFonts w:hint="eastAsia" w:ascii="Times New Roman" w:hAnsi="Times New Roman" w:eastAsia="仿宋_GB2312" w:cs="方正仿宋_GBK"/>
          <w:b w:val="0"/>
          <w:bCs w:val="0"/>
          <w:color w:val="auto"/>
          <w:sz w:val="32"/>
          <w:szCs w:val="32"/>
          <w:highlight w:val="none"/>
          <w:lang w:eastAsia="zh-CN"/>
        </w:rPr>
        <w:t>深度协同。提升科技金融、数字金融、绿色金融等服务能级</w:t>
      </w:r>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lang w:eastAsia="zh-CN"/>
        </w:rPr>
        <w:t>推动金融机构研发绿色金融产品，全面营造良好绿色金融发展环境。推动普惠金融、养老金融等业态创新发展，持续优化金融产品和服务，不断增强企业和群众的获得感、满意度。强化产业金融支撑作用，鼓励金融机构通过投贷联动、银团贷款等加大对制造业企业转型升级、产能优化等方面的支持力度。加快引育优质天使基金、创投基金、产业投资基金等创新创业资本</w:t>
      </w:r>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lang w:eastAsia="zh-CN"/>
        </w:rPr>
        <w:t>推动金融机构开发推广符合制造业发展趋势和产业特征的金融产品，形成可复制可推广的“信贷</w:t>
      </w:r>
      <w:r>
        <w:rPr>
          <w:rFonts w:hint="eastAsia" w:ascii="Times New Roman" w:hAnsi="Times New Roman"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sz w:val="32"/>
          <w:szCs w:val="32"/>
          <w:highlight w:val="none"/>
          <w:lang w:eastAsia="zh-CN"/>
        </w:rPr>
        <w:t>非信贷”</w:t>
      </w:r>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lang w:eastAsia="zh-CN"/>
        </w:rPr>
        <w:t>“表内</w:t>
      </w:r>
      <w:r>
        <w:rPr>
          <w:rFonts w:hint="eastAsia" w:ascii="Times New Roman" w:hAnsi="Times New Roman"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sz w:val="32"/>
          <w:szCs w:val="32"/>
          <w:highlight w:val="none"/>
          <w:lang w:eastAsia="zh-CN"/>
        </w:rPr>
        <w:t>表外”</w:t>
      </w:r>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lang w:eastAsia="zh-CN"/>
        </w:rPr>
        <w:t>“融资</w:t>
      </w:r>
      <w:r>
        <w:rPr>
          <w:rFonts w:hint="eastAsia" w:ascii="Times New Roman" w:hAnsi="Times New Roman"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sz w:val="32"/>
          <w:szCs w:val="32"/>
          <w:highlight w:val="none"/>
          <w:lang w:eastAsia="zh-CN"/>
        </w:rPr>
        <w:t>融智”服务模式。深入实施上市企业“天骏计划”，推动企业对接多层次资本市场，开展多元化融资，</w:t>
      </w:r>
      <w:r>
        <w:rPr>
          <w:rFonts w:hint="eastAsia" w:eastAsia="仿宋_GB2312" w:cs="方正仿宋_GBK"/>
          <w:b w:val="0"/>
          <w:bCs w:val="0"/>
          <w:color w:val="auto"/>
          <w:sz w:val="32"/>
          <w:szCs w:val="32"/>
          <w:highlight w:val="none"/>
          <w:lang w:eastAsia="zh-CN"/>
        </w:rPr>
        <w:t>提高</w:t>
      </w:r>
      <w:r>
        <w:rPr>
          <w:rFonts w:hint="eastAsia" w:ascii="Times New Roman" w:hAnsi="Times New Roman" w:eastAsia="仿宋_GB2312" w:cs="方正仿宋_GBK"/>
          <w:b w:val="0"/>
          <w:bCs w:val="0"/>
          <w:color w:val="auto"/>
          <w:sz w:val="32"/>
          <w:szCs w:val="32"/>
          <w:highlight w:val="none"/>
          <w:lang w:eastAsia="zh-CN"/>
        </w:rPr>
        <w:t>金融资源配置效率和能力。</w:t>
      </w:r>
    </w:p>
    <w:p w14:paraId="0C60A228">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color w:val="auto"/>
          <w:sz w:val="32"/>
          <w:szCs w:val="32"/>
          <w:highlight w:val="none"/>
          <w:lang w:eastAsia="zh-CN"/>
        </w:rPr>
      </w:pPr>
      <w:bookmarkStart w:id="424" w:name="_Toc11639"/>
      <w:r>
        <w:rPr>
          <w:rFonts w:hint="eastAsia" w:ascii="Times New Roman" w:hAnsi="Times New Roman" w:eastAsia="仿宋_GB2312" w:cs="方正仿宋_GBK"/>
          <w:b w:val="0"/>
          <w:bCs w:val="0"/>
          <w:color w:val="auto"/>
          <w:sz w:val="32"/>
          <w:szCs w:val="32"/>
          <w:highlight w:val="none"/>
          <w:lang w:eastAsia="zh-CN"/>
        </w:rPr>
        <w:t>打造蒙东新能源运维总部</w:t>
      </w:r>
      <w:bookmarkEnd w:id="424"/>
      <w:r>
        <w:rPr>
          <w:rFonts w:hint="eastAsia" w:eastAsia="仿宋_GB2312" w:cs="方正仿宋_GBK"/>
          <w:b w:val="0"/>
          <w:bCs w:val="0"/>
          <w:sz w:val="32"/>
          <w:szCs w:val="32"/>
          <w:highlight w:val="none"/>
          <w:lang w:eastAsia="zh-CN"/>
        </w:rPr>
        <w:t>。</w:t>
      </w:r>
      <w:r>
        <w:rPr>
          <w:rFonts w:hint="eastAsia" w:ascii="Times New Roman" w:hAnsi="Times New Roman" w:eastAsia="仿宋_GB2312" w:cs="方正仿宋_GBK"/>
          <w:b w:val="0"/>
          <w:bCs w:val="0"/>
          <w:color w:val="auto"/>
          <w:sz w:val="32"/>
          <w:szCs w:val="32"/>
          <w:highlight w:val="none"/>
          <w:lang w:eastAsia="zh-CN"/>
        </w:rPr>
        <w:t>依托新能源大基地，大力发展新能源运维服务业。以集中式大型风电光伏基地运维为重点，兼顾分布式新能源场站运维，培育一批运维</w:t>
      </w:r>
      <w:r>
        <w:rPr>
          <w:rFonts w:hint="eastAsia" w:eastAsia="仿宋_GB2312" w:cs="方正仿宋_GBK"/>
          <w:b w:val="0"/>
          <w:bCs w:val="0"/>
          <w:color w:val="auto"/>
          <w:sz w:val="32"/>
          <w:szCs w:val="32"/>
          <w:highlight w:val="none"/>
          <w:lang w:eastAsia="zh-CN"/>
        </w:rPr>
        <w:t>经营主体</w:t>
      </w:r>
      <w:r>
        <w:rPr>
          <w:rFonts w:hint="eastAsia" w:ascii="Times New Roman" w:hAnsi="Times New Roman" w:eastAsia="仿宋_GB2312" w:cs="方正仿宋_GBK"/>
          <w:b w:val="0"/>
          <w:bCs w:val="0"/>
          <w:color w:val="auto"/>
          <w:sz w:val="32"/>
          <w:szCs w:val="32"/>
          <w:highlight w:val="none"/>
          <w:lang w:eastAsia="zh-CN"/>
        </w:rPr>
        <w:t>；结合大数据、人工智能、物联网、遥感卫星等前沿新兴技术发展现代化智能运维产业，推动关键设备远程在线智能检查与故障诊断，提升新能源智能运维水平，打造新能源智能运维中心。</w:t>
      </w:r>
    </w:p>
    <w:p w14:paraId="075423AE">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color w:val="auto"/>
          <w:sz w:val="32"/>
          <w:szCs w:val="32"/>
          <w:highlight w:val="none"/>
          <w:lang w:val="en-US" w:eastAsia="zh-CN"/>
        </w:rPr>
      </w:pPr>
      <w:bookmarkStart w:id="425" w:name="_Toc26032"/>
      <w:bookmarkStart w:id="426" w:name="_Toc8354"/>
      <w:bookmarkStart w:id="427" w:name="_Toc6411"/>
      <w:bookmarkStart w:id="428" w:name="_Toc28548"/>
      <w:bookmarkStart w:id="429" w:name="_Toc14897"/>
      <w:bookmarkStart w:id="430" w:name="_Toc7036"/>
      <w:bookmarkStart w:id="431" w:name="_Toc13034"/>
      <w:bookmarkStart w:id="432" w:name="_Toc25925"/>
      <w:bookmarkStart w:id="433" w:name="_Toc19145"/>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ascii="Times New Roman" w:hAnsi="Times New Roman" w:eastAsia="仿宋_GB2312" w:cs="方正仿宋_GBK"/>
          <w:b w:val="0"/>
          <w:bCs w:val="0"/>
          <w:color w:val="auto"/>
          <w:sz w:val="32"/>
          <w:szCs w:val="32"/>
          <w:highlight w:val="none"/>
          <w:lang w:val="en-US" w:eastAsia="zh-CN"/>
        </w:rPr>
        <w:t>促进生活性服务业品质化多样化升级</w:t>
      </w:r>
      <w:bookmarkEnd w:id="425"/>
      <w:bookmarkEnd w:id="426"/>
      <w:bookmarkEnd w:id="427"/>
      <w:bookmarkEnd w:id="428"/>
      <w:bookmarkEnd w:id="429"/>
      <w:bookmarkEnd w:id="430"/>
      <w:bookmarkEnd w:id="431"/>
      <w:bookmarkEnd w:id="432"/>
      <w:bookmarkEnd w:id="433"/>
      <w:r>
        <w:rPr>
          <w:rFonts w:hint="eastAsia" w:ascii="Times New Roman" w:hAnsi="Times New Roman" w:eastAsia="仿宋_GB2312" w:cs="方正仿宋_GBK"/>
          <w:b w:val="0"/>
          <w:bCs w:val="0"/>
          <w:color w:val="auto"/>
          <w:sz w:val="32"/>
          <w:szCs w:val="32"/>
          <w:highlight w:val="none"/>
          <w:lang w:val="en-US" w:eastAsia="zh-CN"/>
        </w:rPr>
        <w:t>。进一步健全加快生活性服务业多样化发展机制，顺应生活方式和消费理念转变，加强公益性、基础性、普惠性服务供给，全面提高服务品质。</w:t>
      </w:r>
    </w:p>
    <w:p w14:paraId="300543AB">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eastAsia="仿宋_GB2312" w:cs="方正仿宋_GBK"/>
          <w:b w:val="0"/>
          <w:bCs w:val="0"/>
          <w:color w:val="auto"/>
          <w:sz w:val="32"/>
          <w:szCs w:val="32"/>
          <w:highlight w:val="none"/>
          <w:lang w:val="en-US" w:eastAsia="zh-CN"/>
        </w:rPr>
      </w:pPr>
      <w:r>
        <w:rPr>
          <w:rFonts w:hint="eastAsia" w:ascii="Times New Roman" w:hAnsi="Times New Roman" w:eastAsia="仿宋_GB2312" w:cs="方正仿宋_GBK"/>
          <w:b w:val="0"/>
          <w:bCs w:val="0"/>
          <w:color w:val="auto"/>
          <w:sz w:val="32"/>
          <w:szCs w:val="32"/>
          <w:highlight w:val="none"/>
          <w:lang w:val="en-US" w:eastAsia="zh-CN"/>
        </w:rPr>
        <w:t>提升城市生活服务品质</w:t>
      </w:r>
      <w:r>
        <w:rPr>
          <w:rFonts w:hint="eastAsia" w:eastAsia="仿宋_GB2312" w:cs="方正仿宋_GBK"/>
          <w:b w:val="0"/>
          <w:bCs w:val="0"/>
          <w:sz w:val="32"/>
          <w:szCs w:val="32"/>
          <w:highlight w:val="none"/>
          <w:lang w:val="en-US" w:eastAsia="zh-CN"/>
        </w:rPr>
        <w:t>。</w:t>
      </w:r>
      <w:r>
        <w:rPr>
          <w:rFonts w:hint="default" w:ascii="Times New Roman" w:hAnsi="Times New Roman" w:eastAsia="仿宋_GB2312" w:cs="方正仿宋_GBK"/>
          <w:b w:val="0"/>
          <w:bCs w:val="0"/>
          <w:color w:val="auto"/>
          <w:sz w:val="32"/>
          <w:szCs w:val="32"/>
          <w:highlight w:val="none"/>
          <w:lang w:val="en-US" w:eastAsia="zh-CN"/>
        </w:rPr>
        <w:t>开展高品质生活城市建设工作，新建、改造一批农贸市场、生鲜超市，进一步完善社区便民服务功能。开放公共服务空间，在医院、高校、公园既有建筑、工厂、景区等场所引入品牌连锁便利店、无人便利店和智能零售柜。</w:t>
      </w:r>
      <w:r>
        <w:rPr>
          <w:rFonts w:hint="eastAsia" w:ascii="Times New Roman" w:hAnsi="Times New Roman" w:eastAsia="仿宋_GB2312" w:cs="方正仿宋_GBK"/>
          <w:b w:val="0"/>
          <w:bCs w:val="0"/>
          <w:color w:val="auto"/>
          <w:sz w:val="32"/>
          <w:szCs w:val="32"/>
          <w:highlight w:val="none"/>
          <w:lang w:val="en-US" w:eastAsia="zh-CN"/>
        </w:rPr>
        <w:t>提升城市商业能级，推进城市商圈转型升级、错位发展，打造特色商业街区。</w:t>
      </w:r>
      <w:r>
        <w:rPr>
          <w:rFonts w:hint="default" w:ascii="Times New Roman" w:hAnsi="Times New Roman" w:eastAsia="仿宋_GB2312" w:cs="方正仿宋_GBK"/>
          <w:b w:val="0"/>
          <w:bCs w:val="0"/>
          <w:color w:val="auto"/>
          <w:sz w:val="32"/>
          <w:szCs w:val="32"/>
          <w:highlight w:val="none"/>
          <w:lang w:val="en-US" w:eastAsia="zh-CN"/>
        </w:rPr>
        <w:t>着力优化教育、医疗、养老、文化、体育等重点资源规划布局，持续加大城市绿地公园、健身步道、智慧停车场、公厕等生活服务设施建设力度，合理设置智慧健身、智能共享等设备，提升城市生活服务品质</w:t>
      </w:r>
      <w:r>
        <w:rPr>
          <w:rFonts w:hint="eastAsia" w:eastAsia="仿宋_GB2312" w:cs="方正仿宋_GBK"/>
          <w:b w:val="0"/>
          <w:bCs w:val="0"/>
          <w:color w:val="auto"/>
          <w:sz w:val="32"/>
          <w:szCs w:val="32"/>
          <w:highlight w:val="none"/>
          <w:lang w:val="en-US" w:eastAsia="zh-CN"/>
        </w:rPr>
        <w:t>。</w:t>
      </w:r>
    </w:p>
    <w:p w14:paraId="720EB8DF">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default" w:eastAsia="仿宋_GB2312" w:cs="方正仿宋_GBK"/>
          <w:b w:val="0"/>
          <w:bCs w:val="0"/>
          <w:color w:val="auto"/>
          <w:sz w:val="32"/>
          <w:szCs w:val="32"/>
          <w:highlight w:val="none"/>
          <w:lang w:val="en-US" w:eastAsia="zh-CN"/>
        </w:rPr>
      </w:pPr>
      <w:r>
        <w:rPr>
          <w:rFonts w:hint="eastAsia" w:eastAsia="仿宋_GB2312" w:cs="方正仿宋_GBK"/>
          <w:b w:val="0"/>
          <w:bCs w:val="0"/>
          <w:color w:val="auto"/>
          <w:sz w:val="32"/>
          <w:szCs w:val="32"/>
          <w:highlight w:val="none"/>
          <w:lang w:val="en-US" w:eastAsia="zh-CN"/>
        </w:rPr>
        <w:t>畅通城乡生活服务渠道</w:t>
      </w:r>
      <w:r>
        <w:rPr>
          <w:rFonts w:hint="eastAsia" w:eastAsia="仿宋_GB2312" w:cs="方正仿宋_GBK"/>
          <w:b w:val="0"/>
          <w:bCs w:val="0"/>
          <w:sz w:val="32"/>
          <w:szCs w:val="32"/>
          <w:highlight w:val="none"/>
          <w:lang w:val="en-US" w:eastAsia="zh-CN"/>
        </w:rPr>
        <w:t>。</w:t>
      </w:r>
      <w:r>
        <w:rPr>
          <w:rFonts w:hint="eastAsia" w:ascii="Times New Roman" w:hAnsi="Times New Roman" w:eastAsia="仿宋_GB2312" w:cs="方正仿宋_GBK"/>
          <w:b w:val="0"/>
          <w:bCs w:val="0"/>
          <w:color w:val="auto"/>
          <w:sz w:val="32"/>
          <w:szCs w:val="32"/>
          <w:highlight w:val="none"/>
          <w:lang w:val="en-US" w:eastAsia="zh-CN"/>
        </w:rPr>
        <w:t>深化县域商业体系建设，</w:t>
      </w:r>
      <w:r>
        <w:rPr>
          <w:rFonts w:hint="default" w:eastAsia="仿宋_GB2312" w:cs="方正仿宋_GBK"/>
          <w:b w:val="0"/>
          <w:bCs w:val="0"/>
          <w:color w:val="auto"/>
          <w:sz w:val="32"/>
          <w:szCs w:val="32"/>
          <w:highlight w:val="none"/>
          <w:lang w:val="en-US" w:eastAsia="zh-CN"/>
        </w:rPr>
        <w:t>推进县域综合商贸服务中心和物流配送中心、特色商贸小镇和乡镇商贸综合体建设，</w:t>
      </w:r>
      <w:r>
        <w:rPr>
          <w:rFonts w:hint="eastAsia" w:ascii="Times New Roman" w:hAnsi="Times New Roman" w:eastAsia="仿宋_GB2312" w:cs="方正仿宋_GBK"/>
          <w:b w:val="0"/>
          <w:bCs w:val="0"/>
          <w:color w:val="auto"/>
          <w:sz w:val="32"/>
          <w:szCs w:val="32"/>
          <w:highlight w:val="none"/>
          <w:lang w:val="en-US" w:eastAsia="zh-CN"/>
        </w:rPr>
        <w:t>加快“千集万店”改造，</w:t>
      </w:r>
      <w:r>
        <w:rPr>
          <w:rFonts w:hint="default" w:eastAsia="仿宋_GB2312" w:cs="方正仿宋_GBK"/>
          <w:b w:val="0"/>
          <w:bCs w:val="0"/>
          <w:color w:val="auto"/>
          <w:sz w:val="32"/>
          <w:szCs w:val="32"/>
          <w:highlight w:val="none"/>
          <w:lang w:val="en-US" w:eastAsia="zh-CN"/>
        </w:rPr>
        <w:t>提升农村</w:t>
      </w:r>
      <w:r>
        <w:rPr>
          <w:rFonts w:hint="eastAsia" w:eastAsia="仿宋_GB2312" w:cs="方正仿宋_GBK"/>
          <w:b w:val="0"/>
          <w:bCs w:val="0"/>
          <w:color w:val="auto"/>
          <w:sz w:val="32"/>
          <w:szCs w:val="32"/>
          <w:highlight w:val="none"/>
          <w:lang w:val="en-US" w:eastAsia="zh-CN"/>
        </w:rPr>
        <w:t>牧区</w:t>
      </w:r>
      <w:r>
        <w:rPr>
          <w:rFonts w:hint="default" w:eastAsia="仿宋_GB2312" w:cs="方正仿宋_GBK"/>
          <w:b w:val="0"/>
          <w:bCs w:val="0"/>
          <w:color w:val="auto"/>
          <w:sz w:val="32"/>
          <w:szCs w:val="32"/>
          <w:highlight w:val="none"/>
          <w:lang w:val="en-US" w:eastAsia="zh-CN"/>
        </w:rPr>
        <w:t>传统商业网点、农贸市场，建立完善以县城为中心、</w:t>
      </w:r>
      <w:r>
        <w:rPr>
          <w:rFonts w:hint="eastAsia" w:eastAsia="仿宋_GB2312" w:cs="方正仿宋_GBK"/>
          <w:b w:val="0"/>
          <w:bCs w:val="0"/>
          <w:color w:val="auto"/>
          <w:sz w:val="32"/>
          <w:szCs w:val="32"/>
          <w:highlight w:val="none"/>
          <w:lang w:val="en-US" w:eastAsia="zh-CN"/>
        </w:rPr>
        <w:t>苏木</w:t>
      </w:r>
      <w:r>
        <w:rPr>
          <w:rFonts w:hint="default" w:eastAsia="仿宋_GB2312" w:cs="方正仿宋_GBK"/>
          <w:b w:val="0"/>
          <w:bCs w:val="0"/>
          <w:color w:val="auto"/>
          <w:sz w:val="32"/>
          <w:szCs w:val="32"/>
          <w:highlight w:val="none"/>
          <w:lang w:val="en-US" w:eastAsia="zh-CN"/>
        </w:rPr>
        <w:t>乡镇为重点、</w:t>
      </w:r>
      <w:r>
        <w:rPr>
          <w:rFonts w:hint="eastAsia" w:eastAsia="仿宋_GB2312" w:cs="方正仿宋_GBK"/>
          <w:b w:val="0"/>
          <w:bCs w:val="0"/>
          <w:color w:val="auto"/>
          <w:sz w:val="32"/>
          <w:szCs w:val="32"/>
          <w:highlight w:val="none"/>
          <w:lang w:val="en-US" w:eastAsia="zh-CN"/>
        </w:rPr>
        <w:t>嘎查</w:t>
      </w:r>
      <w:r>
        <w:rPr>
          <w:rFonts w:hint="default" w:eastAsia="仿宋_GB2312" w:cs="方正仿宋_GBK"/>
          <w:b w:val="0"/>
          <w:bCs w:val="0"/>
          <w:color w:val="auto"/>
          <w:sz w:val="32"/>
          <w:szCs w:val="32"/>
          <w:highlight w:val="none"/>
          <w:lang w:val="en-US" w:eastAsia="zh-CN"/>
        </w:rPr>
        <w:t>村为基础的农村</w:t>
      </w:r>
      <w:r>
        <w:rPr>
          <w:rFonts w:hint="eastAsia" w:eastAsia="仿宋_GB2312" w:cs="方正仿宋_GBK"/>
          <w:b w:val="0"/>
          <w:bCs w:val="0"/>
          <w:color w:val="auto"/>
          <w:sz w:val="32"/>
          <w:szCs w:val="32"/>
          <w:highlight w:val="none"/>
          <w:lang w:val="en-US" w:eastAsia="zh-CN"/>
        </w:rPr>
        <w:t>牧区</w:t>
      </w:r>
      <w:r>
        <w:rPr>
          <w:rFonts w:hint="default" w:eastAsia="仿宋_GB2312" w:cs="方正仿宋_GBK"/>
          <w:b w:val="0"/>
          <w:bCs w:val="0"/>
          <w:color w:val="auto"/>
          <w:sz w:val="32"/>
          <w:szCs w:val="32"/>
          <w:highlight w:val="none"/>
          <w:lang w:val="en-US" w:eastAsia="zh-CN"/>
        </w:rPr>
        <w:t>商业体系。加快农村</w:t>
      </w:r>
      <w:r>
        <w:rPr>
          <w:rFonts w:hint="eastAsia" w:eastAsia="仿宋_GB2312" w:cs="方正仿宋_GBK"/>
          <w:b w:val="0"/>
          <w:bCs w:val="0"/>
          <w:color w:val="auto"/>
          <w:sz w:val="32"/>
          <w:szCs w:val="32"/>
          <w:highlight w:val="none"/>
          <w:lang w:val="en-US" w:eastAsia="zh-CN"/>
        </w:rPr>
        <w:t>牧区</w:t>
      </w:r>
      <w:r>
        <w:rPr>
          <w:rFonts w:hint="default" w:eastAsia="仿宋_GB2312" w:cs="方正仿宋_GBK"/>
          <w:b w:val="0"/>
          <w:bCs w:val="0"/>
          <w:color w:val="auto"/>
          <w:sz w:val="32"/>
          <w:szCs w:val="32"/>
          <w:highlight w:val="none"/>
          <w:lang w:val="en-US" w:eastAsia="zh-CN"/>
        </w:rPr>
        <w:t>快递物流基础设施建设，完善农村</w:t>
      </w:r>
      <w:r>
        <w:rPr>
          <w:rFonts w:hint="eastAsia" w:eastAsia="仿宋_GB2312" w:cs="方正仿宋_GBK"/>
          <w:b w:val="0"/>
          <w:bCs w:val="0"/>
          <w:color w:val="auto"/>
          <w:sz w:val="32"/>
          <w:szCs w:val="32"/>
          <w:highlight w:val="none"/>
          <w:lang w:val="en-US" w:eastAsia="zh-CN"/>
        </w:rPr>
        <w:t>牧区</w:t>
      </w:r>
      <w:r>
        <w:rPr>
          <w:rFonts w:hint="default" w:eastAsia="仿宋_GB2312" w:cs="方正仿宋_GBK"/>
          <w:b w:val="0"/>
          <w:bCs w:val="0"/>
          <w:color w:val="auto"/>
          <w:sz w:val="32"/>
          <w:szCs w:val="32"/>
          <w:highlight w:val="none"/>
          <w:lang w:val="en-US" w:eastAsia="zh-CN"/>
        </w:rPr>
        <w:t>电商快递站点，打通城乡快递物流配送</w:t>
      </w:r>
      <w:r>
        <w:rPr>
          <w:rFonts w:hint="eastAsia" w:eastAsia="仿宋_GB2312" w:cs="方正仿宋_GBK"/>
          <w:b w:val="0"/>
          <w:bCs w:val="0"/>
          <w:color w:val="auto"/>
          <w:sz w:val="32"/>
          <w:szCs w:val="32"/>
          <w:highlight w:val="none"/>
          <w:lang w:val="en-US" w:eastAsia="zh-CN"/>
        </w:rPr>
        <w:t>“</w:t>
      </w:r>
      <w:r>
        <w:rPr>
          <w:rFonts w:hint="default" w:eastAsia="仿宋_GB2312" w:cs="方正仿宋_GBK"/>
          <w:b w:val="0"/>
          <w:bCs w:val="0"/>
          <w:color w:val="auto"/>
          <w:sz w:val="32"/>
          <w:szCs w:val="32"/>
          <w:highlight w:val="none"/>
          <w:lang w:val="en-US" w:eastAsia="zh-CN"/>
        </w:rPr>
        <w:t>最后一公里</w:t>
      </w:r>
      <w:r>
        <w:rPr>
          <w:rFonts w:hint="eastAsia" w:eastAsia="仿宋_GB2312" w:cs="方正仿宋_GBK"/>
          <w:b w:val="0"/>
          <w:bCs w:val="0"/>
          <w:color w:val="auto"/>
          <w:sz w:val="32"/>
          <w:szCs w:val="32"/>
          <w:highlight w:val="none"/>
          <w:lang w:val="en-US" w:eastAsia="zh-CN"/>
        </w:rPr>
        <w:t>”</w:t>
      </w:r>
      <w:r>
        <w:rPr>
          <w:rFonts w:hint="default" w:eastAsia="仿宋_GB2312" w:cs="方正仿宋_GBK"/>
          <w:b w:val="0"/>
          <w:bCs w:val="0"/>
          <w:color w:val="auto"/>
          <w:sz w:val="32"/>
          <w:szCs w:val="32"/>
          <w:highlight w:val="none"/>
          <w:lang w:val="en-US" w:eastAsia="zh-CN"/>
        </w:rPr>
        <w:t>。建设农村</w:t>
      </w:r>
      <w:r>
        <w:rPr>
          <w:rFonts w:hint="eastAsia" w:eastAsia="仿宋_GB2312" w:cs="方正仿宋_GBK"/>
          <w:b w:val="0"/>
          <w:bCs w:val="0"/>
          <w:color w:val="auto"/>
          <w:sz w:val="32"/>
          <w:szCs w:val="32"/>
          <w:highlight w:val="none"/>
          <w:lang w:val="en-US" w:eastAsia="zh-CN"/>
        </w:rPr>
        <w:t>牧区</w:t>
      </w:r>
      <w:r>
        <w:rPr>
          <w:rFonts w:hint="default" w:eastAsia="仿宋_GB2312" w:cs="方正仿宋_GBK"/>
          <w:b w:val="0"/>
          <w:bCs w:val="0"/>
          <w:color w:val="auto"/>
          <w:sz w:val="32"/>
          <w:szCs w:val="32"/>
          <w:highlight w:val="none"/>
          <w:lang w:val="en-US" w:eastAsia="zh-CN"/>
        </w:rPr>
        <w:t>生活服务网络，推进便民服务惠及农村。</w:t>
      </w:r>
    </w:p>
    <w:p w14:paraId="57E32747">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default" w:eastAsia="仿宋_GB2312" w:cs="方正仿宋_GBK"/>
          <w:b w:val="0"/>
          <w:bCs w:val="0"/>
          <w:color w:val="auto"/>
          <w:sz w:val="32"/>
          <w:szCs w:val="32"/>
          <w:highlight w:val="none"/>
          <w:lang w:val="en-US" w:eastAsia="zh-CN"/>
        </w:rPr>
      </w:pPr>
      <w:r>
        <w:rPr>
          <w:rFonts w:hint="eastAsia" w:eastAsia="仿宋_GB2312" w:cs="方正仿宋_GBK"/>
          <w:b w:val="0"/>
          <w:bCs w:val="0"/>
          <w:color w:val="auto"/>
          <w:sz w:val="32"/>
          <w:szCs w:val="32"/>
          <w:highlight w:val="none"/>
          <w:lang w:val="en-US" w:eastAsia="zh-CN"/>
        </w:rPr>
        <w:t>加强生活服务数字化赋能</w:t>
      </w:r>
      <w:r>
        <w:rPr>
          <w:rFonts w:hint="eastAsia" w:eastAsia="仿宋_GB2312" w:cs="方正仿宋_GBK"/>
          <w:b w:val="0"/>
          <w:bCs w:val="0"/>
          <w:sz w:val="32"/>
          <w:szCs w:val="32"/>
          <w:highlight w:val="none"/>
          <w:lang w:val="en-US" w:eastAsia="zh-CN"/>
        </w:rPr>
        <w:t>。</w:t>
      </w:r>
      <w:r>
        <w:rPr>
          <w:rFonts w:hint="eastAsia" w:eastAsia="仿宋_GB2312" w:cs="方正仿宋_GBK"/>
          <w:b w:val="0"/>
          <w:bCs w:val="0"/>
          <w:color w:val="auto"/>
          <w:sz w:val="32"/>
          <w:szCs w:val="32"/>
          <w:highlight w:val="none"/>
          <w:lang w:val="en-US" w:eastAsia="zh-CN"/>
        </w:rPr>
        <w:t>推动</w:t>
      </w:r>
      <w:r>
        <w:rPr>
          <w:rFonts w:hint="default" w:eastAsia="仿宋_GB2312" w:cs="方正仿宋_GBK"/>
          <w:b w:val="0"/>
          <w:bCs w:val="0"/>
          <w:color w:val="auto"/>
          <w:sz w:val="32"/>
          <w:szCs w:val="32"/>
          <w:highlight w:val="none"/>
          <w:lang w:val="en-US" w:eastAsia="zh-CN"/>
        </w:rPr>
        <w:t>公共服务</w:t>
      </w:r>
      <w:r>
        <w:rPr>
          <w:rFonts w:hint="eastAsia" w:eastAsia="仿宋_GB2312" w:cs="方正仿宋_GBK"/>
          <w:b w:val="0"/>
          <w:bCs w:val="0"/>
          <w:color w:val="auto"/>
          <w:sz w:val="32"/>
          <w:szCs w:val="32"/>
          <w:highlight w:val="none"/>
          <w:lang w:val="en-US" w:eastAsia="zh-CN"/>
        </w:rPr>
        <w:t>经营主体“</w:t>
      </w:r>
      <w:r>
        <w:rPr>
          <w:rFonts w:hint="default" w:eastAsia="仿宋_GB2312" w:cs="方正仿宋_GBK"/>
          <w:b w:val="0"/>
          <w:bCs w:val="0"/>
          <w:color w:val="auto"/>
          <w:sz w:val="32"/>
          <w:szCs w:val="32"/>
          <w:highlight w:val="none"/>
          <w:lang w:val="en-US" w:eastAsia="zh-CN"/>
        </w:rPr>
        <w:t>上云用数赋智</w:t>
      </w:r>
      <w:r>
        <w:rPr>
          <w:rFonts w:hint="eastAsia" w:eastAsia="仿宋_GB2312" w:cs="方正仿宋_GBK"/>
          <w:b w:val="0"/>
          <w:bCs w:val="0"/>
          <w:color w:val="auto"/>
          <w:sz w:val="32"/>
          <w:szCs w:val="32"/>
          <w:highlight w:val="none"/>
          <w:lang w:val="en-US" w:eastAsia="zh-CN"/>
        </w:rPr>
        <w:t>”，</w:t>
      </w:r>
      <w:r>
        <w:rPr>
          <w:rFonts w:hint="default" w:eastAsia="仿宋_GB2312" w:cs="方正仿宋_GBK"/>
          <w:b w:val="0"/>
          <w:bCs w:val="0"/>
          <w:color w:val="auto"/>
          <w:sz w:val="32"/>
          <w:szCs w:val="32"/>
          <w:highlight w:val="none"/>
          <w:lang w:val="en-US" w:eastAsia="zh-CN"/>
        </w:rPr>
        <w:t>拓展在线服务功能。完善电子商务公共服务体系，引导电子商务平台企业结合市场需求为</w:t>
      </w:r>
      <w:r>
        <w:rPr>
          <w:rFonts w:hint="eastAsia" w:eastAsia="仿宋_GB2312" w:cs="方正仿宋_GBK"/>
          <w:b w:val="0"/>
          <w:bCs w:val="0"/>
          <w:color w:val="auto"/>
          <w:sz w:val="32"/>
          <w:szCs w:val="32"/>
          <w:highlight w:val="none"/>
          <w:lang w:val="en-US" w:eastAsia="zh-CN"/>
        </w:rPr>
        <w:t>经营主体</w:t>
      </w:r>
      <w:r>
        <w:rPr>
          <w:rFonts w:hint="default" w:eastAsia="仿宋_GB2312" w:cs="方正仿宋_GBK"/>
          <w:b w:val="0"/>
          <w:bCs w:val="0"/>
          <w:color w:val="auto"/>
          <w:sz w:val="32"/>
          <w:szCs w:val="32"/>
          <w:highlight w:val="none"/>
          <w:lang w:val="en-US" w:eastAsia="zh-CN"/>
        </w:rPr>
        <w:t>提供信息、营销、配送等一站式、一体化服务。推动生活服务数据开放共享</w:t>
      </w:r>
      <w:r>
        <w:rPr>
          <w:rFonts w:hint="eastAsia" w:eastAsia="仿宋_GB2312" w:cs="方正仿宋_GBK"/>
          <w:b w:val="0"/>
          <w:bCs w:val="0"/>
          <w:color w:val="auto"/>
          <w:sz w:val="32"/>
          <w:szCs w:val="32"/>
          <w:highlight w:val="none"/>
          <w:lang w:val="en-US" w:eastAsia="zh-CN"/>
        </w:rPr>
        <w:t>，</w:t>
      </w:r>
      <w:r>
        <w:rPr>
          <w:rFonts w:hint="default" w:eastAsia="仿宋_GB2312" w:cs="方正仿宋_GBK"/>
          <w:b w:val="0"/>
          <w:bCs w:val="0"/>
          <w:color w:val="auto"/>
          <w:sz w:val="32"/>
          <w:szCs w:val="32"/>
          <w:highlight w:val="none"/>
          <w:lang w:val="en-US" w:eastAsia="zh-CN"/>
        </w:rPr>
        <w:t>在保障数据安全和保护个人隐私前提下，分领域制定生活服务数据开放共享标准和目录清单，优先推进旅游、体育、家政等领域公共数据开放。建设面向生活性服务业重点应用场景的数字化、智能化基础设施，积极打造</w:t>
      </w:r>
      <w:r>
        <w:rPr>
          <w:rFonts w:hint="eastAsia" w:eastAsia="仿宋_GB2312" w:cs="方正仿宋_GBK"/>
          <w:b w:val="0"/>
          <w:bCs w:val="0"/>
          <w:color w:val="auto"/>
          <w:sz w:val="32"/>
          <w:szCs w:val="32"/>
          <w:highlight w:val="none"/>
          <w:lang w:val="en-US" w:eastAsia="zh-CN"/>
        </w:rPr>
        <w:t>“</w:t>
      </w:r>
      <w:r>
        <w:rPr>
          <w:rFonts w:hint="default" w:eastAsia="仿宋_GB2312" w:cs="方正仿宋_GBK"/>
          <w:b w:val="0"/>
          <w:bCs w:val="0"/>
          <w:color w:val="auto"/>
          <w:sz w:val="32"/>
          <w:szCs w:val="32"/>
          <w:highlight w:val="none"/>
          <w:lang w:val="en-US" w:eastAsia="zh-CN"/>
        </w:rPr>
        <w:t>社区一刻钟便民生活服务平台</w:t>
      </w:r>
      <w:r>
        <w:rPr>
          <w:rFonts w:hint="eastAsia" w:eastAsia="仿宋_GB2312" w:cs="方正仿宋_GBK"/>
          <w:b w:val="0"/>
          <w:bCs w:val="0"/>
          <w:color w:val="auto"/>
          <w:sz w:val="32"/>
          <w:szCs w:val="32"/>
          <w:highlight w:val="none"/>
          <w:lang w:val="en-US" w:eastAsia="zh-CN"/>
        </w:rPr>
        <w:t>”</w:t>
      </w:r>
      <w:r>
        <w:rPr>
          <w:rFonts w:hint="default" w:eastAsia="仿宋_GB2312" w:cs="方正仿宋_GBK"/>
          <w:b w:val="0"/>
          <w:bCs w:val="0"/>
          <w:color w:val="auto"/>
          <w:sz w:val="32"/>
          <w:szCs w:val="32"/>
          <w:highlight w:val="none"/>
          <w:lang w:val="en-US" w:eastAsia="zh-CN"/>
        </w:rPr>
        <w:t>，接入购物、餐饮、健身、文化、养老、家政等线上服务功能，为群众提供商品配送、信息查询、生活缴费、预约排队等线上便民惠民服务。</w:t>
      </w:r>
    </w:p>
    <w:p w14:paraId="15E3E11D">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highlight w:val="none"/>
          <w:lang w:val="en-US" w:eastAsia="zh-CN"/>
        </w:rPr>
      </w:pPr>
      <w:bookmarkStart w:id="434" w:name="_Toc3872"/>
      <w:bookmarkStart w:id="435" w:name="_Toc25901"/>
      <w:bookmarkStart w:id="436" w:name="_Toc30983"/>
      <w:bookmarkStart w:id="437" w:name="_Toc5910"/>
      <w:bookmarkStart w:id="438" w:name="_Toc5357"/>
      <w:bookmarkStart w:id="439" w:name="_Toc6978"/>
      <w:bookmarkStart w:id="440" w:name="_Toc14603"/>
      <w:bookmarkStart w:id="441" w:name="_Toc28295"/>
      <w:bookmarkStart w:id="442" w:name="_Toc19496"/>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eastAsia" w:eastAsia="仿宋_GB2312" w:cs="方正仿宋_GBK"/>
          <w:b w:val="0"/>
          <w:bCs w:val="0"/>
          <w:color w:val="auto"/>
          <w:sz w:val="32"/>
          <w:szCs w:val="32"/>
          <w:highlight w:val="none"/>
          <w:lang w:val="en-US" w:eastAsia="zh-CN"/>
        </w:rPr>
        <w:t>推动文旅体农商深度融合发展</w:t>
      </w:r>
      <w:bookmarkEnd w:id="434"/>
      <w:bookmarkEnd w:id="435"/>
      <w:bookmarkEnd w:id="436"/>
      <w:bookmarkEnd w:id="437"/>
      <w:bookmarkEnd w:id="438"/>
      <w:bookmarkEnd w:id="439"/>
      <w:bookmarkEnd w:id="440"/>
      <w:bookmarkEnd w:id="441"/>
      <w:bookmarkEnd w:id="442"/>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highlight w:val="none"/>
          <w:lang w:val="en-US" w:eastAsia="zh-CN"/>
        </w:rPr>
        <w:t>坚持以文塑旅、以旅彰文，促进文化、旅游、体育、农业、商业在更广范围、更深层次、更高水平上融合发展。</w:t>
      </w:r>
    </w:p>
    <w:p w14:paraId="6B7128F3">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highlight w:val="none"/>
          <w:lang w:val="en-US" w:eastAsia="zh-CN"/>
        </w:rPr>
      </w:pPr>
      <w:bookmarkStart w:id="443" w:name="_Toc1734"/>
      <w:r>
        <w:rPr>
          <w:rFonts w:hint="eastAsia" w:ascii="Times New Roman" w:hAnsi="Times New Roman" w:eastAsia="仿宋_GB2312" w:cs="方正仿宋_GBK"/>
          <w:b w:val="0"/>
          <w:bCs w:val="0"/>
          <w:color w:val="auto"/>
          <w:highlight w:val="none"/>
          <w:lang w:val="en-US" w:eastAsia="zh-CN"/>
        </w:rPr>
        <w:t>打造特色</w:t>
      </w:r>
      <w:r>
        <w:rPr>
          <w:rFonts w:hint="eastAsia" w:eastAsia="仿宋_GB2312" w:cs="方正仿宋_GBK"/>
          <w:b w:val="0"/>
          <w:bCs w:val="0"/>
          <w:color w:val="auto"/>
          <w:highlight w:val="none"/>
          <w:lang w:val="en-US" w:eastAsia="zh-CN"/>
        </w:rPr>
        <w:t>文旅</w:t>
      </w:r>
      <w:r>
        <w:rPr>
          <w:rFonts w:hint="eastAsia" w:ascii="Times New Roman" w:hAnsi="Times New Roman" w:eastAsia="仿宋_GB2312" w:cs="方正仿宋_GBK"/>
          <w:b w:val="0"/>
          <w:bCs w:val="0"/>
          <w:color w:val="auto"/>
          <w:highlight w:val="none"/>
          <w:lang w:val="en-US" w:eastAsia="zh-CN"/>
        </w:rPr>
        <w:t>品牌和产品体系</w:t>
      </w:r>
      <w:bookmarkEnd w:id="443"/>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highlight w:val="none"/>
          <w:lang w:val="en-US" w:eastAsia="zh-CN"/>
        </w:rPr>
        <w:t>深度提炼赤峰特色文化精神标识和文化精髓，融入旅游产品开发全过程。打造特色品牌体系：打造“文明探源”产品系列，以红山文化、辽文化遗址为核心，推出高端研学旅行、考古体验游线路。打造“生态康养”产品系列，依托草原、森林、沙漠、温泉资源，开发避暑度假、温泉疗养、生态露营等产品</w:t>
      </w:r>
      <w:r>
        <w:rPr>
          <w:rFonts w:hint="eastAsia" w:eastAsia="仿宋_GB2312" w:cs="方正仿宋_GBK"/>
          <w:b w:val="0"/>
          <w:bCs w:val="0"/>
          <w:highlight w:val="none"/>
          <w:lang w:val="en-US" w:eastAsia="zh-CN"/>
        </w:rPr>
        <w:t>，发展西拉沐沦湖休闲旅游度假区“夏涉水”业态</w:t>
      </w:r>
      <w:r>
        <w:rPr>
          <w:rFonts w:hint="eastAsia" w:ascii="Times New Roman" w:hAnsi="Times New Roman" w:eastAsia="仿宋_GB2312" w:cs="方正仿宋_GBK"/>
          <w:b w:val="0"/>
          <w:bCs w:val="0"/>
          <w:highlight w:val="none"/>
          <w:lang w:val="en-US" w:eastAsia="zh-CN"/>
        </w:rPr>
        <w:t>。打造“民俗风情”产品系列，深度体验歌舞、美食、那达慕、婚俗等，发展乡村民宿。打造“红色记忆”产品系列，整合革命遗址、纪念设施，开发红色教育旅游线路。打造“运动休闲”产品系列，利用地形地貌发展自驾、徒步、骑行、滑雪、越野等户外运动。打造“都市休闲”产品系列，发展文博观展、创意街区、夜间经济、美食购物等都市业态。依托阿斯哈图石林、乌兰布统旅游区、克什克腾旗热水塘温泉旅游度假区、内蒙古阿鲁科尔沁草原游牧系统等高品质资源，争创国内知名旅游景区、国家级文化生态保护实验区等文旅品牌。加快玉龙沙湖5A级旅游景区创建步伐，推进西拉沐沦大峡谷、西拉沐沦湖生态休闲旅游度假区、宝门银沙海沙漠旅游度假区等一批旅游项目建成开放。</w:t>
      </w:r>
    </w:p>
    <w:p w14:paraId="770A3C9A">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highlight w:val="none"/>
          <w:lang w:val="en-US" w:eastAsia="zh-CN"/>
        </w:rPr>
      </w:pPr>
      <w:bookmarkStart w:id="444" w:name="_Toc11952"/>
      <w:r>
        <w:rPr>
          <w:rFonts w:hint="eastAsia" w:eastAsia="仿宋_GB2312" w:cs="方正仿宋_GBK"/>
          <w:b w:val="0"/>
          <w:bCs w:val="0"/>
          <w:color w:val="auto"/>
          <w:highlight w:val="none"/>
          <w:lang w:val="en-US" w:eastAsia="zh-CN"/>
        </w:rPr>
        <w:t>打造</w:t>
      </w:r>
      <w:r>
        <w:rPr>
          <w:rFonts w:hint="eastAsia" w:ascii="Times New Roman" w:hAnsi="Times New Roman" w:eastAsia="仿宋_GB2312" w:cs="方正仿宋_GBK"/>
          <w:b w:val="0"/>
          <w:bCs w:val="0"/>
          <w:color w:val="auto"/>
          <w:highlight w:val="none"/>
          <w:lang w:val="en-US" w:eastAsia="zh-CN"/>
        </w:rPr>
        <w:t>文旅</w:t>
      </w:r>
      <w:r>
        <w:rPr>
          <w:rFonts w:hint="eastAsia" w:eastAsia="仿宋_GB2312" w:cs="方正仿宋_GBK"/>
          <w:b w:val="0"/>
          <w:bCs w:val="0"/>
          <w:color w:val="auto"/>
          <w:highlight w:val="none"/>
          <w:lang w:val="en-US" w:eastAsia="zh-CN"/>
        </w:rPr>
        <w:t>体</w:t>
      </w:r>
      <w:r>
        <w:rPr>
          <w:rFonts w:hint="eastAsia" w:ascii="Times New Roman" w:hAnsi="Times New Roman" w:eastAsia="仿宋_GB2312" w:cs="方正仿宋_GBK"/>
          <w:b w:val="0"/>
          <w:bCs w:val="0"/>
          <w:color w:val="auto"/>
          <w:highlight w:val="none"/>
          <w:lang w:val="en-US" w:eastAsia="zh-CN"/>
        </w:rPr>
        <w:t>产业融合发展</w:t>
      </w:r>
      <w:r>
        <w:rPr>
          <w:rFonts w:hint="eastAsia" w:eastAsia="仿宋_GB2312" w:cs="方正仿宋_GBK"/>
          <w:b w:val="0"/>
          <w:bCs w:val="0"/>
          <w:color w:val="auto"/>
          <w:highlight w:val="none"/>
          <w:lang w:val="en-US" w:eastAsia="zh-CN"/>
        </w:rPr>
        <w:t>高</w:t>
      </w:r>
      <w:r>
        <w:rPr>
          <w:rFonts w:hint="eastAsia" w:ascii="Times New Roman" w:hAnsi="Times New Roman" w:eastAsia="仿宋_GB2312" w:cs="方正仿宋_GBK"/>
          <w:b w:val="0"/>
          <w:bCs w:val="0"/>
          <w:color w:val="auto"/>
          <w:highlight w:val="none"/>
          <w:lang w:val="en-US" w:eastAsia="zh-CN"/>
        </w:rPr>
        <w:t>地</w:t>
      </w:r>
      <w:bookmarkEnd w:id="444"/>
      <w:r>
        <w:rPr>
          <w:rFonts w:hint="eastAsia" w:eastAsia="仿宋_GB2312" w:cs="方正仿宋_GBK"/>
          <w:b w:val="0"/>
          <w:bCs w:val="0"/>
          <w:highlight w:val="none"/>
          <w:lang w:val="en-US" w:eastAsia="zh-CN"/>
        </w:rPr>
        <w:t>。</w:t>
      </w:r>
      <w:r>
        <w:rPr>
          <w:rFonts w:hint="eastAsia" w:eastAsia="仿宋_GB2312" w:cs="方正仿宋_GBK"/>
          <w:b w:val="0"/>
          <w:bCs w:val="0"/>
          <w:color w:val="auto"/>
          <w:highlight w:val="none"/>
          <w:lang w:val="en-US" w:eastAsia="zh-CN"/>
        </w:rPr>
        <w:t>推动文化产业和旅游</w:t>
      </w:r>
      <w:r>
        <w:rPr>
          <w:rFonts w:hint="eastAsia" w:ascii="Times New Roman" w:hAnsi="Times New Roman" w:eastAsia="仿宋_GB2312" w:cs="方正仿宋_GBK"/>
          <w:b w:val="0"/>
          <w:bCs w:val="0"/>
          <w:color w:val="auto"/>
          <w:highlight w:val="none"/>
          <w:lang w:val="en-US" w:eastAsia="zh-CN"/>
        </w:rPr>
        <w:t>产业融合发展，将文旅</w:t>
      </w:r>
      <w:r>
        <w:rPr>
          <w:rFonts w:hint="eastAsia" w:ascii="Times New Roman" w:hAnsi="Times New Roman" w:eastAsia="仿宋_GB2312" w:cs="方正仿宋_GBK"/>
          <w:b w:val="0"/>
          <w:bCs w:val="0"/>
          <w:highlight w:val="none"/>
          <w:lang w:val="en-US" w:eastAsia="zh-CN"/>
        </w:rPr>
        <w:t>产业打造为驱动区域经济高质量发展的核心引擎和消费新增长极。充分发挥“文旅+百业”</w:t>
      </w:r>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highlight w:val="none"/>
          <w:lang w:val="en-US" w:eastAsia="zh-CN"/>
        </w:rPr>
        <w:t>“百业+文旅”带动作用，以“文旅体农商融合发展”行动为牵引，推进文旅与体育、农业、商业、交通等领域多维度、深层次跨界融合联动。打造标杆性融合载体，高标准规划建设一批集场景体验、消费集聚、文化展示功能于一体的文旅产业融合</w:t>
      </w:r>
      <w:r>
        <w:rPr>
          <w:rFonts w:hint="eastAsia" w:eastAsia="仿宋_GB2312" w:cs="方正仿宋_GBK"/>
          <w:b w:val="0"/>
          <w:bCs w:val="0"/>
          <w:highlight w:val="none"/>
          <w:lang w:val="en-US" w:eastAsia="zh-CN"/>
        </w:rPr>
        <w:t>发展</w:t>
      </w:r>
      <w:r>
        <w:rPr>
          <w:rFonts w:hint="eastAsia" w:ascii="Times New Roman" w:hAnsi="Times New Roman" w:eastAsia="仿宋_GB2312" w:cs="方正仿宋_GBK"/>
          <w:b w:val="0"/>
          <w:bCs w:val="0"/>
          <w:highlight w:val="none"/>
          <w:lang w:val="en-US" w:eastAsia="zh-CN"/>
        </w:rPr>
        <w:t>综合体和特色引领片区</w:t>
      </w:r>
      <w:r>
        <w:rPr>
          <w:rFonts w:hint="eastAsia" w:eastAsia="仿宋_GB2312" w:cs="方正仿宋_GBK"/>
          <w:b w:val="0"/>
          <w:bCs w:val="0"/>
          <w:highlight w:val="none"/>
          <w:lang w:val="en-US" w:eastAsia="zh-CN"/>
        </w:rPr>
        <w:t>，打造一批旅游休闲街区</w:t>
      </w:r>
      <w:r>
        <w:rPr>
          <w:rFonts w:hint="eastAsia" w:ascii="Times New Roman" w:hAnsi="Times New Roman" w:eastAsia="仿宋_GB2312" w:cs="方正仿宋_GBK"/>
          <w:b w:val="0"/>
          <w:bCs w:val="0"/>
          <w:highlight w:val="none"/>
          <w:lang w:val="en-US" w:eastAsia="zh-CN"/>
        </w:rPr>
        <w:t>。</w:t>
      </w:r>
      <w:r>
        <w:rPr>
          <w:rFonts w:hint="eastAsia" w:eastAsia="仿宋_GB2312" w:cs="方正仿宋_GBK"/>
          <w:b w:val="0"/>
          <w:bCs w:val="0"/>
          <w:highlight w:val="none"/>
          <w:lang w:val="en-US" w:eastAsia="zh-CN"/>
        </w:rPr>
        <w:t>大力发展乡村旅游，建设一批乡村旅游目的地。</w:t>
      </w:r>
      <w:r>
        <w:rPr>
          <w:rFonts w:hint="eastAsia" w:ascii="Times New Roman" w:hAnsi="Times New Roman" w:eastAsia="仿宋_GB2312" w:cs="方正仿宋_GBK"/>
          <w:b w:val="0"/>
          <w:bCs w:val="0"/>
          <w:highlight w:val="none"/>
          <w:lang w:val="en-US" w:eastAsia="zh-CN"/>
        </w:rPr>
        <w:t>创新融合产品与服务，积极培育共享经济、周末经济、灯光经济等新业态，重点打造观光农业、共享庄园、创意集市等新场景，大力发展“门店+流量”</w:t>
      </w:r>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highlight w:val="none"/>
          <w:lang w:val="en-US" w:eastAsia="zh-CN"/>
        </w:rPr>
        <w:t>“工厂+旅游”</w:t>
      </w:r>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highlight w:val="none"/>
          <w:lang w:val="en-US" w:eastAsia="zh-CN"/>
        </w:rPr>
        <w:t>“文化+商业”</w:t>
      </w:r>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highlight w:val="none"/>
          <w:lang w:val="en-US" w:eastAsia="zh-CN"/>
        </w:rPr>
        <w:t>“气候＋康养”等新模式，推动文旅流量向消费增量高效转化。加强体育赛事引流，充分发挥品牌赛事集聚效应，</w:t>
      </w:r>
      <w:r>
        <w:rPr>
          <w:rFonts w:hint="eastAsia" w:eastAsia="仿宋_GB2312" w:cs="方正仿宋_GBK"/>
          <w:b w:val="0"/>
          <w:bCs w:val="0"/>
          <w:highlight w:val="none"/>
          <w:lang w:val="en-US" w:eastAsia="zh-CN"/>
        </w:rPr>
        <w:t>实现赛事创品牌、聚人气、促消费</w:t>
      </w:r>
      <w:r>
        <w:rPr>
          <w:rFonts w:hint="eastAsia" w:ascii="Times New Roman" w:hAnsi="Times New Roman" w:eastAsia="仿宋_GB2312" w:cs="方正仿宋_GBK"/>
          <w:b w:val="0"/>
          <w:bCs w:val="0"/>
          <w:highlight w:val="none"/>
          <w:lang w:val="en-US" w:eastAsia="zh-CN"/>
        </w:rPr>
        <w:t>。全面打响</w:t>
      </w:r>
      <w:r>
        <w:rPr>
          <w:rFonts w:hint="eastAsia" w:eastAsia="仿宋_GB2312" w:cs="方正仿宋_GBK"/>
          <w:b w:val="0"/>
          <w:bCs w:val="0"/>
          <w:highlight w:val="none"/>
          <w:lang w:val="en-US" w:eastAsia="zh-CN"/>
        </w:rPr>
        <w:t>“歌游内蒙古 龙乡赤峰行”、</w:t>
      </w:r>
      <w:r>
        <w:rPr>
          <w:rFonts w:hint="eastAsia" w:ascii="Times New Roman" w:hAnsi="Times New Roman" w:eastAsia="仿宋_GB2312" w:cs="方正仿宋_GBK"/>
          <w:b w:val="0"/>
          <w:bCs w:val="0"/>
          <w:highlight w:val="none"/>
          <w:lang w:val="en-US" w:eastAsia="zh-CN"/>
        </w:rPr>
        <w:t>“周末上哪疯，一站到赤峰”</w:t>
      </w:r>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highlight w:val="none"/>
          <w:lang w:val="en-US" w:eastAsia="zh-CN"/>
        </w:rPr>
        <w:t>“越野去赤峰，愉快又轻松”区域文旅品牌，办好</w:t>
      </w:r>
      <w:r>
        <w:rPr>
          <w:rFonts w:hint="eastAsia" w:eastAsia="仿宋_GB2312" w:cs="方正仿宋_GBK"/>
          <w:b w:val="0"/>
          <w:bCs w:val="0"/>
          <w:highlight w:val="none"/>
          <w:lang w:val="en-US" w:eastAsia="zh-CN"/>
        </w:rPr>
        <w:t>达里湖冬捕季、红山文化旅游节</w:t>
      </w:r>
      <w:r>
        <w:rPr>
          <w:rFonts w:hint="eastAsia" w:ascii="Times New Roman" w:hAnsi="Times New Roman" w:eastAsia="仿宋_GB2312" w:cs="方正仿宋_GBK"/>
          <w:b w:val="0"/>
          <w:bCs w:val="0"/>
          <w:highlight w:val="none"/>
          <w:lang w:val="en-US" w:eastAsia="zh-CN"/>
        </w:rPr>
        <w:t>等各类特色文旅活动。加强与直播购物平台深度合作，深化与新媒体、自媒体、融媒体广泛互动，策划一批现象级焦点、热点、爆点，以线上流量提升名气、打造人气。</w:t>
      </w:r>
    </w:p>
    <w:p w14:paraId="473D2925">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方正仿宋_GBK" w:cs="方正仿宋_GBK"/>
          <w:b w:val="0"/>
          <w:bCs w:val="0"/>
          <w:highlight w:val="none"/>
          <w:lang w:val="en-US" w:eastAsia="zh-CN"/>
        </w:rPr>
      </w:pPr>
      <w:bookmarkStart w:id="445" w:name="_Toc23539"/>
      <w:r>
        <w:rPr>
          <w:rFonts w:hint="eastAsia" w:ascii="Times New Roman" w:hAnsi="Times New Roman" w:eastAsia="仿宋_GB2312" w:cs="方正仿宋_GBK"/>
          <w:b w:val="0"/>
          <w:bCs w:val="0"/>
          <w:color w:val="auto"/>
          <w:highlight w:val="none"/>
          <w:lang w:val="en-US" w:eastAsia="zh-CN"/>
        </w:rPr>
        <w:t>完善旅游基础设施和服务体系</w:t>
      </w:r>
      <w:bookmarkEnd w:id="445"/>
      <w:r>
        <w:rPr>
          <w:rFonts w:hint="eastAsia" w:eastAsia="仿宋_GB2312" w:cs="方正仿宋_GBK"/>
          <w:b w:val="0"/>
          <w:bCs w:val="0"/>
          <w:highlight w:val="none"/>
          <w:lang w:val="en-US" w:eastAsia="zh-CN"/>
        </w:rPr>
        <w:t>。实施旅游景区“焕新行动”，</w:t>
      </w:r>
      <w:r>
        <w:rPr>
          <w:rFonts w:hint="eastAsia" w:ascii="Times New Roman" w:hAnsi="Times New Roman" w:eastAsia="仿宋_GB2312" w:cs="方正仿宋_GBK"/>
          <w:b w:val="0"/>
          <w:bCs w:val="0"/>
          <w:highlight w:val="none"/>
          <w:lang w:val="en-US" w:eastAsia="zh-CN"/>
        </w:rPr>
        <w:t>统筹发展面向文旅体农商融合的基础设施和服务体系。健全旅游公路网络，建设全长约1500公里、串联22个旅游景区的全市旅游大环线。优化停车场静态交通服务，建设一批旅游驿站、自驾车旅居车营地、露营地、旅游观景平台等设施。实施文旅场景网络信号覆盖提升工程，实现全市4A级以上景区、国家二级博物馆网络信号有效覆盖和应用体验提升，推动3A级以上旅游景区配备新能源充电设施。推进重点旅游风景道建设，完善旅游交通标志体系。提升机场、火车站、汽车站到主要景区的交通衔接水平。持续推进“畅游赤峰”智慧旅游微信小程序平台建设，实现智慧导览、预约、支付、投诉等功能全覆盖。规范旅游市场秩序，开展旅游服务质量提升行动，加强从业人员培训，打造诚信、文明、安全的旅游环境。建设一批高星级酒店、等级民宿，提升住宿接待能力。</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9"/>
      </w:tblGrid>
      <w:tr w14:paraId="64904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53F99476">
            <w:pPr>
              <w:keepNext w:val="0"/>
              <w:keepLines w:val="0"/>
              <w:pageBreakBefore w:val="0"/>
              <w:kinsoku/>
              <w:wordWrap/>
              <w:topLinePunct w:val="0"/>
              <w:autoSpaceDE/>
              <w:autoSpaceDN/>
              <w:bidi w:val="0"/>
              <w:adjustRightInd/>
              <w:spacing w:line="540" w:lineRule="exact"/>
              <w:ind w:firstLine="464" w:firstLineChars="200"/>
              <w:jc w:val="center"/>
              <w:textAlignment w:val="auto"/>
              <w:rPr>
                <w:rFonts w:ascii="Times New Roman" w:hAnsi="Times New Roman" w:eastAsia="方正仿宋_GBK" w:cs="Times New Roman"/>
                <w:b w:val="0"/>
                <w:bCs w:val="0"/>
                <w:sz w:val="24"/>
                <w:highlight w:val="none"/>
              </w:rPr>
            </w:pPr>
            <w:r>
              <w:rPr>
                <w:rFonts w:hint="eastAsia" w:ascii="Times New Roman" w:hAnsi="Times New Roman" w:eastAsia="仿宋_GB2312" w:cs="Times New Roman"/>
                <w:b w:val="0"/>
                <w:bCs w:val="0"/>
                <w:sz w:val="24"/>
                <w:highlight w:val="none"/>
              </w:rPr>
              <w:t>专栏</w:t>
            </w:r>
            <w:r>
              <w:rPr>
                <w:rFonts w:hint="eastAsia" w:ascii="Times New Roman" w:hAnsi="Times New Roman" w:eastAsia="仿宋_GB2312" w:cs="Times New Roman"/>
                <w:b w:val="0"/>
                <w:bCs w:val="0"/>
                <w:sz w:val="24"/>
                <w:highlight w:val="none"/>
                <w:lang w:val="en-US" w:eastAsia="zh-CN"/>
              </w:rPr>
              <w:t>9 文旅体农商融合</w:t>
            </w:r>
            <w:r>
              <w:rPr>
                <w:rFonts w:hint="eastAsia" w:ascii="Times New Roman" w:hAnsi="Times New Roman" w:eastAsia="仿宋_GB2312" w:cs="Times New Roman"/>
                <w:b w:val="0"/>
                <w:bCs w:val="0"/>
                <w:sz w:val="24"/>
                <w:highlight w:val="none"/>
              </w:rPr>
              <w:t>重大工程</w:t>
            </w:r>
          </w:p>
        </w:tc>
      </w:tr>
      <w:tr w14:paraId="4BF90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2AF11FB4">
            <w:pPr>
              <w:keepNext w:val="0"/>
              <w:keepLines w:val="0"/>
              <w:pageBreakBefore w:val="0"/>
              <w:kinsoku/>
              <w:wordWrap/>
              <w:topLinePunct w:val="0"/>
              <w:autoSpaceDE/>
              <w:autoSpaceDN/>
              <w:bidi w:val="0"/>
              <w:adjustRightInd/>
              <w:spacing w:line="540" w:lineRule="exact"/>
              <w:ind w:firstLine="404" w:firstLineChars="200"/>
              <w:textAlignment w:val="auto"/>
              <w:rPr>
                <w:rFonts w:hint="default" w:ascii="Times New Roman" w:hAnsi="Times New Roman" w:eastAsia="方正仿宋_GBK"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文旅产业重点工程：大力发展全域、全季旅游，统筹旅游资源开发和互联互通，打造核心景区景点，创新设置旅游IP和打卡场景，加强文旅品牌包装策划营销，打造全国知名旅游目的地。</w:t>
            </w:r>
          </w:p>
        </w:tc>
      </w:tr>
    </w:tbl>
    <w:p w14:paraId="52298F2D">
      <w:pPr>
        <w:keepNext w:val="0"/>
        <w:keepLines w:val="0"/>
        <w:pageBreakBefore w:val="0"/>
        <w:kinsoku/>
        <w:wordWrap/>
        <w:topLinePunct w:val="0"/>
        <w:autoSpaceDE/>
        <w:autoSpaceDN/>
        <w:bidi w:val="0"/>
        <w:adjustRightInd/>
        <w:spacing w:line="540" w:lineRule="exact"/>
        <w:textAlignment w:val="auto"/>
        <w:rPr>
          <w:rFonts w:hint="eastAsia" w:ascii="Times New Roman" w:hAnsi="Times New Roman"/>
          <w:b w:val="0"/>
          <w:bCs w:val="0"/>
          <w:highlight w:val="none"/>
          <w:lang w:val="en-US" w:eastAsia="zh-CN"/>
        </w:rPr>
      </w:pPr>
    </w:p>
    <w:p w14:paraId="1FA8F29F">
      <w:pPr>
        <w:keepNext w:val="0"/>
        <w:keepLines w:val="0"/>
        <w:pageBreakBefore w:val="0"/>
        <w:widowControl/>
        <w:numPr>
          <w:ilvl w:val="0"/>
          <w:numId w:val="2"/>
        </w:numPr>
        <w:kinsoku/>
        <w:wordWrap/>
        <w:overflowPunct/>
        <w:topLinePunct w:val="0"/>
        <w:autoSpaceDE/>
        <w:autoSpaceDN/>
        <w:bidi w:val="0"/>
        <w:adjustRightInd/>
        <w:snapToGrid/>
        <w:spacing w:before="157" w:beforeLines="50" w:after="157" w:afterLines="50" w:line="540" w:lineRule="exact"/>
        <w:jc w:val="center"/>
        <w:textAlignment w:val="auto"/>
        <w:outlineLvl w:val="1"/>
        <w:rPr>
          <w:rFonts w:hint="eastAsia" w:ascii="黑体" w:hAnsi="黑体" w:eastAsia="黑体" w:cs="黑体"/>
          <w:b w:val="0"/>
          <w:bCs w:val="0"/>
          <w:sz w:val="32"/>
          <w:szCs w:val="32"/>
          <w:highlight w:val="none"/>
          <w:lang w:val="en-US" w:eastAsia="zh-CN"/>
        </w:rPr>
      </w:pPr>
      <w:bookmarkStart w:id="446" w:name="_Toc29687"/>
      <w:bookmarkStart w:id="447" w:name="_Toc27133"/>
      <w:bookmarkStart w:id="448" w:name="_Toc17527"/>
      <w:bookmarkStart w:id="449" w:name="_Toc20657"/>
      <w:bookmarkStart w:id="450" w:name="_Toc4859"/>
      <w:bookmarkStart w:id="451" w:name="_Toc8909"/>
      <w:bookmarkStart w:id="452" w:name="_Toc3524"/>
      <w:bookmarkStart w:id="453" w:name="_Toc2052"/>
      <w:bookmarkStart w:id="454" w:name="_Toc20773"/>
      <w:bookmarkStart w:id="455" w:name="_Toc4597"/>
      <w:bookmarkStart w:id="456" w:name="_Toc24013"/>
      <w:bookmarkStart w:id="457" w:name="_Toc16981"/>
      <w:bookmarkStart w:id="458" w:name="_Toc18499"/>
      <w:bookmarkStart w:id="459" w:name="_Toc1876"/>
      <w:r>
        <w:rPr>
          <w:rFonts w:hint="eastAsia" w:ascii="黑体" w:hAnsi="黑体" w:eastAsia="黑体" w:cs="黑体"/>
          <w:b w:val="0"/>
          <w:bCs w:val="0"/>
          <w:sz w:val="32"/>
          <w:szCs w:val="32"/>
          <w:highlight w:val="none"/>
          <w:lang w:val="en-US" w:eastAsia="zh-CN"/>
        </w:rPr>
        <w:t>深入推进新型城镇化建设，推动城乡融合发展</w:t>
      </w:r>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p>
    <w:p w14:paraId="0285540D">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lang w:val="en-US" w:eastAsia="zh-CN"/>
        </w:rPr>
      </w:pPr>
      <w:bookmarkStart w:id="460" w:name="OLE_LINK86"/>
      <w:bookmarkStart w:id="461" w:name="OLE_LINK87"/>
      <w:r>
        <w:rPr>
          <w:rFonts w:hint="eastAsia" w:ascii="Times New Roman" w:hAnsi="Times New Roman" w:eastAsia="仿宋_GB2312" w:cs="方正仿宋_GBK"/>
          <w:b w:val="0"/>
          <w:bCs w:val="0"/>
          <w:color w:val="auto"/>
          <w:highlight w:val="none"/>
          <w:lang w:val="en-US" w:eastAsia="zh-CN"/>
        </w:rPr>
        <w:t>深入推进以人为本的新型城镇化，</w:t>
      </w:r>
      <w:bookmarkEnd w:id="460"/>
      <w:bookmarkEnd w:id="461"/>
      <w:r>
        <w:rPr>
          <w:rFonts w:hint="eastAsia" w:ascii="Times New Roman" w:hAnsi="Times New Roman" w:eastAsia="仿宋_GB2312" w:cs="方正仿宋_GBK"/>
          <w:b w:val="0"/>
          <w:bCs w:val="0"/>
          <w:color w:val="auto"/>
          <w:highlight w:val="none"/>
        </w:rPr>
        <w:t>扎实推进以县城为重要载体的新型城镇化</w:t>
      </w:r>
      <w:r>
        <w:rPr>
          <w:rFonts w:hint="eastAsia" w:eastAsia="仿宋_GB2312" w:cs="方正仿宋_GBK"/>
          <w:b w:val="0"/>
          <w:bCs w:val="0"/>
          <w:color w:val="auto"/>
          <w:highlight w:val="none"/>
          <w:lang w:val="en-US" w:eastAsia="zh-CN"/>
        </w:rPr>
        <w:t>建设</w:t>
      </w:r>
      <w:r>
        <w:rPr>
          <w:rFonts w:hint="eastAsia" w:ascii="Times New Roman" w:hAnsi="Times New Roman" w:eastAsia="仿宋_GB2312" w:cs="方正仿宋_GBK"/>
          <w:b w:val="0"/>
          <w:bCs w:val="0"/>
          <w:color w:val="auto"/>
          <w:highlight w:val="none"/>
        </w:rPr>
        <w:t>，增强城市交通枢纽、产业辐射、服务功能</w:t>
      </w:r>
      <w:r>
        <w:rPr>
          <w:rFonts w:hint="eastAsia" w:eastAsia="仿宋_GB2312" w:cs="方正仿宋_GBK"/>
          <w:b w:val="0"/>
          <w:bCs w:val="0"/>
          <w:color w:val="auto"/>
          <w:highlight w:val="none"/>
          <w:lang w:val="en-US" w:eastAsia="zh-CN"/>
        </w:rPr>
        <w:t>等</w:t>
      </w:r>
      <w:r>
        <w:rPr>
          <w:rFonts w:hint="eastAsia" w:ascii="Times New Roman" w:hAnsi="Times New Roman" w:eastAsia="仿宋_GB2312" w:cs="方正仿宋_GBK"/>
          <w:b w:val="0"/>
          <w:bCs w:val="0"/>
          <w:color w:val="auto"/>
          <w:highlight w:val="none"/>
        </w:rPr>
        <w:t>核心功能，提升城市规模</w:t>
      </w:r>
      <w:r>
        <w:rPr>
          <w:rFonts w:hint="eastAsia" w:eastAsia="仿宋_GB2312" w:cs="方正仿宋_GBK"/>
          <w:b w:val="0"/>
          <w:bCs w:val="0"/>
          <w:color w:val="auto"/>
          <w:highlight w:val="none"/>
          <w:lang w:val="en-US" w:eastAsia="zh-CN"/>
        </w:rPr>
        <w:t>和</w:t>
      </w:r>
      <w:r>
        <w:rPr>
          <w:rFonts w:hint="eastAsia" w:ascii="Times New Roman" w:hAnsi="Times New Roman" w:eastAsia="仿宋_GB2312" w:cs="方正仿宋_GBK"/>
          <w:b w:val="0"/>
          <w:bCs w:val="0"/>
          <w:color w:val="auto"/>
          <w:highlight w:val="none"/>
        </w:rPr>
        <w:t>承载能力</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建设创新、宜居、美丽、韧性、文明、智慧的现代化城市。</w:t>
      </w:r>
    </w:p>
    <w:p w14:paraId="08D57939">
      <w:pPr>
        <w:keepNext w:val="0"/>
        <w:keepLines w:val="0"/>
        <w:pageBreakBefore w:val="0"/>
        <w:widowControl/>
        <w:numPr>
          <w:ilvl w:val="0"/>
          <w:numId w:val="6"/>
        </w:numPr>
        <w:shd w:val="clear" w:color="auto" w:fill="auto"/>
        <w:kinsoku/>
        <w:wordWrap/>
        <w:topLinePunct w:val="0"/>
        <w:autoSpaceDE/>
        <w:autoSpaceDN/>
        <w:bidi w:val="0"/>
        <w:adjustRightIn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462" w:name="_Toc31687"/>
      <w:bookmarkStart w:id="463" w:name="_Toc23774"/>
      <w:bookmarkStart w:id="464" w:name="_Toc30777"/>
      <w:bookmarkStart w:id="465" w:name="_Toc21272"/>
      <w:bookmarkStart w:id="466" w:name="_Toc4535"/>
      <w:bookmarkStart w:id="467" w:name="_Toc24846"/>
      <w:bookmarkStart w:id="468" w:name="_Toc2457"/>
      <w:bookmarkStart w:id="469" w:name="_Toc13065"/>
      <w:bookmarkStart w:id="470" w:name="_Toc20328"/>
      <w:bookmarkStart w:id="471" w:name="_Toc22584"/>
      <w:bookmarkStart w:id="472" w:name="_Toc3359"/>
      <w:bookmarkStart w:id="473" w:name="_Toc17705"/>
      <w:bookmarkStart w:id="474" w:name="_Toc9496"/>
      <w:bookmarkStart w:id="475" w:name="_Toc1086"/>
      <w:r>
        <w:rPr>
          <w:rFonts w:hint="eastAsia" w:ascii="楷体_GB2312" w:hAnsi="楷体_GB2312" w:eastAsia="楷体_GB2312" w:cs="楷体_GB2312"/>
          <w:b w:val="0"/>
          <w:bCs w:val="0"/>
          <w:color w:val="auto"/>
          <w:sz w:val="32"/>
          <w:szCs w:val="40"/>
          <w:highlight w:val="none"/>
          <w:lang w:val="en-US" w:eastAsia="zh-CN"/>
        </w:rPr>
        <w:t>优化国土空间体系</w:t>
      </w:r>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p>
    <w:p w14:paraId="4518A3D3">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highlight w:val="none"/>
          <w:lang w:val="en-US" w:eastAsia="zh-CN"/>
        </w:rPr>
      </w:pPr>
      <w:r>
        <w:rPr>
          <w:rFonts w:hint="eastAsia" w:ascii="Times New Roman" w:hAnsi="Times New Roman" w:eastAsia="仿宋_GB2312" w:cs="方正仿宋_GBK"/>
          <w:b w:val="0"/>
          <w:bCs w:val="0"/>
          <w:szCs w:val="36"/>
          <w:highlight w:val="none"/>
          <w:lang w:val="en-US" w:eastAsia="zh-CN"/>
        </w:rPr>
        <w:t>深入实施主体功能区战略，健全“多规合一”国土空间规划体系，形成主</w:t>
      </w:r>
      <w:r>
        <w:rPr>
          <w:rFonts w:hint="eastAsia" w:ascii="Times New Roman" w:hAnsi="Times New Roman" w:eastAsia="仿宋_GB2312" w:cs="方正仿宋_GBK"/>
          <w:b w:val="0"/>
          <w:bCs w:val="0"/>
          <w:highlight w:val="none"/>
          <w:lang w:val="en-US" w:eastAsia="zh-CN"/>
        </w:rPr>
        <w:t>体功能突出、优势互补、高质量发展的国土空间开发保护格局。</w:t>
      </w:r>
    </w:p>
    <w:p w14:paraId="5666451A">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highlight w:val="none"/>
          <w:lang w:val="en-US" w:eastAsia="zh-CN"/>
        </w:rPr>
      </w:pPr>
      <w:bookmarkStart w:id="476" w:name="_Toc32623"/>
      <w:r>
        <w:rPr>
          <w:rFonts w:hint="eastAsia" w:ascii="Times New Roman" w:hAnsi="Times New Roman" w:eastAsia="仿宋_GB2312" w:cs="方正仿宋_GBK"/>
          <w:b w:val="0"/>
          <w:bCs w:val="0"/>
          <w:highlight w:val="none"/>
          <w:lang w:val="en-US" w:eastAsia="zh-CN"/>
        </w:rPr>
        <w:t>强化国土空间管控</w:t>
      </w:r>
      <w:bookmarkEnd w:id="476"/>
      <w:r>
        <w:rPr>
          <w:rFonts w:hint="eastAsia" w:ascii="Times New Roman" w:hAnsi="Times New Roman" w:eastAsia="仿宋_GB2312" w:cs="方正仿宋_GBK"/>
          <w:b w:val="0"/>
          <w:bCs w:val="0"/>
          <w:highlight w:val="none"/>
          <w:lang w:val="en-US" w:eastAsia="zh-CN"/>
        </w:rPr>
        <w:t>。严格“三区</w:t>
      </w:r>
      <w:r>
        <w:rPr>
          <w:rFonts w:hint="eastAsia" w:ascii="Times New Roman" w:hAnsi="Times New Roman" w:eastAsia="仿宋_GB2312" w:cs="方正仿宋_GBK"/>
          <w:b w:val="0"/>
          <w:bCs w:val="0"/>
          <w:szCs w:val="36"/>
          <w:highlight w:val="none"/>
          <w:lang w:val="en-US" w:eastAsia="zh-CN"/>
        </w:rPr>
        <w:t>三线”管控，到2030年，全市城镇开发边界增量预留面积</w:t>
      </w:r>
      <w:r>
        <w:rPr>
          <w:rFonts w:hint="eastAsia" w:ascii="Times New Roman" w:hAnsi="Times New Roman" w:eastAsia="仿宋_GB2312" w:cs="方正仿宋_GBK"/>
          <w:b w:val="0"/>
          <w:bCs w:val="0"/>
          <w:szCs w:val="36"/>
          <w:highlight w:val="none"/>
          <w:lang w:eastAsia="zh-CN"/>
        </w:rPr>
        <w:t>不低于</w:t>
      </w:r>
      <w:r>
        <w:rPr>
          <w:rFonts w:hint="eastAsia" w:ascii="Times New Roman" w:hAnsi="Times New Roman" w:eastAsia="仿宋_GB2312" w:cs="方正仿宋_GBK"/>
          <w:b w:val="0"/>
          <w:bCs w:val="0"/>
          <w:szCs w:val="36"/>
          <w:highlight w:val="none"/>
          <w:lang w:val="en-US" w:eastAsia="zh-CN"/>
        </w:rPr>
        <w:t>2459.59公顷，</w:t>
      </w:r>
      <w:r>
        <w:rPr>
          <w:rFonts w:hint="eastAsia" w:ascii="Times New Roman" w:hAnsi="Times New Roman" w:eastAsia="仿宋_GB2312" w:cs="方正仿宋_GBK"/>
          <w:b w:val="0"/>
          <w:bCs w:val="0"/>
          <w:szCs w:val="36"/>
          <w:highlight w:val="none"/>
          <w:lang w:eastAsia="zh-CN"/>
        </w:rPr>
        <w:t>耕地保有量不低于2722.1552万亩，其中永久基本农田保护面积不低于2277.9260万亩；生态保护红线面积不低于2.5847万平方千米。</w:t>
      </w:r>
      <w:r>
        <w:rPr>
          <w:rFonts w:hint="eastAsia" w:ascii="Times New Roman" w:hAnsi="Times New Roman" w:eastAsia="仿宋_GB2312" w:cs="方正仿宋_GBK"/>
          <w:b w:val="0"/>
          <w:bCs w:val="0"/>
          <w:szCs w:val="36"/>
          <w:highlight w:val="none"/>
          <w:lang w:val="en-US" w:eastAsia="zh-CN"/>
        </w:rPr>
        <w:t>完成国土空间总体规划中期评估。进一步优化国土空间布局。开展国土空间规划动态维护更新和五年实施评估，优化调整“三条控制线”，统筹农用地、自然保护地、城镇空间布局，提升重大项目落地空间支持力和要素保障力</w:t>
      </w:r>
      <w:r>
        <w:rPr>
          <w:rFonts w:hint="eastAsia" w:eastAsia="仿宋_GB2312" w:cs="方正仿宋_GBK"/>
          <w:b w:val="0"/>
          <w:bCs w:val="0"/>
          <w:szCs w:val="36"/>
          <w:highlight w:val="none"/>
          <w:lang w:val="en-US" w:eastAsia="zh-CN"/>
        </w:rPr>
        <w:t>。</w:t>
      </w:r>
      <w:r>
        <w:rPr>
          <w:rFonts w:hint="eastAsia" w:ascii="Times New Roman" w:hAnsi="Times New Roman" w:eastAsia="仿宋_GB2312" w:cs="方正仿宋_GBK"/>
          <w:b w:val="0"/>
          <w:bCs w:val="0"/>
          <w:szCs w:val="36"/>
          <w:highlight w:val="none"/>
          <w:lang w:val="en-US" w:eastAsia="zh-CN"/>
        </w:rPr>
        <w:t>持续推进“多规合一”。以国土空间总体规划为基础，建设“一张图”信息管理平台，整合各类详细规划、专项规划，形成全市坐标一致、全域覆盖、上下贯通、权威统一的“一张图”数据库，实现规划编制、审批、实施、监督的</w:t>
      </w:r>
      <w:r>
        <w:rPr>
          <w:rFonts w:hint="eastAsia" w:ascii="Times New Roman" w:hAnsi="Times New Roman" w:eastAsia="仿宋_GB2312" w:cs="方正仿宋_GBK"/>
          <w:b w:val="0"/>
          <w:bCs w:val="0"/>
          <w:highlight w:val="none"/>
          <w:lang w:val="en-US" w:eastAsia="zh-CN"/>
        </w:rPr>
        <w:t>全流程监管。</w:t>
      </w:r>
    </w:p>
    <w:p w14:paraId="64E56394">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outlineLvl w:val="9"/>
        <w:rPr>
          <w:rFonts w:hint="eastAsia" w:ascii="Times New Roman" w:hAnsi="Times New Roman" w:eastAsia="仿宋_GB2312" w:cs="方正仿宋_GBK"/>
          <w:b w:val="0"/>
          <w:bCs w:val="0"/>
          <w:color w:val="auto"/>
          <w:highlight w:val="none"/>
        </w:rPr>
      </w:pPr>
      <w:bookmarkStart w:id="477" w:name="_Toc6719"/>
      <w:r>
        <w:rPr>
          <w:rFonts w:hint="eastAsia" w:ascii="Times New Roman" w:hAnsi="Times New Roman" w:eastAsia="仿宋_GB2312" w:cs="方正仿宋_GBK"/>
          <w:b w:val="0"/>
          <w:bCs w:val="0"/>
          <w:highlight w:val="none"/>
          <w:lang w:val="en-US" w:eastAsia="zh-CN"/>
        </w:rPr>
        <w:t>优化城市空间布局</w:t>
      </w:r>
      <w:bookmarkEnd w:id="477"/>
      <w:r>
        <w:rPr>
          <w:rFonts w:hint="eastAsia" w:ascii="Times New Roman" w:hAnsi="Times New Roman" w:eastAsia="仿宋_GB2312" w:cs="方正仿宋_GBK"/>
          <w:b w:val="0"/>
          <w:bCs w:val="0"/>
          <w:highlight w:val="none"/>
          <w:lang w:val="en-US" w:eastAsia="zh-CN"/>
        </w:rPr>
        <w:t>。坚持</w:t>
      </w:r>
      <w:r>
        <w:rPr>
          <w:rFonts w:hint="eastAsia" w:ascii="Times New Roman" w:hAnsi="Times New Roman" w:eastAsia="仿宋_GB2312" w:cs="方正仿宋_GBK"/>
          <w:b w:val="0"/>
          <w:bCs w:val="0"/>
          <w:color w:val="auto"/>
          <w:highlight w:val="none"/>
        </w:rPr>
        <w:t>规划引领、集约高效、特色彰显的原则，推动城市发展由大规模增量扩张向存量提质增效为主转变，进一步优化市域国土空间开发保护格局，按照组团布局特点，落实国土空间总体规划“一主一副、一带多园、山水交融”格局，优化中心城区内部功能布局和用地结构：持续推动主城区高质量发展，聚焦城区高速公路环内发展空间，重点增强城市核心功能，依托主城区行政、商业、公共服务、交通枢纽等集聚优势，集中布局市级行政办公、文化体育、教育科研、金融商务等核心功能，深化高铁片区功能布局研究，打造现代化城市中心区。针对高速公路环外发展区域，北部商贸物流园区域重点推动商贸物流发展，探索布局文旅体</w:t>
      </w:r>
      <w:r>
        <w:rPr>
          <w:rFonts w:hint="eastAsia" w:eastAsia="仿宋_GB2312" w:cs="方正仿宋_GBK"/>
          <w:b w:val="0"/>
          <w:bCs w:val="0"/>
          <w:color w:val="auto"/>
          <w:highlight w:val="none"/>
          <w:lang w:val="en-US" w:eastAsia="zh-CN"/>
        </w:rPr>
        <w:t>农</w:t>
      </w:r>
      <w:r>
        <w:rPr>
          <w:rFonts w:hint="eastAsia" w:ascii="Times New Roman" w:hAnsi="Times New Roman" w:eastAsia="仿宋_GB2312" w:cs="方正仿宋_GBK"/>
          <w:b w:val="0"/>
          <w:bCs w:val="0"/>
          <w:color w:val="auto"/>
          <w:highlight w:val="none"/>
        </w:rPr>
        <w:t>商融合项目，依托公路枢纽等交通优势，布局大型专业市场、现代物流园区、电商产业园、会展中心等设施，打造现代物流商贸服务集中区；南部和美组团区域，结合空港优势与山水资源基础，重点发展休闲娱乐、养老养生等特色</w:t>
      </w:r>
      <w:r>
        <w:rPr>
          <w:rFonts w:hint="eastAsia" w:eastAsia="仿宋_GB2312" w:cs="方正仿宋_GBK"/>
          <w:b w:val="0"/>
          <w:bCs w:val="0"/>
          <w:color w:val="auto"/>
          <w:highlight w:val="none"/>
          <w:lang w:val="en-US" w:eastAsia="zh-CN"/>
        </w:rPr>
        <w:t>产业</w:t>
      </w:r>
      <w:r>
        <w:rPr>
          <w:rFonts w:hint="eastAsia" w:ascii="Times New Roman" w:hAnsi="Times New Roman" w:eastAsia="仿宋_GB2312" w:cs="方正仿宋_GBK"/>
          <w:b w:val="0"/>
          <w:bCs w:val="0"/>
          <w:color w:val="auto"/>
          <w:highlight w:val="none"/>
        </w:rPr>
        <w:t>，布局航空物流、专业市场、商贸物流、都市加工等产业业态；南部南山南区域依托特色山水景观资源，发展生态居住休闲度假、观光农业、文化体验、户外运动等业态，建设复合型产业集聚区。促进山水交融生态空间高水平建设与复合利用，依托红山、南山、西山、麒麟山、蜘蛛山等山体生态景观和锡泊河、半支箭河、阴河、英金河、昭苏河等水系景观，整合农业资源、文化资源和旅游资源，建设更多吃住行、游购娱、商养学有机组合的复合型公共活动与文旅产业特色发展区，打造中心城区生态休闲区和蓝绿多彩网络。推动东部产业带“一带多园”统筹高效发展：重点推进产城融合，重点建设赤峰高新区、赤峰红山</w:t>
      </w:r>
      <w:r>
        <w:rPr>
          <w:rFonts w:hint="eastAsia" w:eastAsia="仿宋_GB2312" w:cs="方正仿宋_GBK"/>
          <w:b w:val="0"/>
          <w:bCs w:val="0"/>
          <w:color w:val="auto"/>
          <w:highlight w:val="none"/>
          <w:lang w:val="en-US" w:eastAsia="zh-CN"/>
        </w:rPr>
        <w:t>产业园</w:t>
      </w:r>
      <w:r>
        <w:rPr>
          <w:rFonts w:hint="eastAsia" w:ascii="Times New Roman" w:hAnsi="Times New Roman" w:eastAsia="仿宋_GB2312" w:cs="方正仿宋_GBK"/>
          <w:b w:val="0"/>
          <w:bCs w:val="0"/>
          <w:color w:val="auto"/>
          <w:highlight w:val="none"/>
        </w:rPr>
        <w:t>、赤峰松山工业园、赤峰元宝山工业园，推动各园区合理分工、统一规划、一体化发展，并与主城区交通市政基础设施互联互通，与城镇配套服务统一规划，打造功能复合、绿色集约的现代化产业集中区。</w:t>
      </w:r>
    </w:p>
    <w:p w14:paraId="4AFD513B">
      <w:pPr>
        <w:keepNext w:val="0"/>
        <w:keepLines w:val="0"/>
        <w:pageBreakBefore w:val="0"/>
        <w:widowControl/>
        <w:numPr>
          <w:ilvl w:val="0"/>
          <w:numId w:val="6"/>
        </w:numPr>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478" w:name="_Toc24092"/>
      <w:bookmarkStart w:id="479" w:name="_Toc27626"/>
      <w:bookmarkStart w:id="480" w:name="_Toc19770"/>
      <w:bookmarkStart w:id="481" w:name="_Toc25377"/>
      <w:bookmarkStart w:id="482" w:name="_Toc30719"/>
      <w:bookmarkStart w:id="483" w:name="_Toc150"/>
      <w:bookmarkStart w:id="484" w:name="_Toc31657"/>
      <w:bookmarkStart w:id="485" w:name="_Toc9109"/>
      <w:bookmarkStart w:id="486" w:name="_Toc23074"/>
      <w:bookmarkStart w:id="487" w:name="_Toc16936"/>
      <w:bookmarkStart w:id="488" w:name="_Toc3588"/>
      <w:bookmarkStart w:id="489" w:name="_Toc1478"/>
      <w:bookmarkStart w:id="490" w:name="_Toc24375"/>
      <w:bookmarkStart w:id="491" w:name="_Toc6724"/>
      <w:r>
        <w:rPr>
          <w:rFonts w:hint="eastAsia" w:ascii="楷体_GB2312" w:hAnsi="楷体_GB2312" w:eastAsia="楷体_GB2312" w:cs="楷体_GB2312"/>
          <w:b w:val="0"/>
          <w:bCs w:val="0"/>
          <w:color w:val="auto"/>
          <w:sz w:val="32"/>
          <w:szCs w:val="40"/>
          <w:highlight w:val="none"/>
          <w:lang w:val="en-US" w:eastAsia="zh-CN"/>
        </w:rPr>
        <w:t>提升中心城市能级</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p>
    <w:p w14:paraId="1E31567A">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default"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color w:val="auto"/>
          <w:highlight w:val="none"/>
        </w:rPr>
        <w:t>坚持高起点规划、高标准建设、高水平管理，全面提升</w:t>
      </w:r>
      <w:r>
        <w:rPr>
          <w:rFonts w:hint="eastAsia" w:ascii="Times New Roman" w:hAnsi="Times New Roman" w:eastAsia="仿宋_GB2312" w:cs="方正仿宋_GBK"/>
          <w:b w:val="0"/>
          <w:bCs w:val="0"/>
          <w:color w:val="auto"/>
          <w:highlight w:val="none"/>
          <w:lang w:val="en-US" w:eastAsia="zh-CN"/>
        </w:rPr>
        <w:t>城市</w:t>
      </w:r>
      <w:r>
        <w:rPr>
          <w:rFonts w:hint="eastAsia" w:ascii="Times New Roman" w:hAnsi="Times New Roman" w:eastAsia="仿宋_GB2312" w:cs="方正仿宋_GBK"/>
          <w:b w:val="0"/>
          <w:bCs w:val="0"/>
          <w:color w:val="auto"/>
          <w:highlight w:val="none"/>
        </w:rPr>
        <w:t>综合承载力、辐射带动力和核心竞争力，增强对人才、资本、技术等要素集聚能力。</w:t>
      </w:r>
    </w:p>
    <w:p w14:paraId="189F6426">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方正仿宋_GBK" w:cs="方正仿宋_GBK"/>
          <w:b w:val="0"/>
          <w:bCs w:val="0"/>
          <w:color w:val="auto"/>
          <w:highlight w:val="none"/>
          <w:lang w:val="en-US" w:eastAsia="zh-CN"/>
        </w:rPr>
      </w:pPr>
      <w:bookmarkStart w:id="492" w:name="_Toc20198"/>
      <w:r>
        <w:rPr>
          <w:rFonts w:hint="eastAsia" w:ascii="Times New Roman" w:hAnsi="Times New Roman" w:eastAsia="仿宋_GB2312" w:cs="方正仿宋_GBK"/>
          <w:b w:val="0"/>
          <w:bCs w:val="0"/>
          <w:color w:val="auto"/>
          <w:highlight w:val="none"/>
          <w:lang w:val="en-US" w:eastAsia="zh-CN"/>
        </w:rPr>
        <w:t>加快推进</w:t>
      </w:r>
      <w:r>
        <w:rPr>
          <w:rFonts w:hint="eastAsia" w:ascii="Times New Roman" w:hAnsi="Times New Roman" w:eastAsia="仿宋_GB2312" w:cs="方正仿宋_GBK"/>
          <w:b w:val="0"/>
          <w:bCs w:val="0"/>
          <w:color w:val="auto"/>
          <w:highlight w:val="none"/>
        </w:rPr>
        <w:t>城市更新</w:t>
      </w:r>
      <w:bookmarkEnd w:id="492"/>
      <w:r>
        <w:rPr>
          <w:rFonts w:hint="eastAsia" w:eastAsia="仿宋_GB2312" w:cs="方正仿宋_GBK"/>
          <w:b w:val="0"/>
          <w:bCs w:val="0"/>
          <w:color w:val="auto"/>
          <w:highlight w:val="none"/>
          <w:lang w:eastAsia="zh-CN"/>
        </w:rPr>
        <w:t>。</w:t>
      </w:r>
      <w:r>
        <w:rPr>
          <w:rFonts w:hint="eastAsia" w:ascii="Times New Roman" w:hAnsi="Times New Roman" w:eastAsia="仿宋_GB2312" w:cs="仿宋_GB2312"/>
          <w:b w:val="0"/>
          <w:bCs w:val="0"/>
          <w:sz w:val="32"/>
          <w:szCs w:val="32"/>
          <w:highlight w:val="none"/>
        </w:rPr>
        <w:t>坚持城市内涵式发展，大力实施城市更新，建设创新、宜居、美丽、韧性、文明、智慧的现代化城市。</w:t>
      </w:r>
      <w:r>
        <w:rPr>
          <w:rFonts w:hint="eastAsia" w:ascii="Times New Roman" w:hAnsi="Times New Roman" w:eastAsia="仿宋_GB2312" w:cs="方正仿宋_GBK"/>
          <w:b w:val="0"/>
          <w:bCs w:val="0"/>
          <w:color w:val="auto"/>
          <w:highlight w:val="none"/>
          <w:lang w:val="en-US" w:eastAsia="zh-CN"/>
        </w:rPr>
        <w:t>推动</w:t>
      </w:r>
      <w:r>
        <w:rPr>
          <w:rFonts w:hint="eastAsia" w:ascii="Times New Roman" w:hAnsi="Times New Roman" w:eastAsia="仿宋_GB2312" w:cs="方正仿宋_GBK"/>
          <w:b w:val="0"/>
          <w:bCs w:val="0"/>
          <w:color w:val="auto"/>
          <w:highlight w:val="none"/>
        </w:rPr>
        <w:t>老旧小区改造</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加强改建管衔接，持续完善改造后老旧小区管理机制，建设完整社区。大力改造城中村和城市危旧房，着力改善群众居住条件</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完善城市路网</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加快重点结构性骨干道路建设，打通“断头路”，</w:t>
      </w:r>
      <w:r>
        <w:rPr>
          <w:rFonts w:hint="eastAsia" w:ascii="Times New Roman" w:hAnsi="Times New Roman" w:eastAsia="仿宋_GB2312" w:cs="方正仿宋_GBK"/>
          <w:b w:val="0"/>
          <w:bCs w:val="0"/>
          <w:color w:val="auto"/>
          <w:highlight w:val="none"/>
          <w:lang w:val="en-US" w:eastAsia="zh-CN"/>
        </w:rPr>
        <w:t>推动</w:t>
      </w:r>
      <w:r>
        <w:rPr>
          <w:rFonts w:hint="eastAsia" w:ascii="Times New Roman" w:hAnsi="Times New Roman" w:eastAsia="仿宋_GB2312" w:cs="方正仿宋_GBK"/>
          <w:b w:val="0"/>
          <w:bCs w:val="0"/>
          <w:color w:val="auto"/>
          <w:highlight w:val="none"/>
        </w:rPr>
        <w:t>中心城区形成快速路、主次干路和支路搭配合理的道路系统。完善城市给排水设施</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谋划实施公共供水管网漏损治理项目、水质提升项目、工业用水互联互通等项目，更新城市供水管网，积极申报国家节水型城市。持续推进雨污分流改造，提升雨污水收集效能。</w:t>
      </w:r>
      <w:r>
        <w:rPr>
          <w:rFonts w:hint="eastAsia" w:ascii="Times New Roman" w:hAnsi="Times New Roman" w:eastAsia="仿宋_GB2312" w:cs="方正仿宋_GBK"/>
          <w:b w:val="0"/>
          <w:bCs w:val="0"/>
          <w:color w:val="auto"/>
          <w:highlight w:val="none"/>
          <w:lang w:val="en-US" w:eastAsia="zh-CN"/>
        </w:rPr>
        <w:t>持续</w:t>
      </w:r>
      <w:r>
        <w:rPr>
          <w:rFonts w:hint="eastAsia" w:ascii="Times New Roman" w:hAnsi="Times New Roman" w:eastAsia="仿宋_GB2312" w:cs="方正仿宋_GBK"/>
          <w:b w:val="0"/>
          <w:bCs w:val="0"/>
          <w:color w:val="auto"/>
          <w:highlight w:val="none"/>
        </w:rPr>
        <w:t>实施“温暖工程”</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提升供热保障能力；持续推进智慧化供热工作，探索“精准供热、按需供热”新模式。持续提升通讯、供电保障能力</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着力提升医院、高校、住宅小区、地下停车场、电梯间等重点区域5G网络覆盖率，进一步加大城市电网基础设施建设力度，优化充电桩布局。加强</w:t>
      </w:r>
      <w:r>
        <w:rPr>
          <w:rFonts w:hint="eastAsia" w:ascii="Times New Roman" w:hAnsi="Times New Roman" w:eastAsia="仿宋_GB2312" w:cs="方正仿宋_GBK"/>
          <w:b w:val="0"/>
          <w:bCs w:val="0"/>
          <w:color w:val="auto"/>
          <w:highlight w:val="none"/>
          <w:lang w:val="en-US" w:eastAsia="zh-CN"/>
        </w:rPr>
        <w:t>老城区</w:t>
      </w:r>
      <w:r>
        <w:rPr>
          <w:rFonts w:hint="eastAsia" w:ascii="Times New Roman" w:hAnsi="Times New Roman" w:eastAsia="仿宋_GB2312" w:cs="方正仿宋_GBK"/>
          <w:b w:val="0"/>
          <w:bCs w:val="0"/>
          <w:color w:val="auto"/>
          <w:highlight w:val="none"/>
        </w:rPr>
        <w:t>历史文化遗产、历史建筑、</w:t>
      </w:r>
      <w:r>
        <w:rPr>
          <w:rFonts w:hint="eastAsia" w:ascii="Times New Roman" w:hAnsi="Times New Roman" w:eastAsia="仿宋_GB2312" w:cs="方正仿宋_GBK"/>
          <w:b w:val="0"/>
          <w:bCs w:val="0"/>
          <w:color w:val="auto"/>
          <w:highlight w:val="none"/>
          <w:lang w:val="en-US" w:eastAsia="zh-CN"/>
        </w:rPr>
        <w:t>历史街区、</w:t>
      </w:r>
      <w:r>
        <w:rPr>
          <w:rFonts w:hint="eastAsia" w:ascii="Times New Roman" w:hAnsi="Times New Roman" w:eastAsia="仿宋_GB2312" w:cs="方正仿宋_GBK"/>
          <w:b w:val="0"/>
          <w:bCs w:val="0"/>
          <w:color w:val="auto"/>
          <w:highlight w:val="none"/>
        </w:rPr>
        <w:t>工业遗产的保护利用，延续城市历史文脉</w:t>
      </w:r>
      <w:r>
        <w:rPr>
          <w:rFonts w:hint="eastAsia" w:ascii="Times New Roman" w:hAnsi="Times New Roman" w:eastAsia="仿宋_GB2312" w:cs="方正仿宋_GBK"/>
          <w:b w:val="0"/>
          <w:bCs w:val="0"/>
          <w:color w:val="auto"/>
          <w:highlight w:val="none"/>
          <w:lang w:val="en-US" w:eastAsia="zh-CN"/>
        </w:rPr>
        <w:t>。推动房地产高质量发展，完善“人、房、地、钱”要素联动机制，合理控制新增房地产用地供应，</w:t>
      </w:r>
      <w:r>
        <w:rPr>
          <w:rFonts w:hint="eastAsia" w:eastAsia="仿宋_GB2312" w:cs="方正仿宋_GBK"/>
          <w:b w:val="0"/>
          <w:bCs w:val="0"/>
          <w:color w:val="auto"/>
          <w:highlight w:val="none"/>
          <w:lang w:val="en-US" w:eastAsia="zh-CN"/>
        </w:rPr>
        <w:t>建设</w:t>
      </w:r>
      <w:r>
        <w:rPr>
          <w:rFonts w:hint="eastAsia" w:ascii="Times New Roman" w:hAnsi="Times New Roman" w:eastAsia="仿宋_GB2312" w:cs="方正仿宋_GBK"/>
          <w:b w:val="0"/>
          <w:bCs w:val="0"/>
          <w:color w:val="auto"/>
          <w:highlight w:val="none"/>
          <w:lang w:val="en-US" w:eastAsia="zh-CN"/>
        </w:rPr>
        <w:t>安全、舒适、绿色、智慧的“好房子”。持续推进</w:t>
      </w:r>
      <w:r>
        <w:rPr>
          <w:rFonts w:hint="eastAsia" w:eastAsia="仿宋_GB2312" w:cs="方正仿宋_GBK"/>
          <w:b w:val="0"/>
          <w:bCs w:val="0"/>
          <w:color w:val="auto"/>
          <w:highlight w:val="none"/>
          <w:lang w:val="en-US" w:eastAsia="zh-CN"/>
        </w:rPr>
        <w:t>住房</w:t>
      </w:r>
      <w:r>
        <w:rPr>
          <w:rFonts w:hint="eastAsia" w:ascii="Times New Roman" w:hAnsi="Times New Roman" w:eastAsia="仿宋_GB2312" w:cs="方正仿宋_GBK"/>
          <w:b w:val="0"/>
          <w:bCs w:val="0"/>
          <w:color w:val="auto"/>
          <w:highlight w:val="none"/>
          <w:lang w:val="en-US" w:eastAsia="zh-CN"/>
        </w:rPr>
        <w:t>供给侧结构性改革，更好满足刚性和改善性住房需求，推动收购存量商品房用作保障性住房。</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9"/>
      </w:tblGrid>
      <w:tr w14:paraId="5457E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47EE4E52">
            <w:pPr>
              <w:keepNext w:val="0"/>
              <w:keepLines w:val="0"/>
              <w:pageBreakBefore w:val="0"/>
              <w:kinsoku/>
              <w:wordWrap/>
              <w:topLinePunct w:val="0"/>
              <w:autoSpaceDE/>
              <w:autoSpaceDN/>
              <w:bidi w:val="0"/>
              <w:adjustRightInd/>
              <w:spacing w:line="540" w:lineRule="exact"/>
              <w:ind w:firstLine="464" w:firstLineChars="200"/>
              <w:jc w:val="center"/>
              <w:textAlignment w:val="auto"/>
              <w:rPr>
                <w:rFonts w:ascii="Times New Roman" w:hAnsi="Times New Roman" w:eastAsia="方正仿宋_GBK" w:cs="Times New Roman"/>
                <w:b w:val="0"/>
                <w:bCs w:val="0"/>
                <w:sz w:val="24"/>
                <w:highlight w:val="none"/>
              </w:rPr>
            </w:pPr>
            <w:r>
              <w:rPr>
                <w:rFonts w:hint="eastAsia" w:ascii="Times New Roman" w:hAnsi="Times New Roman" w:eastAsia="仿宋_GB2312" w:cs="Times New Roman"/>
                <w:b w:val="0"/>
                <w:bCs w:val="0"/>
                <w:sz w:val="24"/>
                <w:highlight w:val="none"/>
              </w:rPr>
              <w:t>专栏</w:t>
            </w:r>
            <w:r>
              <w:rPr>
                <w:rFonts w:hint="eastAsia" w:ascii="Times New Roman" w:hAnsi="Times New Roman" w:eastAsia="仿宋_GB2312" w:cs="Times New Roman"/>
                <w:b w:val="0"/>
                <w:bCs w:val="0"/>
                <w:sz w:val="24"/>
                <w:highlight w:val="none"/>
                <w:lang w:val="en-US" w:eastAsia="zh-CN"/>
              </w:rPr>
              <w:t>10 城市更新</w:t>
            </w:r>
            <w:r>
              <w:rPr>
                <w:rFonts w:hint="eastAsia" w:ascii="Times New Roman" w:hAnsi="Times New Roman" w:eastAsia="仿宋_GB2312" w:cs="Times New Roman"/>
                <w:b w:val="0"/>
                <w:bCs w:val="0"/>
                <w:sz w:val="24"/>
                <w:highlight w:val="none"/>
              </w:rPr>
              <w:t>重大工程</w:t>
            </w:r>
          </w:p>
        </w:tc>
      </w:tr>
      <w:tr w14:paraId="4F7A0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115BDB7D">
            <w:pPr>
              <w:keepNext w:val="0"/>
              <w:keepLines w:val="0"/>
              <w:pageBreakBefore w:val="0"/>
              <w:kinsoku/>
              <w:wordWrap/>
              <w:topLinePunct w:val="0"/>
              <w:autoSpaceDE/>
              <w:autoSpaceDN/>
              <w:bidi w:val="0"/>
              <w:adjustRightInd/>
              <w:spacing w:line="540" w:lineRule="exact"/>
              <w:ind w:firstLine="404" w:firstLineChars="200"/>
              <w:textAlignment w:val="auto"/>
              <w:rPr>
                <w:rFonts w:hint="eastAsia" w:ascii="Times New Roman" w:hAnsi="Times New Roman" w:eastAsia="仿宋_GB2312"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住房更新重点工程：重点推进各旗县区</w:t>
            </w:r>
            <w:r>
              <w:rPr>
                <w:rFonts w:hint="eastAsia" w:ascii="Times New Roman" w:hAnsi="Times New Roman" w:eastAsia="仿宋_GB2312" w:cs="Times New Roman"/>
                <w:b w:val="0"/>
                <w:bCs w:val="0"/>
                <w:highlight w:val="none"/>
              </w:rPr>
              <w:t>老旧小区改造配套基础设施</w:t>
            </w:r>
            <w:r>
              <w:rPr>
                <w:rFonts w:hint="eastAsia" w:ascii="Times New Roman" w:hAnsi="Times New Roman" w:eastAsia="仿宋_GB2312" w:cs="Times New Roman"/>
                <w:b w:val="0"/>
                <w:bCs w:val="0"/>
                <w:highlight w:val="none"/>
                <w:lang w:eastAsia="zh-CN"/>
              </w:rPr>
              <w:t>、</w:t>
            </w:r>
            <w:r>
              <w:rPr>
                <w:rFonts w:hint="eastAsia" w:ascii="Times New Roman" w:hAnsi="Times New Roman" w:eastAsia="仿宋_GB2312" w:cs="Times New Roman"/>
                <w:b w:val="0"/>
                <w:bCs w:val="0"/>
                <w:highlight w:val="none"/>
              </w:rPr>
              <w:t>喀喇沁旗老旧小区既有建筑节能改造</w:t>
            </w:r>
            <w:r>
              <w:rPr>
                <w:rFonts w:hint="eastAsia" w:ascii="Times New Roman" w:hAnsi="Times New Roman" w:eastAsia="仿宋_GB2312" w:cs="Times New Roman"/>
                <w:b w:val="0"/>
                <w:bCs w:val="0"/>
                <w:highlight w:val="none"/>
                <w:lang w:eastAsia="zh-CN"/>
              </w:rPr>
              <w:t>、</w:t>
            </w:r>
            <w:r>
              <w:rPr>
                <w:rFonts w:hint="eastAsia" w:ascii="Times New Roman" w:hAnsi="Times New Roman" w:eastAsia="仿宋_GB2312" w:cs="Times New Roman"/>
                <w:b w:val="0"/>
                <w:bCs w:val="0"/>
                <w:highlight w:val="none"/>
              </w:rPr>
              <w:t>翁牛特旗城镇老旧小区改造</w:t>
            </w:r>
            <w:r>
              <w:rPr>
                <w:rFonts w:hint="eastAsia" w:ascii="Times New Roman" w:hAnsi="Times New Roman" w:eastAsia="仿宋_GB2312" w:cs="Times New Roman"/>
                <w:b w:val="0"/>
                <w:bCs w:val="0"/>
                <w:highlight w:val="none"/>
                <w:lang w:eastAsia="zh-CN"/>
              </w:rPr>
              <w:t>（</w:t>
            </w:r>
            <w:r>
              <w:rPr>
                <w:rFonts w:hint="eastAsia" w:ascii="Times New Roman" w:hAnsi="Times New Roman" w:eastAsia="仿宋_GB2312" w:cs="Times New Roman"/>
                <w:b w:val="0"/>
                <w:bCs w:val="0"/>
                <w:highlight w:val="none"/>
                <w:lang w:val="en-US" w:eastAsia="zh-CN"/>
              </w:rPr>
              <w:t>含市政管网配套工程</w:t>
            </w:r>
            <w:r>
              <w:rPr>
                <w:rFonts w:hint="eastAsia" w:ascii="Times New Roman" w:hAnsi="Times New Roman" w:eastAsia="仿宋_GB2312" w:cs="Times New Roman"/>
                <w:b w:val="0"/>
                <w:bCs w:val="0"/>
                <w:highlight w:val="none"/>
                <w:lang w:eastAsia="zh-CN"/>
              </w:rPr>
              <w:t>）、</w:t>
            </w:r>
            <w:r>
              <w:rPr>
                <w:rFonts w:hint="eastAsia" w:ascii="Times New Roman" w:hAnsi="Times New Roman" w:eastAsia="仿宋_GB2312" w:cs="Times New Roman"/>
                <w:b w:val="0"/>
                <w:bCs w:val="0"/>
                <w:highlight w:val="none"/>
              </w:rPr>
              <w:t>红山区城市危旧房改造</w:t>
            </w:r>
            <w:r>
              <w:rPr>
                <w:rFonts w:hint="eastAsia" w:ascii="Times New Roman" w:hAnsi="Times New Roman" w:eastAsia="仿宋_GB2312" w:cs="Times New Roman"/>
                <w:b w:val="0"/>
                <w:bCs w:val="0"/>
                <w:highlight w:val="none"/>
                <w:lang w:eastAsia="zh-CN"/>
              </w:rPr>
              <w:t>、</w:t>
            </w:r>
            <w:r>
              <w:rPr>
                <w:rFonts w:hint="eastAsia" w:ascii="Times New Roman" w:hAnsi="Times New Roman" w:eastAsia="仿宋_GB2312" w:cs="Times New Roman"/>
                <w:b w:val="0"/>
                <w:bCs w:val="0"/>
                <w:highlight w:val="none"/>
              </w:rPr>
              <w:t>宁城县市政管网及庭院管网供热改造</w:t>
            </w:r>
            <w:r>
              <w:rPr>
                <w:rFonts w:hint="eastAsia" w:ascii="Times New Roman" w:hAnsi="Times New Roman" w:eastAsia="仿宋_GB2312" w:cs="Times New Roman"/>
                <w:b w:val="0"/>
                <w:bCs w:val="0"/>
                <w:highlight w:val="none"/>
                <w:lang w:val="en-US" w:eastAsia="zh-CN"/>
              </w:rPr>
              <w:t>等工程项目。</w:t>
            </w:r>
          </w:p>
          <w:p w14:paraId="3366EA89">
            <w:pPr>
              <w:keepNext w:val="0"/>
              <w:keepLines w:val="0"/>
              <w:pageBreakBefore w:val="0"/>
              <w:kinsoku/>
              <w:wordWrap/>
              <w:topLinePunct w:val="0"/>
              <w:autoSpaceDE/>
              <w:autoSpaceDN/>
              <w:bidi w:val="0"/>
              <w:adjustRightInd/>
              <w:spacing w:line="540" w:lineRule="exact"/>
              <w:ind w:firstLine="404" w:firstLineChars="200"/>
              <w:textAlignment w:val="auto"/>
              <w:rPr>
                <w:rFonts w:hint="eastAsia" w:ascii="Times New Roman" w:hAnsi="Times New Roman" w:eastAsia="仿宋_GB2312"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城市路网重点工程：重点推进松山区、红山区、元宝山区等中心城区城市路网和其他旗县城关镇城市路网工程项目，加快推进赤峰市中环路快速化改造工程二期。</w:t>
            </w:r>
          </w:p>
          <w:p w14:paraId="0CBF8B18">
            <w:pPr>
              <w:keepNext w:val="0"/>
              <w:keepLines w:val="0"/>
              <w:pageBreakBefore w:val="0"/>
              <w:kinsoku/>
              <w:wordWrap/>
              <w:topLinePunct w:val="0"/>
              <w:autoSpaceDE/>
              <w:autoSpaceDN/>
              <w:bidi w:val="0"/>
              <w:adjustRightInd/>
              <w:spacing w:line="540" w:lineRule="exact"/>
              <w:ind w:firstLine="404" w:firstLineChars="200"/>
              <w:textAlignment w:val="auto"/>
              <w:rPr>
                <w:rFonts w:hint="eastAsia" w:ascii="Times New Roman" w:hAnsi="Times New Roman" w:eastAsia="仿宋_GB2312"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地下管网重点工程：支持赤峰市中心城区、旗县中心城区供水、排水、供热等管网工程项目。</w:t>
            </w:r>
          </w:p>
          <w:p w14:paraId="27A8C642">
            <w:pPr>
              <w:keepNext w:val="0"/>
              <w:keepLines w:val="0"/>
              <w:pageBreakBefore w:val="0"/>
              <w:kinsoku/>
              <w:wordWrap/>
              <w:topLinePunct w:val="0"/>
              <w:autoSpaceDE/>
              <w:autoSpaceDN/>
              <w:bidi w:val="0"/>
              <w:adjustRightInd/>
              <w:spacing w:line="540" w:lineRule="exact"/>
              <w:ind w:firstLine="404" w:firstLineChars="200"/>
              <w:textAlignment w:val="auto"/>
              <w:rPr>
                <w:rFonts w:hint="default" w:ascii="Times New Roman" w:hAnsi="Times New Roman" w:eastAsia="方正仿宋_GBK"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设备更新重点工程：重点推进</w:t>
            </w:r>
            <w:r>
              <w:rPr>
                <w:rFonts w:hint="eastAsia" w:ascii="Times New Roman" w:hAnsi="Times New Roman" w:eastAsia="仿宋_GB2312" w:cs="Times New Roman"/>
                <w:b w:val="0"/>
                <w:bCs w:val="0"/>
                <w:highlight w:val="none"/>
              </w:rPr>
              <w:t>敖汉旗城区供水基础设施大规模设备更新改造</w:t>
            </w:r>
            <w:r>
              <w:rPr>
                <w:rFonts w:hint="eastAsia" w:ascii="Times New Roman" w:hAnsi="Times New Roman" w:eastAsia="仿宋_GB2312" w:cs="Times New Roman"/>
                <w:b w:val="0"/>
                <w:bCs w:val="0"/>
                <w:highlight w:val="none"/>
                <w:lang w:eastAsia="zh-CN"/>
              </w:rPr>
              <w:t>、</w:t>
            </w:r>
            <w:r>
              <w:rPr>
                <w:rFonts w:hint="eastAsia" w:ascii="Times New Roman" w:hAnsi="Times New Roman" w:eastAsia="仿宋_GB2312" w:cs="Times New Roman"/>
                <w:b w:val="0"/>
                <w:bCs w:val="0"/>
                <w:highlight w:val="none"/>
              </w:rPr>
              <w:t>巴林左旗林取水设备更新改造</w:t>
            </w:r>
            <w:r>
              <w:rPr>
                <w:rFonts w:hint="eastAsia" w:ascii="Times New Roman" w:hAnsi="Times New Roman" w:eastAsia="仿宋_GB2312" w:cs="Times New Roman"/>
                <w:b w:val="0"/>
                <w:bCs w:val="0"/>
                <w:highlight w:val="none"/>
                <w:lang w:eastAsia="zh-CN"/>
              </w:rPr>
              <w:t>、</w:t>
            </w:r>
            <w:r>
              <w:rPr>
                <w:rFonts w:hint="eastAsia" w:ascii="Times New Roman" w:hAnsi="Times New Roman" w:eastAsia="仿宋_GB2312" w:cs="Times New Roman"/>
                <w:b w:val="0"/>
                <w:bCs w:val="0"/>
                <w:highlight w:val="none"/>
              </w:rPr>
              <w:t>敖汉旗城区</w:t>
            </w:r>
            <w:r>
              <w:rPr>
                <w:rFonts w:hint="eastAsia" w:ascii="Times New Roman" w:hAnsi="Times New Roman" w:eastAsia="仿宋_GB2312" w:cs="Times New Roman"/>
                <w:b w:val="0"/>
                <w:bCs w:val="0"/>
                <w:highlight w:val="none"/>
                <w:lang w:eastAsia="zh-CN"/>
              </w:rPr>
              <w:t>污水处理厂</w:t>
            </w:r>
            <w:r>
              <w:rPr>
                <w:rFonts w:hint="eastAsia" w:ascii="Times New Roman" w:hAnsi="Times New Roman" w:eastAsia="仿宋_GB2312" w:cs="Times New Roman"/>
                <w:b w:val="0"/>
                <w:bCs w:val="0"/>
                <w:highlight w:val="none"/>
              </w:rPr>
              <w:t>设备更新改造</w:t>
            </w:r>
            <w:r>
              <w:rPr>
                <w:rFonts w:hint="eastAsia" w:ascii="Times New Roman" w:hAnsi="Times New Roman" w:eastAsia="仿宋_GB2312" w:cs="Times New Roman"/>
                <w:b w:val="0"/>
                <w:bCs w:val="0"/>
                <w:highlight w:val="none"/>
                <w:lang w:eastAsia="zh-CN"/>
              </w:rPr>
              <w:t>、</w:t>
            </w:r>
            <w:r>
              <w:rPr>
                <w:rFonts w:hint="eastAsia" w:ascii="Times New Roman" w:hAnsi="Times New Roman" w:eastAsia="仿宋_GB2312" w:cs="Times New Roman"/>
                <w:b w:val="0"/>
                <w:bCs w:val="0"/>
                <w:highlight w:val="none"/>
                <w:lang w:val="en-US" w:eastAsia="zh-CN"/>
              </w:rPr>
              <w:t>翁牛特旗乌丹污水处理厂设备更新改造、</w:t>
            </w:r>
            <w:r>
              <w:rPr>
                <w:rFonts w:hint="eastAsia" w:ascii="Times New Roman" w:hAnsi="Times New Roman" w:eastAsia="仿宋_GB2312" w:cs="Times New Roman"/>
                <w:b w:val="0"/>
                <w:bCs w:val="0"/>
                <w:highlight w:val="none"/>
              </w:rPr>
              <w:t>翁牛特旗乌丹城区生活垃圾收集处理老旧设备更新</w:t>
            </w:r>
            <w:r>
              <w:rPr>
                <w:rFonts w:hint="eastAsia" w:ascii="Times New Roman" w:hAnsi="Times New Roman" w:eastAsia="仿宋_GB2312" w:cs="Times New Roman"/>
                <w:b w:val="0"/>
                <w:bCs w:val="0"/>
                <w:highlight w:val="none"/>
                <w:lang w:eastAsia="zh-CN"/>
              </w:rPr>
              <w:t>等</w:t>
            </w:r>
            <w:r>
              <w:rPr>
                <w:rFonts w:hint="eastAsia" w:ascii="Times New Roman" w:hAnsi="Times New Roman" w:eastAsia="仿宋_GB2312" w:cs="Times New Roman"/>
                <w:b w:val="0"/>
                <w:bCs w:val="0"/>
                <w:highlight w:val="none"/>
                <w:lang w:val="en-US" w:eastAsia="zh-CN"/>
              </w:rPr>
              <w:t>工程项目。</w:t>
            </w:r>
          </w:p>
        </w:tc>
      </w:tr>
    </w:tbl>
    <w:p w14:paraId="47FA2C97">
      <w:pPr>
        <w:keepNext w:val="0"/>
        <w:keepLines w:val="0"/>
        <w:pageBreakBefore w:val="0"/>
        <w:kinsoku/>
        <w:wordWrap/>
        <w:topLinePunct w:val="0"/>
        <w:autoSpaceDE/>
        <w:autoSpaceDN/>
        <w:bidi w:val="0"/>
        <w:adjustRightInd/>
        <w:spacing w:line="540" w:lineRule="exact"/>
        <w:textAlignment w:val="auto"/>
        <w:rPr>
          <w:rFonts w:hint="eastAsia" w:ascii="Times New Roman" w:hAnsi="Times New Roman"/>
          <w:b w:val="0"/>
          <w:bCs w:val="0"/>
          <w:highlight w:val="none"/>
          <w:lang w:val="en-US" w:eastAsia="zh-CN"/>
        </w:rPr>
      </w:pPr>
    </w:p>
    <w:p w14:paraId="5828ED94">
      <w:pPr>
        <w:pStyle w:val="43"/>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3"/>
        <w:jc w:val="left"/>
        <w:textAlignment w:val="auto"/>
        <w:outlineLvl w:val="3"/>
        <w:rPr>
          <w:rFonts w:hint="eastAsia" w:ascii="Times New Roman" w:hAnsi="Times New Roman" w:eastAsia="方正仿宋_GBK" w:cs="方正仿宋_GBK"/>
          <w:b w:val="0"/>
          <w:bCs w:val="0"/>
          <w:color w:val="auto"/>
          <w:highlight w:val="none"/>
        </w:rPr>
      </w:pPr>
      <w:bookmarkStart w:id="493" w:name="_Toc13174"/>
      <w:r>
        <w:rPr>
          <w:rFonts w:hint="eastAsia" w:ascii="Times New Roman" w:hAnsi="Times New Roman" w:eastAsia="仿宋_GB2312" w:cs="方正仿宋_GBK"/>
          <w:b w:val="0"/>
          <w:bCs w:val="0"/>
          <w:color w:val="auto"/>
          <w:highlight w:val="none"/>
        </w:rPr>
        <w:t>提升城市管理水平</w:t>
      </w:r>
      <w:bookmarkEnd w:id="493"/>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建设城市运行管理服务平台，实现城市管理“</w:t>
      </w:r>
      <w:r>
        <w:rPr>
          <w:rFonts w:hint="eastAsia" w:eastAsia="仿宋_GB2312" w:cs="方正仿宋_GBK"/>
          <w:b w:val="0"/>
          <w:bCs w:val="0"/>
          <w:color w:val="auto"/>
          <w:highlight w:val="none"/>
          <w:lang w:val="en-US" w:eastAsia="zh-CN"/>
        </w:rPr>
        <w:t>一</w:t>
      </w:r>
      <w:r>
        <w:rPr>
          <w:rFonts w:hint="eastAsia" w:ascii="Times New Roman" w:hAnsi="Times New Roman" w:eastAsia="仿宋_GB2312" w:cs="方正仿宋_GBK"/>
          <w:b w:val="0"/>
          <w:bCs w:val="0"/>
          <w:color w:val="auto"/>
          <w:highlight w:val="none"/>
        </w:rPr>
        <w:t>网通办、一网统管”。抓好市容市貌管理和市政设施养护</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开展建筑垃圾、人行道、绿化、</w:t>
      </w:r>
      <w:r>
        <w:rPr>
          <w:rFonts w:hint="eastAsia" w:ascii="Times New Roman" w:hAnsi="Times New Roman" w:eastAsia="仿宋_GB2312" w:cs="方正仿宋_GBK"/>
          <w:b w:val="0"/>
          <w:bCs w:val="0"/>
          <w:color w:val="auto"/>
          <w:highlight w:val="none"/>
          <w:lang w:eastAsia="zh-CN"/>
        </w:rPr>
        <w:t>窨井盖</w:t>
      </w:r>
      <w:r>
        <w:rPr>
          <w:rFonts w:hint="eastAsia" w:ascii="Times New Roman" w:hAnsi="Times New Roman" w:eastAsia="仿宋_GB2312" w:cs="方正仿宋_GBK"/>
          <w:b w:val="0"/>
          <w:bCs w:val="0"/>
          <w:color w:val="auto"/>
          <w:highlight w:val="none"/>
        </w:rPr>
        <w:t>、闲置土地等专项整治行动，加大工地、绿地、闲置土地、背街小巷、</w:t>
      </w:r>
      <w:r>
        <w:rPr>
          <w:rFonts w:hint="eastAsia" w:ascii="Times New Roman" w:hAnsi="Times New Roman" w:eastAsia="仿宋_GB2312" w:cs="方正仿宋_GBK"/>
          <w:b w:val="0"/>
          <w:bCs w:val="0"/>
          <w:color w:val="auto"/>
          <w:highlight w:val="none"/>
          <w:lang w:eastAsia="zh-CN"/>
        </w:rPr>
        <w:t>城乡接合部</w:t>
      </w:r>
      <w:r>
        <w:rPr>
          <w:rFonts w:hint="eastAsia" w:ascii="Times New Roman" w:hAnsi="Times New Roman" w:eastAsia="仿宋_GB2312" w:cs="方正仿宋_GBK"/>
          <w:b w:val="0"/>
          <w:bCs w:val="0"/>
          <w:color w:val="auto"/>
          <w:highlight w:val="none"/>
        </w:rPr>
        <w:t>等重点区域环境整治，实现薄弱区域环境面貌明显改善。因地制宜设置具有文化特色和地域特征的亮化设施，丰富城市夜间景观。加强停车管理</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充分挖掘现有停车位存量，有序扩大停车位增量，强化停车管理。推进住宅小区物业管理服务全覆盖，提升物业服务水平和覆盖率。加强环城水系管理和开发利用</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充分利用水资源、沿河绿地、广场等资源，定期举办市集、灯光夜市，增设饮水小屋、骑行驿站等便民设施，全方位提升服务民生水平。</w:t>
      </w:r>
      <w:r>
        <w:rPr>
          <w:rFonts w:hint="eastAsia" w:ascii="Times New Roman" w:hAnsi="Times New Roman" w:eastAsia="仿宋_GB2312" w:cs="方正仿宋_GBK"/>
          <w:b w:val="0"/>
          <w:bCs w:val="0"/>
          <w:color w:val="auto"/>
          <w:highlight w:val="none"/>
          <w:lang w:eastAsia="zh-CN"/>
        </w:rPr>
        <w:t>强化城市自然灾害防治，推动易涝点动态清零，统筹城市防洪体系建设和内涝治理</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eastAsia="zh-CN"/>
        </w:rPr>
        <w:t>严格限制超高层建筑，全面提升房屋安全保障水平，加快建设城市基础设施生命线安全工程。</w:t>
      </w:r>
      <w:r>
        <w:rPr>
          <w:rFonts w:hint="eastAsia" w:ascii="Times New Roman" w:hAnsi="Times New Roman" w:eastAsia="仿宋_GB2312" w:cs="方正仿宋_GBK"/>
          <w:b w:val="0"/>
          <w:bCs w:val="0"/>
          <w:color w:val="auto"/>
          <w:highlight w:val="none"/>
        </w:rPr>
        <w:t>建设</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城市体检</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信息平台，定期对城市运行安全进行监测评估。</w:t>
      </w:r>
      <w:r>
        <w:rPr>
          <w:rFonts w:hint="eastAsia" w:ascii="Times New Roman" w:hAnsi="Times New Roman" w:eastAsia="仿宋_GB2312" w:cs="方正仿宋_GBK"/>
          <w:b w:val="0"/>
          <w:bCs w:val="0"/>
          <w:color w:val="auto"/>
          <w:highlight w:val="none"/>
          <w:lang w:val="en-US" w:eastAsia="zh-CN"/>
        </w:rPr>
        <w:t>推进城市</w:t>
      </w:r>
      <w:r>
        <w:rPr>
          <w:rFonts w:hint="eastAsia" w:eastAsia="仿宋_GB2312" w:cs="方正仿宋_GBK"/>
          <w:b w:val="0"/>
          <w:bCs w:val="0"/>
          <w:color w:val="auto"/>
          <w:highlight w:val="none"/>
          <w:lang w:val="en-US" w:eastAsia="zh-CN"/>
        </w:rPr>
        <w:t>“平急两用”</w:t>
      </w:r>
      <w:r>
        <w:rPr>
          <w:rFonts w:hint="eastAsia" w:ascii="Times New Roman" w:hAnsi="Times New Roman" w:eastAsia="仿宋_GB2312" w:cs="方正仿宋_GBK"/>
          <w:b w:val="0"/>
          <w:bCs w:val="0"/>
          <w:color w:val="auto"/>
          <w:highlight w:val="none"/>
          <w:lang w:val="en-US" w:eastAsia="zh-CN"/>
        </w:rPr>
        <w:t>公共基础设施建设。</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9"/>
      </w:tblGrid>
      <w:tr w14:paraId="2502A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6BF50F56">
            <w:pPr>
              <w:keepNext w:val="0"/>
              <w:keepLines w:val="0"/>
              <w:pageBreakBefore w:val="0"/>
              <w:kinsoku/>
              <w:wordWrap/>
              <w:topLinePunct w:val="0"/>
              <w:autoSpaceDE/>
              <w:autoSpaceDN/>
              <w:bidi w:val="0"/>
              <w:adjustRightInd/>
              <w:spacing w:line="540" w:lineRule="exact"/>
              <w:ind w:firstLine="464" w:firstLineChars="200"/>
              <w:jc w:val="center"/>
              <w:textAlignment w:val="auto"/>
              <w:rPr>
                <w:rFonts w:ascii="Times New Roman" w:hAnsi="Times New Roman" w:eastAsia="方正仿宋_GBK" w:cs="Times New Roman"/>
                <w:b w:val="0"/>
                <w:bCs w:val="0"/>
                <w:sz w:val="24"/>
                <w:highlight w:val="none"/>
              </w:rPr>
            </w:pPr>
            <w:r>
              <w:rPr>
                <w:rFonts w:hint="eastAsia" w:ascii="Times New Roman" w:hAnsi="Times New Roman" w:eastAsia="仿宋_GB2312" w:cs="Times New Roman"/>
                <w:b w:val="0"/>
                <w:bCs w:val="0"/>
                <w:sz w:val="24"/>
                <w:highlight w:val="none"/>
              </w:rPr>
              <w:t>专栏</w:t>
            </w:r>
            <w:r>
              <w:rPr>
                <w:rFonts w:hint="eastAsia" w:ascii="Times New Roman" w:hAnsi="Times New Roman" w:eastAsia="仿宋_GB2312" w:cs="Times New Roman"/>
                <w:b w:val="0"/>
                <w:bCs w:val="0"/>
                <w:sz w:val="24"/>
                <w:highlight w:val="none"/>
                <w:lang w:val="en-US" w:eastAsia="zh-CN"/>
              </w:rPr>
              <w:t>11 城市管理</w:t>
            </w:r>
            <w:r>
              <w:rPr>
                <w:rFonts w:hint="eastAsia" w:ascii="Times New Roman" w:hAnsi="Times New Roman" w:eastAsia="仿宋_GB2312" w:cs="Times New Roman"/>
                <w:b w:val="0"/>
                <w:bCs w:val="0"/>
                <w:sz w:val="24"/>
                <w:highlight w:val="none"/>
              </w:rPr>
              <w:t>重大工程</w:t>
            </w:r>
          </w:p>
        </w:tc>
      </w:tr>
      <w:tr w14:paraId="5624C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42C376D2">
            <w:pPr>
              <w:keepNext w:val="0"/>
              <w:keepLines w:val="0"/>
              <w:pageBreakBefore w:val="0"/>
              <w:kinsoku/>
              <w:wordWrap/>
              <w:topLinePunct w:val="0"/>
              <w:autoSpaceDE/>
              <w:autoSpaceDN/>
              <w:bidi w:val="0"/>
              <w:adjustRightInd/>
              <w:spacing w:line="540" w:lineRule="exact"/>
              <w:ind w:firstLine="404" w:firstLineChars="200"/>
              <w:textAlignment w:val="auto"/>
              <w:rPr>
                <w:rFonts w:hint="default" w:ascii="Times New Roman" w:hAnsi="Times New Roman" w:eastAsia="方正仿宋_GBK"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重点推进</w:t>
            </w:r>
            <w:r>
              <w:rPr>
                <w:rFonts w:hint="eastAsia" w:ascii="Times New Roman" w:hAnsi="Times New Roman" w:eastAsia="仿宋_GB2312" w:cs="Times New Roman"/>
                <w:b w:val="0"/>
                <w:bCs w:val="0"/>
                <w:highlight w:val="none"/>
              </w:rPr>
              <w:t>林西县生活垃圾综合处理增容</w:t>
            </w:r>
            <w:r>
              <w:rPr>
                <w:rFonts w:hint="eastAsia" w:ascii="Times New Roman" w:hAnsi="Times New Roman" w:eastAsia="仿宋_GB2312" w:cs="Times New Roman"/>
                <w:b w:val="0"/>
                <w:bCs w:val="0"/>
                <w:highlight w:val="none"/>
                <w:lang w:eastAsia="zh-CN"/>
              </w:rPr>
              <w:t>、</w:t>
            </w:r>
            <w:r>
              <w:rPr>
                <w:rFonts w:hint="eastAsia" w:ascii="Times New Roman" w:hAnsi="Times New Roman" w:eastAsia="仿宋_GB2312" w:cs="Times New Roman"/>
                <w:b w:val="0"/>
                <w:bCs w:val="0"/>
                <w:highlight w:val="none"/>
                <w:lang w:val="en-US" w:eastAsia="zh-CN"/>
              </w:rPr>
              <w:t>克什克腾旗</w:t>
            </w:r>
            <w:r>
              <w:rPr>
                <w:rFonts w:hint="eastAsia" w:ascii="Times New Roman" w:hAnsi="Times New Roman" w:eastAsia="仿宋_GB2312" w:cs="Times New Roman"/>
                <w:b w:val="0"/>
                <w:bCs w:val="0"/>
                <w:highlight w:val="none"/>
              </w:rPr>
              <w:t>“天眼”工程</w:t>
            </w:r>
            <w:r>
              <w:rPr>
                <w:rFonts w:hint="eastAsia" w:ascii="Times New Roman" w:hAnsi="Times New Roman" w:eastAsia="仿宋_GB2312" w:cs="Times New Roman"/>
                <w:b w:val="0"/>
                <w:bCs w:val="0"/>
                <w:highlight w:val="none"/>
                <w:lang w:eastAsia="zh-CN"/>
              </w:rPr>
              <w:t>、</w:t>
            </w:r>
            <w:r>
              <w:rPr>
                <w:rFonts w:hint="eastAsia" w:ascii="Times New Roman" w:hAnsi="Times New Roman" w:eastAsia="仿宋_GB2312" w:cs="Times New Roman"/>
                <w:b w:val="0"/>
                <w:bCs w:val="0"/>
                <w:highlight w:val="none"/>
                <w:lang w:val="en-US" w:eastAsia="zh-CN"/>
              </w:rPr>
              <w:t>克什克腾旗</w:t>
            </w:r>
            <w:r>
              <w:rPr>
                <w:rFonts w:hint="eastAsia" w:ascii="Times New Roman" w:hAnsi="Times New Roman" w:eastAsia="仿宋_GB2312" w:cs="Times New Roman"/>
                <w:b w:val="0"/>
                <w:bCs w:val="0"/>
                <w:highlight w:val="none"/>
              </w:rPr>
              <w:t>智慧城管平台</w:t>
            </w:r>
            <w:r>
              <w:rPr>
                <w:rFonts w:hint="eastAsia" w:ascii="Times New Roman" w:hAnsi="Times New Roman" w:eastAsia="仿宋_GB2312" w:cs="Times New Roman"/>
                <w:b w:val="0"/>
                <w:bCs w:val="0"/>
                <w:highlight w:val="none"/>
                <w:lang w:eastAsia="zh-CN"/>
              </w:rPr>
              <w:t>、</w:t>
            </w:r>
            <w:r>
              <w:rPr>
                <w:rFonts w:hint="eastAsia" w:ascii="Times New Roman" w:hAnsi="Times New Roman" w:eastAsia="仿宋_GB2312" w:cs="Times New Roman"/>
                <w:b w:val="0"/>
                <w:bCs w:val="0"/>
                <w:highlight w:val="none"/>
              </w:rPr>
              <w:t>翁牛特旗餐厨垃圾处理</w:t>
            </w:r>
            <w:r>
              <w:rPr>
                <w:rFonts w:hint="eastAsia" w:ascii="Times New Roman" w:hAnsi="Times New Roman" w:eastAsia="仿宋_GB2312" w:cs="Times New Roman"/>
                <w:b w:val="0"/>
                <w:bCs w:val="0"/>
                <w:highlight w:val="none"/>
                <w:lang w:eastAsia="zh-CN"/>
              </w:rPr>
              <w:t>、</w:t>
            </w:r>
            <w:r>
              <w:rPr>
                <w:rFonts w:hint="eastAsia" w:ascii="Times New Roman" w:hAnsi="Times New Roman" w:eastAsia="仿宋_GB2312" w:cs="Times New Roman"/>
                <w:b w:val="0"/>
                <w:bCs w:val="0"/>
                <w:highlight w:val="none"/>
              </w:rPr>
              <w:t>翁牛特旗垃圾中转站</w:t>
            </w:r>
            <w:r>
              <w:rPr>
                <w:rFonts w:hint="eastAsia" w:ascii="Times New Roman" w:hAnsi="Times New Roman" w:eastAsia="仿宋_GB2312" w:cs="Times New Roman"/>
                <w:b w:val="0"/>
                <w:bCs w:val="0"/>
                <w:highlight w:val="none"/>
                <w:lang w:eastAsia="zh-CN"/>
              </w:rPr>
              <w:t>、</w:t>
            </w:r>
            <w:r>
              <w:rPr>
                <w:rFonts w:hint="eastAsia" w:ascii="Times New Roman" w:hAnsi="Times New Roman" w:eastAsia="仿宋_GB2312" w:cs="Times New Roman"/>
                <w:b w:val="0"/>
                <w:bCs w:val="0"/>
                <w:highlight w:val="none"/>
                <w:lang w:val="en-US" w:eastAsia="zh-CN"/>
              </w:rPr>
              <w:t>翁牛特旗</w:t>
            </w:r>
            <w:r>
              <w:rPr>
                <w:rFonts w:hint="eastAsia" w:ascii="Times New Roman" w:hAnsi="Times New Roman" w:eastAsia="仿宋_GB2312" w:cs="Times New Roman"/>
                <w:b w:val="0"/>
                <w:bCs w:val="0"/>
                <w:highlight w:val="none"/>
              </w:rPr>
              <w:t>建筑垃圾处理场</w:t>
            </w:r>
            <w:r>
              <w:rPr>
                <w:rFonts w:hint="eastAsia" w:ascii="Times New Roman" w:hAnsi="Times New Roman" w:eastAsia="仿宋_GB2312" w:cs="Times New Roman"/>
                <w:b w:val="0"/>
                <w:bCs w:val="0"/>
                <w:highlight w:val="none"/>
                <w:lang w:val="en-US" w:eastAsia="zh-CN"/>
              </w:rPr>
              <w:t>等工程项目。</w:t>
            </w:r>
          </w:p>
        </w:tc>
      </w:tr>
    </w:tbl>
    <w:p w14:paraId="5AAA29FD">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rPr>
      </w:pPr>
      <w:bookmarkStart w:id="494" w:name="_Toc4679"/>
      <w:r>
        <w:rPr>
          <w:rFonts w:hint="eastAsia" w:ascii="Times New Roman" w:hAnsi="Times New Roman" w:eastAsia="仿宋_GB2312" w:cs="方正仿宋_GBK"/>
          <w:b w:val="0"/>
          <w:bCs w:val="0"/>
          <w:color w:val="auto"/>
          <w:highlight w:val="none"/>
        </w:rPr>
        <w:t>提升便民服务水平</w:t>
      </w:r>
      <w:bookmarkEnd w:id="494"/>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加快推进一刻钟便民生活圈建设，建成一批布局合理、业态齐全、功能完善、服务优质、智慧高效、快捷便利、规范有序、商居和谐的便民生活圈。提升基层精细化服务水平</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加强社区工作者队伍建设。深化基层红色网格治理，推动各类行政管理网格与自治网格“多格合一”。支持引导多元主体参与基层治理，健全党组织与居委会、业委会、物业企业四方共议机制，探索社区“微治理”机制。推广党建引领“街乡吹哨、部门报到”</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“接诉即办”做法，全面推行信访代办制，健全人民建议征集工作制度，推动城市治理向精细管理、主动服务转变。提升城市智治水平</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系统推进智慧城市基础设施、系统平台和应用终端等建设，推进跨部门、跨区域数据共用、业务协同。加快一体化政务大数据体系建设，为城市管理精细化、智能化提供数据支撑。</w:t>
      </w:r>
    </w:p>
    <w:p w14:paraId="555DB777">
      <w:pPr>
        <w:keepNext w:val="0"/>
        <w:keepLines w:val="0"/>
        <w:pageBreakBefore w:val="0"/>
        <w:widowControl/>
        <w:numPr>
          <w:ilvl w:val="0"/>
          <w:numId w:val="6"/>
        </w:numPr>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495" w:name="_Toc23524"/>
      <w:bookmarkStart w:id="496" w:name="_Toc31688"/>
      <w:bookmarkStart w:id="497" w:name="_Toc14895"/>
      <w:bookmarkStart w:id="498" w:name="_Toc21441"/>
      <w:bookmarkStart w:id="499" w:name="_Toc14808"/>
      <w:bookmarkStart w:id="500" w:name="_Toc11624"/>
      <w:bookmarkStart w:id="501" w:name="_Toc28483"/>
      <w:bookmarkStart w:id="502" w:name="_Toc31372"/>
      <w:bookmarkStart w:id="503" w:name="_Toc9301"/>
      <w:bookmarkStart w:id="504" w:name="_Toc24430"/>
      <w:bookmarkStart w:id="505" w:name="_Toc1526"/>
      <w:bookmarkStart w:id="506" w:name="_Toc515"/>
      <w:bookmarkStart w:id="507" w:name="_Toc31479"/>
      <w:bookmarkStart w:id="508" w:name="_Toc9853"/>
      <w:r>
        <w:rPr>
          <w:rFonts w:hint="eastAsia" w:ascii="楷体_GB2312" w:hAnsi="楷体_GB2312" w:eastAsia="楷体_GB2312" w:cs="楷体_GB2312"/>
          <w:b w:val="0"/>
          <w:bCs w:val="0"/>
          <w:color w:val="auto"/>
          <w:sz w:val="32"/>
          <w:szCs w:val="40"/>
          <w:highlight w:val="none"/>
          <w:lang w:val="en-US" w:eastAsia="zh-CN"/>
        </w:rPr>
        <w:t>推动县域经济高质量发展</w:t>
      </w:r>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p>
    <w:p w14:paraId="486E9D57">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spacing w:val="-6"/>
          <w:highlight w:val="none"/>
        </w:rPr>
      </w:pPr>
      <w:r>
        <w:rPr>
          <w:rFonts w:hint="eastAsia" w:ascii="Times New Roman" w:hAnsi="Times New Roman" w:eastAsia="仿宋_GB2312" w:cs="方正仿宋_GBK"/>
          <w:b w:val="0"/>
          <w:bCs w:val="0"/>
          <w:color w:val="auto"/>
          <w:spacing w:val="-6"/>
          <w:highlight w:val="none"/>
        </w:rPr>
        <w:t>遵循县域经济发展规律，立足各旗县区资源禀赋、区位</w:t>
      </w:r>
      <w:r>
        <w:rPr>
          <w:rFonts w:hint="eastAsia" w:ascii="Times New Roman" w:hAnsi="Times New Roman" w:eastAsia="仿宋_GB2312" w:cs="方正仿宋_GBK"/>
          <w:b w:val="0"/>
          <w:bCs w:val="0"/>
          <w:color w:val="auto"/>
          <w:spacing w:val="-6"/>
          <w:highlight w:val="none"/>
          <w:lang w:eastAsia="zh-CN"/>
        </w:rPr>
        <w:t>优势</w:t>
      </w:r>
      <w:r>
        <w:rPr>
          <w:rFonts w:hint="eastAsia" w:ascii="Times New Roman" w:hAnsi="Times New Roman" w:eastAsia="仿宋_GB2312" w:cs="方正仿宋_GBK"/>
          <w:b w:val="0"/>
          <w:bCs w:val="0"/>
          <w:color w:val="auto"/>
          <w:spacing w:val="-6"/>
          <w:highlight w:val="none"/>
        </w:rPr>
        <w:t>和产业基础，明确功能定位，推动特色发展、错位发展、联动发展。</w:t>
      </w:r>
    </w:p>
    <w:p w14:paraId="0F467875">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lang w:val="en-US" w:eastAsia="zh-CN"/>
        </w:rPr>
      </w:pPr>
      <w:bookmarkStart w:id="509" w:name="_Toc14646"/>
      <w:r>
        <w:rPr>
          <w:rFonts w:hint="eastAsia" w:ascii="Times New Roman" w:hAnsi="Times New Roman" w:eastAsia="仿宋_GB2312" w:cs="方正仿宋_GBK"/>
          <w:b w:val="0"/>
          <w:bCs w:val="0"/>
          <w:color w:val="auto"/>
          <w:highlight w:val="none"/>
        </w:rPr>
        <w:t>明确</w:t>
      </w:r>
      <w:r>
        <w:rPr>
          <w:rFonts w:hint="eastAsia" w:ascii="Times New Roman" w:hAnsi="Times New Roman" w:eastAsia="仿宋_GB2312" w:cs="方正仿宋_GBK"/>
          <w:b w:val="0"/>
          <w:bCs w:val="0"/>
          <w:color w:val="auto"/>
          <w:highlight w:val="none"/>
          <w:lang w:val="en-US" w:eastAsia="zh-CN"/>
        </w:rPr>
        <w:t>各旗县区</w:t>
      </w:r>
      <w:r>
        <w:rPr>
          <w:rFonts w:hint="eastAsia" w:ascii="Times New Roman" w:hAnsi="Times New Roman" w:eastAsia="仿宋_GB2312" w:cs="方正仿宋_GBK"/>
          <w:b w:val="0"/>
          <w:bCs w:val="0"/>
          <w:color w:val="auto"/>
          <w:highlight w:val="none"/>
        </w:rPr>
        <w:t>功能定位</w:t>
      </w:r>
      <w:bookmarkEnd w:id="509"/>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落实</w:t>
      </w:r>
      <w:r>
        <w:rPr>
          <w:rFonts w:hint="eastAsia" w:ascii="Times New Roman" w:hAnsi="Times New Roman" w:eastAsia="仿宋_GB2312" w:cs="方正仿宋_GBK"/>
          <w:b w:val="0"/>
          <w:bCs w:val="0"/>
          <w:color w:val="auto"/>
          <w:highlight w:val="none"/>
        </w:rPr>
        <w:t>自治区和市级国土空间规划</w:t>
      </w:r>
      <w:r>
        <w:rPr>
          <w:rFonts w:hint="eastAsia" w:eastAsia="仿宋_GB2312" w:cs="方正仿宋_GBK"/>
          <w:b w:val="0"/>
          <w:bCs w:val="0"/>
          <w:color w:val="auto"/>
          <w:highlight w:val="none"/>
          <w:lang w:eastAsia="zh-CN"/>
        </w:rPr>
        <w:t>、</w:t>
      </w:r>
      <w:r>
        <w:rPr>
          <w:rFonts w:hint="eastAsia" w:eastAsia="仿宋_GB2312" w:cs="方正仿宋_GBK"/>
          <w:b w:val="0"/>
          <w:bCs w:val="0"/>
          <w:color w:val="auto"/>
          <w:highlight w:val="none"/>
          <w:lang w:val="en-US" w:eastAsia="zh-CN"/>
        </w:rPr>
        <w:t>主体功能区</w:t>
      </w:r>
      <w:r>
        <w:rPr>
          <w:rFonts w:hint="eastAsia" w:ascii="Times New Roman" w:hAnsi="Times New Roman" w:eastAsia="仿宋_GB2312" w:cs="方正仿宋_GBK"/>
          <w:b w:val="0"/>
          <w:bCs w:val="0"/>
          <w:color w:val="auto"/>
          <w:highlight w:val="none"/>
        </w:rPr>
        <w:t>要求，结</w:t>
      </w:r>
      <w:r>
        <w:rPr>
          <w:rFonts w:hint="eastAsia" w:ascii="Times New Roman" w:hAnsi="Times New Roman" w:eastAsia="仿宋_GB2312" w:cs="方正仿宋_GBK"/>
          <w:b w:val="0"/>
          <w:bCs w:val="0"/>
          <w:color w:val="auto"/>
          <w:highlight w:val="none"/>
          <w:lang w:eastAsia="zh-CN"/>
        </w:rPr>
        <w:t>合各</w:t>
      </w:r>
      <w:r>
        <w:rPr>
          <w:rFonts w:hint="eastAsia" w:ascii="Times New Roman" w:hAnsi="Times New Roman" w:eastAsia="仿宋_GB2312" w:cs="方正仿宋_GBK"/>
          <w:b w:val="0"/>
          <w:bCs w:val="0"/>
          <w:color w:val="auto"/>
          <w:highlight w:val="none"/>
          <w:lang w:val="en-US" w:eastAsia="zh-CN"/>
        </w:rPr>
        <w:t>旗县区</w:t>
      </w:r>
      <w:r>
        <w:rPr>
          <w:rFonts w:hint="eastAsia" w:ascii="Times New Roman" w:hAnsi="Times New Roman" w:eastAsia="仿宋_GB2312" w:cs="方正仿宋_GBK"/>
          <w:b w:val="0"/>
          <w:bCs w:val="0"/>
          <w:color w:val="auto"/>
          <w:highlight w:val="none"/>
        </w:rPr>
        <w:t>实际，进一步细化各旗县区的发展重点</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坚持因地制宜、产业支撑、区域协调、强县富民</w:t>
      </w:r>
      <w:r>
        <w:rPr>
          <w:rFonts w:hint="eastAsia" w:eastAsia="仿宋_GB2312" w:cs="方正仿宋_GBK"/>
          <w:b w:val="0"/>
          <w:bCs w:val="0"/>
          <w:color w:val="auto"/>
          <w:highlight w:val="none"/>
          <w:lang w:val="en-US" w:eastAsia="zh-CN"/>
        </w:rPr>
        <w:t>发展</w:t>
      </w:r>
      <w:r>
        <w:rPr>
          <w:rFonts w:hint="eastAsia" w:ascii="Times New Roman" w:hAnsi="Times New Roman" w:eastAsia="仿宋_GB2312" w:cs="方正仿宋_GBK"/>
          <w:b w:val="0"/>
          <w:bCs w:val="0"/>
          <w:color w:val="auto"/>
          <w:highlight w:val="none"/>
          <w:lang w:val="en-US" w:eastAsia="zh-CN"/>
        </w:rPr>
        <w:t>思路，分类引导县域发展特色优势产业，</w:t>
      </w:r>
      <w:r>
        <w:rPr>
          <w:rFonts w:hint="eastAsia" w:eastAsia="仿宋_GB2312" w:cs="方正仿宋_GBK"/>
          <w:b w:val="0"/>
          <w:bCs w:val="0"/>
          <w:color w:val="auto"/>
          <w:highlight w:val="none"/>
          <w:lang w:eastAsia="zh-CN"/>
        </w:rPr>
        <w:t>全力打造现代农牧业强县、工业强县、</w:t>
      </w:r>
      <w:r>
        <w:rPr>
          <w:rFonts w:hint="eastAsia" w:eastAsia="仿宋_GB2312" w:cs="方正仿宋_GBK"/>
          <w:b w:val="0"/>
          <w:bCs w:val="0"/>
          <w:color w:val="auto"/>
          <w:highlight w:val="none"/>
          <w:lang w:val="en-US" w:eastAsia="zh-CN"/>
        </w:rPr>
        <w:t>旅游</w:t>
      </w:r>
      <w:r>
        <w:rPr>
          <w:rFonts w:hint="eastAsia" w:eastAsia="仿宋_GB2312" w:cs="方正仿宋_GBK"/>
          <w:b w:val="0"/>
          <w:bCs w:val="0"/>
          <w:color w:val="auto"/>
          <w:highlight w:val="none"/>
          <w:lang w:eastAsia="zh-CN"/>
        </w:rPr>
        <w:t>强县、</w:t>
      </w:r>
      <w:r>
        <w:rPr>
          <w:rFonts w:hint="eastAsia" w:eastAsia="仿宋_GB2312" w:cs="方正仿宋_GBK"/>
          <w:b w:val="0"/>
          <w:bCs w:val="0"/>
          <w:color w:val="auto"/>
          <w:highlight w:val="none"/>
          <w:lang w:val="en-US" w:eastAsia="zh-CN"/>
        </w:rPr>
        <w:t>商贸物流节点</w:t>
      </w:r>
      <w:r>
        <w:rPr>
          <w:rFonts w:hint="eastAsia" w:eastAsia="仿宋_GB2312" w:cs="方正仿宋_GBK"/>
          <w:b w:val="0"/>
          <w:bCs w:val="0"/>
          <w:color w:val="auto"/>
          <w:highlight w:val="none"/>
          <w:lang w:eastAsia="zh-CN"/>
        </w:rPr>
        <w:t>县，</w:t>
      </w:r>
      <w:r>
        <w:rPr>
          <w:rFonts w:hint="eastAsia" w:ascii="Times New Roman" w:hAnsi="Times New Roman" w:eastAsia="仿宋_GB2312" w:cs="方正仿宋_GBK"/>
          <w:b w:val="0"/>
          <w:bCs w:val="0"/>
          <w:color w:val="auto"/>
          <w:highlight w:val="none"/>
          <w:lang w:val="en-US" w:eastAsia="zh-CN"/>
        </w:rPr>
        <w:t>以产业发展带动县域经济整体提升。</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9"/>
      </w:tblGrid>
      <w:tr w14:paraId="6A243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66A6F719">
            <w:pPr>
              <w:keepNext w:val="0"/>
              <w:keepLines w:val="0"/>
              <w:pageBreakBefore w:val="0"/>
              <w:kinsoku/>
              <w:wordWrap/>
              <w:topLinePunct w:val="0"/>
              <w:autoSpaceDE/>
              <w:autoSpaceDN/>
              <w:bidi w:val="0"/>
              <w:adjustRightInd/>
              <w:spacing w:line="540" w:lineRule="exact"/>
              <w:ind w:firstLine="464" w:firstLineChars="200"/>
              <w:jc w:val="center"/>
              <w:textAlignment w:val="auto"/>
              <w:rPr>
                <w:rFonts w:hint="default" w:ascii="Times New Roman" w:hAnsi="Times New Roman" w:eastAsia="方正仿宋_GBK" w:cs="Times New Roman"/>
                <w:b w:val="0"/>
                <w:bCs w:val="0"/>
                <w:sz w:val="24"/>
                <w:highlight w:val="none"/>
                <w:lang w:val="en-US"/>
              </w:rPr>
            </w:pPr>
            <w:r>
              <w:rPr>
                <w:rFonts w:hint="eastAsia" w:ascii="Times New Roman" w:hAnsi="Times New Roman" w:eastAsia="仿宋_GB2312" w:cs="Times New Roman"/>
                <w:b w:val="0"/>
                <w:bCs w:val="0"/>
                <w:sz w:val="24"/>
                <w:highlight w:val="none"/>
              </w:rPr>
              <w:t>专栏</w:t>
            </w:r>
            <w:r>
              <w:rPr>
                <w:rFonts w:hint="eastAsia" w:ascii="Times New Roman" w:hAnsi="Times New Roman" w:eastAsia="仿宋_GB2312" w:cs="Times New Roman"/>
                <w:b w:val="0"/>
                <w:bCs w:val="0"/>
                <w:sz w:val="24"/>
                <w:highlight w:val="none"/>
                <w:lang w:val="en-US" w:eastAsia="zh-CN"/>
              </w:rPr>
              <w:t>12 各旗县区功能定位</w:t>
            </w:r>
          </w:p>
        </w:tc>
      </w:tr>
      <w:tr w14:paraId="6C170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23E0928E">
            <w:pPr>
              <w:keepNext w:val="0"/>
              <w:keepLines w:val="0"/>
              <w:pageBreakBefore w:val="0"/>
              <w:kinsoku/>
              <w:wordWrap/>
              <w:topLinePunct w:val="0"/>
              <w:autoSpaceDE/>
              <w:autoSpaceDN/>
              <w:bidi w:val="0"/>
              <w:adjustRightInd/>
              <w:spacing w:line="540" w:lineRule="exact"/>
              <w:ind w:firstLine="404" w:firstLineChars="200"/>
              <w:textAlignment w:val="auto"/>
              <w:rPr>
                <w:rFonts w:hint="eastAsia" w:ascii="Times New Roman" w:hAnsi="Times New Roman" w:eastAsia="仿宋_GB2312"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现代农业强县：打造以阿鲁科尔沁旗、巴林左旗、林西县、翁牛特旗、敖汉旗、松山区等为重点的玉米优势产业带；发展以阿鲁科尔沁旗、巴林左旗、巴林右旗、林西县、克什克腾旗、翁牛特旗、松山区、敖汉旗为重点的杂粮杂豆生产区，在阿鲁科尔沁旗、巴林左旗、林西县、喀喇沁旗等旗县区重点发展中医（蒙医）药材种植，在巴林左旗重点发展笤帚苗产业。</w:t>
            </w:r>
          </w:p>
          <w:p w14:paraId="739E5882">
            <w:pPr>
              <w:keepNext w:val="0"/>
              <w:keepLines w:val="0"/>
              <w:pageBreakBefore w:val="0"/>
              <w:kinsoku/>
              <w:wordWrap/>
              <w:topLinePunct w:val="0"/>
              <w:autoSpaceDE/>
              <w:autoSpaceDN/>
              <w:bidi w:val="0"/>
              <w:adjustRightInd/>
              <w:spacing w:line="540" w:lineRule="exact"/>
              <w:ind w:firstLine="404" w:firstLineChars="200"/>
              <w:textAlignment w:val="auto"/>
              <w:rPr>
                <w:rFonts w:hint="eastAsia" w:ascii="Times New Roman" w:hAnsi="Times New Roman" w:eastAsia="仿宋_GB2312"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现代牧业强县：支持阿鲁科尔沁旗、巴林左旗、巴林右旗、克什克腾旗、翁牛特旗、敖汉旗等旗县区，发挥养殖基础好的优势，重点发展肉牛、肉羊、绒山羊等优势畜牧业，推进标准化规模养殖；以敖汉旗、宁城县、巴林右旗、翁牛特旗、松山区为中心，延伸发展畜产品精深加工和冷链物流，打造畜产品生产加工基地。</w:t>
            </w:r>
          </w:p>
          <w:p w14:paraId="7538BC16">
            <w:pPr>
              <w:keepNext w:val="0"/>
              <w:keepLines w:val="0"/>
              <w:pageBreakBefore w:val="0"/>
              <w:kinsoku/>
              <w:wordWrap/>
              <w:topLinePunct w:val="0"/>
              <w:autoSpaceDE/>
              <w:autoSpaceDN/>
              <w:bidi w:val="0"/>
              <w:adjustRightInd/>
              <w:spacing w:line="540" w:lineRule="exact"/>
              <w:ind w:firstLine="404" w:firstLineChars="200"/>
              <w:textAlignment w:val="auto"/>
              <w:rPr>
                <w:rFonts w:hint="eastAsia" w:ascii="Times New Roman" w:hAnsi="Times New Roman" w:eastAsia="仿宋_GB2312"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现代工业强县：支持元宝山区、松山区、红山区、宁城县、敖汉旗、林西县、克什克腾旗等旗县区，依托资源能源优势，聚焦新能源、新材料、有色金属精深加工、化工、农畜产品加工等特色优势产业，承接产业梯度转移，培育产业集群，提升工业发展能级和竞争力。</w:t>
            </w:r>
          </w:p>
          <w:p w14:paraId="6D1FE7A9">
            <w:pPr>
              <w:keepNext w:val="0"/>
              <w:keepLines w:val="0"/>
              <w:pageBreakBefore w:val="0"/>
              <w:kinsoku/>
              <w:wordWrap/>
              <w:topLinePunct w:val="0"/>
              <w:autoSpaceDE/>
              <w:autoSpaceDN/>
              <w:bidi w:val="0"/>
              <w:adjustRightInd/>
              <w:spacing w:line="540" w:lineRule="exact"/>
              <w:ind w:firstLine="404" w:firstLineChars="200"/>
              <w:textAlignment w:val="auto"/>
              <w:rPr>
                <w:rFonts w:hint="eastAsia" w:ascii="Times New Roman" w:hAnsi="Times New Roman" w:eastAsia="仿宋_GB2312"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现代旅游强县：支持克什克腾旗、喀喇沁旗、翁牛特旗、宁城县等旗县区，充分发挥自然生态和历史文化遗产优势，完善旅游基础设施和服务体系，打造核心景区和精品线路，发展四季旅游。</w:t>
            </w:r>
          </w:p>
          <w:p w14:paraId="25169780">
            <w:pPr>
              <w:keepNext w:val="0"/>
              <w:keepLines w:val="0"/>
              <w:pageBreakBefore w:val="0"/>
              <w:kinsoku/>
              <w:wordWrap/>
              <w:topLinePunct w:val="0"/>
              <w:autoSpaceDE/>
              <w:autoSpaceDN/>
              <w:bidi w:val="0"/>
              <w:adjustRightInd/>
              <w:spacing w:line="540" w:lineRule="exact"/>
              <w:ind w:firstLine="404" w:firstLineChars="200"/>
              <w:textAlignment w:val="auto"/>
              <w:rPr>
                <w:rFonts w:hint="eastAsia" w:ascii="Times New Roman" w:hAnsi="Times New Roman" w:eastAsia="仿宋_GB2312"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商贸物流节点县：支持松山区、红山区、宁城县、元宝山区、巴林右旗等交通区位优势明显的地区，建设区域性物流枢纽、专业市场、电商集散中心，发展枢纽经济。</w:t>
            </w:r>
          </w:p>
          <w:p w14:paraId="0E33A883">
            <w:pPr>
              <w:keepNext w:val="0"/>
              <w:keepLines w:val="0"/>
              <w:pageBreakBefore w:val="0"/>
              <w:kinsoku/>
              <w:wordWrap/>
              <w:topLinePunct w:val="0"/>
              <w:autoSpaceDE/>
              <w:autoSpaceDN/>
              <w:bidi w:val="0"/>
              <w:adjustRightInd/>
              <w:spacing w:line="540" w:lineRule="exact"/>
              <w:ind w:firstLine="404" w:firstLineChars="200"/>
              <w:textAlignment w:val="auto"/>
              <w:rPr>
                <w:rFonts w:hint="default" w:ascii="Times New Roman" w:hAnsi="Times New Roman" w:eastAsia="方正仿宋_GBK"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生态功能县：强化克什克腾旗、阿鲁科尔沁旗、巴林右旗、喀喇沁旗、翁牛特旗等生态敏感区域保护职责，重点发展生态旅游、林下经济、清洁能源等绿色产业，守护好绿水青山。</w:t>
            </w:r>
          </w:p>
        </w:tc>
      </w:tr>
    </w:tbl>
    <w:p w14:paraId="6EE13FDE">
      <w:pPr>
        <w:keepNext w:val="0"/>
        <w:keepLines w:val="0"/>
        <w:pageBreakBefore w:val="0"/>
        <w:shd w:val="clear" w:color="auto" w:fill="auto"/>
        <w:kinsoku/>
        <w:wordWrap/>
        <w:topLinePunct w:val="0"/>
        <w:autoSpaceDE/>
        <w:autoSpaceDN/>
        <w:bidi w:val="0"/>
        <w:adjustRightInd/>
        <w:spacing w:line="540" w:lineRule="exact"/>
        <w:textAlignment w:val="auto"/>
        <w:rPr>
          <w:rFonts w:hint="eastAsia"/>
          <w:b w:val="0"/>
          <w:bCs w:val="0"/>
          <w:highlight w:val="none"/>
          <w:lang w:eastAsia="zh-CN"/>
        </w:rPr>
      </w:pPr>
    </w:p>
    <w:p w14:paraId="52D22161">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rPr>
      </w:pPr>
      <w:bookmarkStart w:id="510" w:name="_Toc16281"/>
      <w:r>
        <w:rPr>
          <w:rFonts w:hint="eastAsia" w:ascii="Times New Roman" w:hAnsi="Times New Roman" w:eastAsia="仿宋_GB2312" w:cs="方正仿宋_GBK"/>
          <w:b w:val="0"/>
          <w:bCs w:val="0"/>
          <w:color w:val="auto"/>
          <w:highlight w:val="none"/>
        </w:rPr>
        <w:t>激发县域经济发展活力</w:t>
      </w:r>
      <w:bookmarkEnd w:id="510"/>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推动各类开发区、产业园区提档升级，明确主导产业，完善基础设施和配套服务。支持有条件的园区创建国家级、自治区级高新区、经开区。鼓励旗县区之间通过</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飞地经济</w:t>
      </w:r>
      <w:r>
        <w:rPr>
          <w:rFonts w:hint="eastAsia" w:ascii="Times New Roman" w:hAnsi="Times New Roman" w:eastAsia="仿宋_GB2312" w:cs="方正仿宋_GBK"/>
          <w:b w:val="0"/>
          <w:bCs w:val="0"/>
          <w:color w:val="auto"/>
          <w:highlight w:val="none"/>
          <w:lang w:eastAsia="zh-CN"/>
        </w:rPr>
        <w:t>”</w:t>
      </w:r>
      <w:r>
        <w:rPr>
          <w:rFonts w:hint="eastAsia" w:eastAsia="仿宋_GB2312" w:cs="方正仿宋_GBK"/>
          <w:b w:val="0"/>
          <w:bCs w:val="0"/>
          <w:color w:val="auto"/>
          <w:highlight w:val="none"/>
          <w:lang w:val="en-US" w:eastAsia="zh-CN"/>
        </w:rPr>
        <w:t>加强合作</w:t>
      </w:r>
      <w:r>
        <w:rPr>
          <w:rFonts w:hint="eastAsia" w:ascii="Times New Roman" w:hAnsi="Times New Roman" w:eastAsia="仿宋_GB2312" w:cs="方正仿宋_GBK"/>
          <w:b w:val="0"/>
          <w:bCs w:val="0"/>
          <w:color w:val="auto"/>
          <w:highlight w:val="none"/>
        </w:rPr>
        <w:t>，优化产业布局。扩大县域经济社会发展自主权，深化</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放管服</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改革，打造一流营商环境。鼓励旗县区大胆探索、改革创新，形成各具特色的发展模式。强化招商引资，吸引社会资本参与县域经济发展。</w:t>
      </w:r>
    </w:p>
    <w:p w14:paraId="30C80DFE">
      <w:pPr>
        <w:keepNext w:val="0"/>
        <w:keepLines w:val="0"/>
        <w:pageBreakBefore w:val="0"/>
        <w:widowControl/>
        <w:numPr>
          <w:ilvl w:val="0"/>
          <w:numId w:val="6"/>
        </w:numPr>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511" w:name="_Toc7830"/>
      <w:bookmarkStart w:id="512" w:name="_Toc11760"/>
      <w:bookmarkStart w:id="513" w:name="_Toc16586"/>
      <w:bookmarkStart w:id="514" w:name="_Toc10984"/>
      <w:bookmarkStart w:id="515" w:name="_Toc4234"/>
      <w:bookmarkStart w:id="516" w:name="_Toc22148"/>
      <w:bookmarkStart w:id="517" w:name="_Toc9292"/>
      <w:bookmarkStart w:id="518" w:name="_Toc12536"/>
      <w:bookmarkStart w:id="519" w:name="_Toc28681"/>
      <w:bookmarkStart w:id="520" w:name="_Toc7115"/>
      <w:bookmarkStart w:id="521" w:name="_Toc23219"/>
      <w:bookmarkStart w:id="522" w:name="_Toc21240"/>
      <w:bookmarkStart w:id="523" w:name="_Toc7063"/>
      <w:bookmarkStart w:id="524" w:name="_Toc6210"/>
      <w:r>
        <w:rPr>
          <w:rFonts w:hint="eastAsia" w:ascii="楷体_GB2312" w:hAnsi="楷体_GB2312" w:eastAsia="楷体_GB2312" w:cs="楷体_GB2312"/>
          <w:b w:val="0"/>
          <w:bCs w:val="0"/>
          <w:color w:val="auto"/>
          <w:sz w:val="32"/>
          <w:szCs w:val="40"/>
          <w:highlight w:val="none"/>
          <w:lang w:val="en-US" w:eastAsia="zh-CN"/>
        </w:rPr>
        <w:t>推动城乡融合发展</w:t>
      </w:r>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p>
    <w:p w14:paraId="2B4166AF">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color w:val="auto"/>
          <w:highlight w:val="none"/>
        </w:rPr>
        <w:t>坚持以工补农、以城带乡，促进城乡要素平等交换、双向流动和公共资源合理配置，加快形成工农互促、城乡互补、协调发展、共同繁荣的新型工农城乡关系。</w:t>
      </w:r>
    </w:p>
    <w:p w14:paraId="6D74C28D">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rPr>
      </w:pPr>
      <w:bookmarkStart w:id="525" w:name="_Toc9799"/>
      <w:r>
        <w:rPr>
          <w:rFonts w:hint="eastAsia" w:ascii="Times New Roman" w:hAnsi="Times New Roman" w:eastAsia="仿宋_GB2312" w:cs="方正仿宋_GBK"/>
          <w:b w:val="0"/>
          <w:bCs w:val="0"/>
          <w:color w:val="auto"/>
          <w:highlight w:val="none"/>
        </w:rPr>
        <w:t>健全农</w:t>
      </w:r>
      <w:r>
        <w:rPr>
          <w:rFonts w:hint="eastAsia" w:eastAsia="仿宋_GB2312" w:cs="方正仿宋_GBK"/>
          <w:b w:val="0"/>
          <w:bCs w:val="0"/>
          <w:color w:val="auto"/>
          <w:highlight w:val="none"/>
          <w:lang w:val="en-US" w:eastAsia="zh-CN"/>
        </w:rPr>
        <w:t>牧</w:t>
      </w:r>
      <w:r>
        <w:rPr>
          <w:rFonts w:hint="eastAsia" w:ascii="Times New Roman" w:hAnsi="Times New Roman" w:eastAsia="仿宋_GB2312" w:cs="方正仿宋_GBK"/>
          <w:b w:val="0"/>
          <w:bCs w:val="0"/>
          <w:color w:val="auto"/>
          <w:highlight w:val="none"/>
        </w:rPr>
        <w:t>业转移人口市民化机制</w:t>
      </w:r>
      <w:bookmarkEnd w:id="525"/>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深入实施新一轮</w:t>
      </w:r>
      <w:r>
        <w:rPr>
          <w:rFonts w:hint="eastAsia" w:eastAsia="仿宋_GB2312" w:cs="方正仿宋_GBK"/>
          <w:b w:val="0"/>
          <w:bCs w:val="0"/>
          <w:color w:val="auto"/>
          <w:highlight w:val="none"/>
          <w:lang w:eastAsia="zh-CN"/>
        </w:rPr>
        <w:t>农牧业转移人口市民化</w:t>
      </w:r>
      <w:r>
        <w:rPr>
          <w:rFonts w:hint="eastAsia" w:ascii="Times New Roman" w:hAnsi="Times New Roman" w:eastAsia="仿宋_GB2312" w:cs="方正仿宋_GBK"/>
          <w:b w:val="0"/>
          <w:bCs w:val="0"/>
          <w:color w:val="auto"/>
          <w:highlight w:val="none"/>
        </w:rPr>
        <w:t>行动，深化户籍制度改革，进一步放宽落户条件，简化落户程序，确保有意愿、有能力在城镇稳定就业和生活的农业转移人口及其随迁家属便捷落户。</w:t>
      </w:r>
      <w:r>
        <w:rPr>
          <w:rFonts w:hint="eastAsia" w:eastAsia="仿宋_GB2312" w:cs="方正仿宋_GBK"/>
          <w:b w:val="0"/>
          <w:bCs w:val="0"/>
          <w:color w:val="auto"/>
          <w:highlight w:val="none"/>
          <w:lang w:val="en-US" w:eastAsia="zh-CN"/>
        </w:rPr>
        <w:t>落实</w:t>
      </w:r>
      <w:r>
        <w:rPr>
          <w:rFonts w:hint="eastAsia" w:ascii="Times New Roman" w:hAnsi="Times New Roman" w:eastAsia="仿宋_GB2312" w:cs="方正仿宋_GBK"/>
          <w:b w:val="0"/>
          <w:bCs w:val="0"/>
          <w:color w:val="auto"/>
          <w:highlight w:val="none"/>
        </w:rPr>
        <w:t>常住地提供基本公共服务机制，推动城镇基本公共服务覆盖全部常住人口</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保障未落户常住人口平等享有教育、就业、医疗卫生、社会保障等基本公共服务。促进农业转移人口在城镇稳定就业，保障随迁子女平等享有受教育权利，完善农业转移人口多元化住房保障体系</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完善财政转移支付与</w:t>
      </w:r>
      <w:r>
        <w:rPr>
          <w:rFonts w:hint="eastAsia" w:eastAsia="仿宋_GB2312" w:cs="方正仿宋_GBK"/>
          <w:b w:val="0"/>
          <w:bCs w:val="0"/>
          <w:color w:val="auto"/>
          <w:highlight w:val="none"/>
          <w:lang w:eastAsia="zh-CN"/>
        </w:rPr>
        <w:t>农牧业转移人口市民化</w:t>
      </w:r>
      <w:r>
        <w:rPr>
          <w:rFonts w:hint="eastAsia" w:ascii="Times New Roman" w:hAnsi="Times New Roman" w:eastAsia="仿宋_GB2312" w:cs="方正仿宋_GBK"/>
          <w:b w:val="0"/>
          <w:bCs w:val="0"/>
          <w:color w:val="auto"/>
          <w:highlight w:val="none"/>
        </w:rPr>
        <w:t>挂钩机制。维护进城落户农民的土地承包权、宅基地使用权、集体收益分配权，支持依法自愿有偿转让上述权益，消除农</w:t>
      </w:r>
      <w:r>
        <w:rPr>
          <w:rFonts w:hint="eastAsia" w:ascii="Times New Roman" w:hAnsi="Times New Roman" w:eastAsia="仿宋_GB2312" w:cs="方正仿宋_GBK"/>
          <w:b w:val="0"/>
          <w:bCs w:val="0"/>
          <w:color w:val="auto"/>
          <w:highlight w:val="none"/>
          <w:lang w:eastAsia="zh-CN"/>
        </w:rPr>
        <w:t>牧</w:t>
      </w:r>
      <w:r>
        <w:rPr>
          <w:rFonts w:hint="eastAsia" w:ascii="Times New Roman" w:hAnsi="Times New Roman" w:eastAsia="仿宋_GB2312" w:cs="方正仿宋_GBK"/>
          <w:b w:val="0"/>
          <w:bCs w:val="0"/>
          <w:color w:val="auto"/>
          <w:highlight w:val="none"/>
        </w:rPr>
        <w:t>民进城落户的后顾之忧。</w:t>
      </w:r>
    </w:p>
    <w:p w14:paraId="07F5F963">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rPr>
      </w:pPr>
      <w:bookmarkStart w:id="526" w:name="_Toc4659"/>
      <w:r>
        <w:rPr>
          <w:rFonts w:hint="eastAsia" w:ascii="Times New Roman" w:hAnsi="Times New Roman" w:eastAsia="仿宋_GB2312" w:cs="方正仿宋_GBK"/>
          <w:b w:val="0"/>
          <w:bCs w:val="0"/>
          <w:color w:val="auto"/>
          <w:highlight w:val="none"/>
          <w:lang w:val="en-US" w:eastAsia="zh-CN"/>
        </w:rPr>
        <w:t>推动城乡基础设施和公共服务统筹发展</w:t>
      </w:r>
      <w:bookmarkEnd w:id="526"/>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rPr>
        <w:t>推进城乡空间融合，</w:t>
      </w:r>
      <w:r>
        <w:rPr>
          <w:rFonts w:hint="eastAsia" w:eastAsia="仿宋_GB2312" w:cs="方正仿宋_GBK"/>
          <w:b w:val="0"/>
          <w:bCs w:val="0"/>
          <w:color w:val="auto"/>
          <w:highlight w:val="none"/>
          <w:lang w:val="en-US" w:eastAsia="zh-CN"/>
        </w:rPr>
        <w:t>保持</w:t>
      </w:r>
      <w:r>
        <w:rPr>
          <w:rFonts w:hint="eastAsia" w:ascii="Times New Roman" w:hAnsi="Times New Roman" w:eastAsia="仿宋_GB2312" w:cs="方正仿宋_GBK"/>
          <w:b w:val="0"/>
          <w:bCs w:val="0"/>
          <w:color w:val="auto"/>
          <w:highlight w:val="none"/>
        </w:rPr>
        <w:t>城乡发展均衡性与协调性。加强城乡基础设施建设，</w:t>
      </w:r>
      <w:r>
        <w:rPr>
          <w:rFonts w:hint="eastAsia" w:eastAsia="仿宋_GB2312" w:cs="方正仿宋_GBK"/>
          <w:b w:val="0"/>
          <w:bCs w:val="0"/>
          <w:color w:val="auto"/>
          <w:highlight w:val="none"/>
          <w:lang w:val="en-US" w:eastAsia="zh-CN"/>
        </w:rPr>
        <w:t>加快补齐县城和农村牧区基础设施短板，</w:t>
      </w:r>
      <w:r>
        <w:rPr>
          <w:rFonts w:hint="eastAsia" w:ascii="Times New Roman" w:hAnsi="Times New Roman" w:eastAsia="仿宋_GB2312" w:cs="方正仿宋_GBK"/>
          <w:b w:val="0"/>
          <w:bCs w:val="0"/>
          <w:color w:val="auto"/>
          <w:highlight w:val="none"/>
        </w:rPr>
        <w:t>统筹规划城乡道路、供水、供电、通信、垃圾污水处理等基础设施</w:t>
      </w:r>
      <w:r>
        <w:rPr>
          <w:rFonts w:hint="eastAsia" w:ascii="Times New Roman" w:hAnsi="Times New Roman" w:eastAsia="仿宋_GB2312" w:cs="方正仿宋_GBK"/>
          <w:b w:val="0"/>
          <w:bCs w:val="0"/>
          <w:color w:val="auto"/>
          <w:highlight w:val="none"/>
          <w:lang w:eastAsia="zh-CN"/>
        </w:rPr>
        <w:t>建设，</w:t>
      </w:r>
      <w:r>
        <w:rPr>
          <w:rFonts w:hint="eastAsia" w:ascii="Times New Roman" w:hAnsi="Times New Roman" w:eastAsia="仿宋_GB2312" w:cs="方正仿宋_GBK"/>
          <w:b w:val="0"/>
          <w:bCs w:val="0"/>
          <w:color w:val="auto"/>
          <w:highlight w:val="none"/>
        </w:rPr>
        <w:t>打造覆盖城乡、高效运行的基础设施体系。推广政府和社会资本合作模式，吸引社会资本参与农村基础设施建设和管护。建立城乡教育资源均衡配置机制，鼓励城区优质学校与</w:t>
      </w:r>
      <w:r>
        <w:rPr>
          <w:rFonts w:hint="eastAsia" w:eastAsia="仿宋_GB2312" w:cs="方正仿宋_GBK"/>
          <w:b w:val="0"/>
          <w:bCs w:val="0"/>
          <w:color w:val="auto"/>
          <w:highlight w:val="none"/>
          <w:lang w:val="en-US" w:eastAsia="zh-CN"/>
        </w:rPr>
        <w:t>农村牧区</w:t>
      </w:r>
      <w:r>
        <w:rPr>
          <w:rFonts w:hint="eastAsia" w:ascii="Times New Roman" w:hAnsi="Times New Roman" w:eastAsia="仿宋_GB2312" w:cs="方正仿宋_GBK"/>
          <w:b w:val="0"/>
          <w:bCs w:val="0"/>
          <w:color w:val="auto"/>
          <w:highlight w:val="none"/>
        </w:rPr>
        <w:t>学校结对共建，推动教师交流轮岗。健全城乡医疗卫生服务体系，推进紧密型县域医共体建设，提高</w:t>
      </w:r>
      <w:r>
        <w:rPr>
          <w:rFonts w:hint="eastAsia" w:eastAsia="仿宋_GB2312" w:cs="方正仿宋_GBK"/>
          <w:b w:val="0"/>
          <w:bCs w:val="0"/>
          <w:color w:val="auto"/>
          <w:highlight w:val="none"/>
          <w:lang w:val="en-US" w:eastAsia="zh-CN"/>
        </w:rPr>
        <w:t>农村牧区</w:t>
      </w:r>
      <w:r>
        <w:rPr>
          <w:rFonts w:hint="eastAsia" w:ascii="Times New Roman" w:hAnsi="Times New Roman" w:eastAsia="仿宋_GB2312" w:cs="方正仿宋_GBK"/>
          <w:b w:val="0"/>
          <w:bCs w:val="0"/>
          <w:color w:val="auto"/>
          <w:highlight w:val="none"/>
        </w:rPr>
        <w:t>医疗卫生服务能力。完善城乡统一的社会保险制度，提高统筹层次。统筹城乡社会救助体系，做好困难群众基本生活保障。推动养老服务网络向</w:t>
      </w:r>
      <w:r>
        <w:rPr>
          <w:rFonts w:hint="eastAsia" w:eastAsia="仿宋_GB2312" w:cs="方正仿宋_GBK"/>
          <w:b w:val="0"/>
          <w:bCs w:val="0"/>
          <w:color w:val="auto"/>
          <w:highlight w:val="none"/>
          <w:lang w:val="en-US" w:eastAsia="zh-CN"/>
        </w:rPr>
        <w:t>农村牧区</w:t>
      </w:r>
      <w:r>
        <w:rPr>
          <w:rFonts w:hint="eastAsia" w:ascii="Times New Roman" w:hAnsi="Times New Roman" w:eastAsia="仿宋_GB2312" w:cs="方正仿宋_GBK"/>
          <w:b w:val="0"/>
          <w:bCs w:val="0"/>
          <w:color w:val="auto"/>
          <w:highlight w:val="none"/>
        </w:rPr>
        <w:t>延伸。</w:t>
      </w:r>
    </w:p>
    <w:p w14:paraId="0B62E257">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rPr>
      </w:pPr>
      <w:bookmarkStart w:id="527" w:name="_Toc12931"/>
      <w:r>
        <w:rPr>
          <w:rFonts w:hint="eastAsia" w:ascii="Times New Roman" w:hAnsi="Times New Roman" w:eastAsia="仿宋_GB2312" w:cs="方正仿宋_GBK"/>
          <w:b w:val="0"/>
          <w:bCs w:val="0"/>
          <w:color w:val="auto"/>
          <w:highlight w:val="none"/>
        </w:rPr>
        <w:t>畅通城乡要素双向流动通道</w:t>
      </w:r>
      <w:bookmarkEnd w:id="527"/>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打破城乡分割格局，推动土地、劳动力、资本、技术等要素在城乡之间自由流动</w:t>
      </w:r>
      <w:r>
        <w:rPr>
          <w:rFonts w:hint="eastAsia" w:eastAsia="仿宋_GB2312" w:cs="方正仿宋_GBK"/>
          <w:b w:val="0"/>
          <w:bCs w:val="0"/>
          <w:color w:val="auto"/>
          <w:highlight w:val="none"/>
          <w:lang w:eastAsia="zh-CN"/>
        </w:rPr>
        <w:t>，</w:t>
      </w:r>
      <w:r>
        <w:rPr>
          <w:rFonts w:hint="eastAsia" w:eastAsia="仿宋_GB2312" w:cs="方正仿宋_GBK"/>
          <w:b w:val="0"/>
          <w:bCs w:val="0"/>
          <w:color w:val="auto"/>
          <w:highlight w:val="none"/>
          <w:lang w:val="en-US" w:eastAsia="zh-CN"/>
        </w:rPr>
        <w:t>实现要素</w:t>
      </w:r>
      <w:r>
        <w:rPr>
          <w:rFonts w:hint="eastAsia" w:ascii="Times New Roman" w:hAnsi="Times New Roman" w:eastAsia="仿宋_GB2312" w:cs="方正仿宋_GBK"/>
          <w:b w:val="0"/>
          <w:bCs w:val="0"/>
          <w:color w:val="auto"/>
          <w:highlight w:val="none"/>
        </w:rPr>
        <w:t>最优配置。引导城市资本、技术等要素向农村</w:t>
      </w:r>
      <w:r>
        <w:rPr>
          <w:rFonts w:hint="eastAsia" w:eastAsia="仿宋_GB2312" w:cs="方正仿宋_GBK"/>
          <w:b w:val="0"/>
          <w:bCs w:val="0"/>
          <w:color w:val="auto"/>
          <w:highlight w:val="none"/>
          <w:lang w:val="en-US" w:eastAsia="zh-CN"/>
        </w:rPr>
        <w:t>牧区</w:t>
      </w:r>
      <w:r>
        <w:rPr>
          <w:rFonts w:hint="eastAsia" w:ascii="Times New Roman" w:hAnsi="Times New Roman" w:eastAsia="仿宋_GB2312" w:cs="方正仿宋_GBK"/>
          <w:b w:val="0"/>
          <w:bCs w:val="0"/>
          <w:color w:val="auto"/>
          <w:highlight w:val="none"/>
        </w:rPr>
        <w:t>流动，结合农村</w:t>
      </w:r>
      <w:r>
        <w:rPr>
          <w:rFonts w:hint="eastAsia" w:eastAsia="仿宋_GB2312" w:cs="方正仿宋_GBK"/>
          <w:b w:val="0"/>
          <w:bCs w:val="0"/>
          <w:color w:val="auto"/>
          <w:highlight w:val="none"/>
          <w:lang w:val="en-US" w:eastAsia="zh-CN"/>
        </w:rPr>
        <w:t>牧区</w:t>
      </w:r>
      <w:r>
        <w:rPr>
          <w:rFonts w:hint="eastAsia" w:ascii="Times New Roman" w:hAnsi="Times New Roman" w:eastAsia="仿宋_GB2312" w:cs="方正仿宋_GBK"/>
          <w:b w:val="0"/>
          <w:bCs w:val="0"/>
          <w:color w:val="auto"/>
          <w:highlight w:val="none"/>
        </w:rPr>
        <w:t>资源</w:t>
      </w:r>
      <w:r>
        <w:rPr>
          <w:rFonts w:hint="eastAsia" w:eastAsia="仿宋_GB2312" w:cs="方正仿宋_GBK"/>
          <w:b w:val="0"/>
          <w:bCs w:val="0"/>
          <w:color w:val="auto"/>
          <w:highlight w:val="none"/>
          <w:lang w:val="en-US" w:eastAsia="zh-CN"/>
        </w:rPr>
        <w:t>优势</w:t>
      </w:r>
      <w:r>
        <w:rPr>
          <w:rFonts w:hint="eastAsia" w:ascii="Times New Roman" w:hAnsi="Times New Roman" w:eastAsia="仿宋_GB2312" w:cs="方正仿宋_GBK"/>
          <w:b w:val="0"/>
          <w:bCs w:val="0"/>
          <w:color w:val="auto"/>
          <w:highlight w:val="none"/>
        </w:rPr>
        <w:t>，发展生态农</w:t>
      </w:r>
      <w:r>
        <w:rPr>
          <w:rFonts w:hint="eastAsia" w:eastAsia="仿宋_GB2312" w:cs="方正仿宋_GBK"/>
          <w:b w:val="0"/>
          <w:bCs w:val="0"/>
          <w:color w:val="auto"/>
          <w:highlight w:val="none"/>
          <w:lang w:val="en-US" w:eastAsia="zh-CN"/>
        </w:rPr>
        <w:t>牧</w:t>
      </w:r>
      <w:r>
        <w:rPr>
          <w:rFonts w:hint="eastAsia" w:ascii="Times New Roman" w:hAnsi="Times New Roman" w:eastAsia="仿宋_GB2312" w:cs="方正仿宋_GBK"/>
          <w:b w:val="0"/>
          <w:bCs w:val="0"/>
          <w:color w:val="auto"/>
          <w:highlight w:val="none"/>
        </w:rPr>
        <w:t>业、循环农</w:t>
      </w:r>
      <w:r>
        <w:rPr>
          <w:rFonts w:hint="eastAsia" w:eastAsia="仿宋_GB2312" w:cs="方正仿宋_GBK"/>
          <w:b w:val="0"/>
          <w:bCs w:val="0"/>
          <w:color w:val="auto"/>
          <w:highlight w:val="none"/>
          <w:lang w:val="en-US" w:eastAsia="zh-CN"/>
        </w:rPr>
        <w:t>牧</w:t>
      </w:r>
      <w:r>
        <w:rPr>
          <w:rFonts w:hint="eastAsia" w:ascii="Times New Roman" w:hAnsi="Times New Roman" w:eastAsia="仿宋_GB2312" w:cs="方正仿宋_GBK"/>
          <w:b w:val="0"/>
          <w:bCs w:val="0"/>
          <w:color w:val="auto"/>
          <w:highlight w:val="none"/>
        </w:rPr>
        <w:t>业等新型农</w:t>
      </w:r>
      <w:r>
        <w:rPr>
          <w:rFonts w:hint="eastAsia" w:eastAsia="仿宋_GB2312" w:cs="方正仿宋_GBK"/>
          <w:b w:val="0"/>
          <w:bCs w:val="0"/>
          <w:color w:val="auto"/>
          <w:highlight w:val="none"/>
          <w:lang w:val="en-US" w:eastAsia="zh-CN"/>
        </w:rPr>
        <w:t>牧</w:t>
      </w:r>
      <w:r>
        <w:rPr>
          <w:rFonts w:hint="eastAsia" w:ascii="Times New Roman" w:hAnsi="Times New Roman" w:eastAsia="仿宋_GB2312" w:cs="方正仿宋_GBK"/>
          <w:b w:val="0"/>
          <w:bCs w:val="0"/>
          <w:color w:val="auto"/>
          <w:highlight w:val="none"/>
        </w:rPr>
        <w:t>业形态，提升</w:t>
      </w:r>
      <w:r>
        <w:rPr>
          <w:rFonts w:hint="eastAsia" w:eastAsia="仿宋_GB2312" w:cs="方正仿宋_GBK"/>
          <w:b w:val="0"/>
          <w:bCs w:val="0"/>
          <w:color w:val="auto"/>
          <w:highlight w:val="none"/>
          <w:lang w:val="en-US" w:eastAsia="zh-CN"/>
        </w:rPr>
        <w:t>产业</w:t>
      </w:r>
      <w:r>
        <w:rPr>
          <w:rFonts w:hint="eastAsia" w:ascii="Times New Roman" w:hAnsi="Times New Roman" w:eastAsia="仿宋_GB2312" w:cs="方正仿宋_GBK"/>
          <w:b w:val="0"/>
          <w:bCs w:val="0"/>
          <w:color w:val="auto"/>
          <w:highlight w:val="none"/>
        </w:rPr>
        <w:t>附加值，促进农民增收。打破城乡人才流动壁垒，促进人才双向流动与合理配置，鼓励城市优秀人才下乡服务，为农村</w:t>
      </w:r>
      <w:r>
        <w:rPr>
          <w:rFonts w:hint="eastAsia" w:eastAsia="仿宋_GB2312" w:cs="方正仿宋_GBK"/>
          <w:b w:val="0"/>
          <w:bCs w:val="0"/>
          <w:color w:val="auto"/>
          <w:highlight w:val="none"/>
          <w:lang w:val="en-US" w:eastAsia="zh-CN"/>
        </w:rPr>
        <w:t>牧区</w:t>
      </w:r>
      <w:r>
        <w:rPr>
          <w:rFonts w:hint="eastAsia" w:ascii="Times New Roman" w:hAnsi="Times New Roman" w:eastAsia="仿宋_GB2312" w:cs="方正仿宋_GBK"/>
          <w:b w:val="0"/>
          <w:bCs w:val="0"/>
          <w:color w:val="auto"/>
          <w:highlight w:val="none"/>
        </w:rPr>
        <w:t>提供教育、医疗、科技等方面的支持，提升农村</w:t>
      </w:r>
      <w:r>
        <w:rPr>
          <w:rFonts w:hint="eastAsia" w:eastAsia="仿宋_GB2312" w:cs="方正仿宋_GBK"/>
          <w:b w:val="0"/>
          <w:bCs w:val="0"/>
          <w:color w:val="auto"/>
          <w:highlight w:val="none"/>
          <w:lang w:val="en-US" w:eastAsia="zh-CN"/>
        </w:rPr>
        <w:t>牧区</w:t>
      </w:r>
      <w:r>
        <w:rPr>
          <w:rFonts w:hint="eastAsia" w:ascii="Times New Roman" w:hAnsi="Times New Roman" w:eastAsia="仿宋_GB2312" w:cs="方正仿宋_GBK"/>
          <w:b w:val="0"/>
          <w:bCs w:val="0"/>
          <w:color w:val="auto"/>
          <w:highlight w:val="none"/>
        </w:rPr>
        <w:t>公共服务水平</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加强农村</w:t>
      </w:r>
      <w:r>
        <w:rPr>
          <w:rFonts w:hint="eastAsia" w:eastAsia="仿宋_GB2312" w:cs="方正仿宋_GBK"/>
          <w:b w:val="0"/>
          <w:bCs w:val="0"/>
          <w:color w:val="auto"/>
          <w:highlight w:val="none"/>
          <w:lang w:val="en-US" w:eastAsia="zh-CN"/>
        </w:rPr>
        <w:t>牧区</w:t>
      </w:r>
      <w:r>
        <w:rPr>
          <w:rFonts w:hint="eastAsia" w:ascii="Times New Roman" w:hAnsi="Times New Roman" w:eastAsia="仿宋_GB2312" w:cs="方正仿宋_GBK"/>
          <w:b w:val="0"/>
          <w:bCs w:val="0"/>
          <w:color w:val="auto"/>
          <w:highlight w:val="none"/>
        </w:rPr>
        <w:t>人才培养与引进，通过提供培训、创业扶持等举措，吸引更多青年返乡创业，为农村</w:t>
      </w:r>
      <w:r>
        <w:rPr>
          <w:rFonts w:hint="eastAsia" w:eastAsia="仿宋_GB2312" w:cs="方正仿宋_GBK"/>
          <w:b w:val="0"/>
          <w:bCs w:val="0"/>
          <w:color w:val="auto"/>
          <w:highlight w:val="none"/>
          <w:lang w:val="en-US" w:eastAsia="zh-CN"/>
        </w:rPr>
        <w:t>牧区</w:t>
      </w:r>
      <w:r>
        <w:rPr>
          <w:rFonts w:hint="eastAsia" w:ascii="Times New Roman" w:hAnsi="Times New Roman" w:eastAsia="仿宋_GB2312" w:cs="方正仿宋_GBK"/>
          <w:b w:val="0"/>
          <w:bCs w:val="0"/>
          <w:color w:val="auto"/>
          <w:highlight w:val="none"/>
        </w:rPr>
        <w:t>经济发展注入新的动力。建立健全城乡资金流动机制，鼓励农村</w:t>
      </w:r>
      <w:r>
        <w:rPr>
          <w:rFonts w:hint="eastAsia" w:eastAsia="仿宋_GB2312" w:cs="方正仿宋_GBK"/>
          <w:b w:val="0"/>
          <w:bCs w:val="0"/>
          <w:color w:val="auto"/>
          <w:highlight w:val="none"/>
          <w:lang w:val="en-US" w:eastAsia="zh-CN"/>
        </w:rPr>
        <w:t>牧区</w:t>
      </w:r>
      <w:r>
        <w:rPr>
          <w:rFonts w:hint="eastAsia" w:ascii="Times New Roman" w:hAnsi="Times New Roman" w:eastAsia="仿宋_GB2312" w:cs="方正仿宋_GBK"/>
          <w:b w:val="0"/>
          <w:bCs w:val="0"/>
          <w:color w:val="auto"/>
          <w:highlight w:val="none"/>
        </w:rPr>
        <w:t>利用自身优势资源，通过股份合作等方式拓宽融资渠道，</w:t>
      </w:r>
      <w:r>
        <w:rPr>
          <w:rFonts w:hint="eastAsia" w:eastAsia="仿宋_GB2312" w:cs="方正仿宋_GBK"/>
          <w:b w:val="0"/>
          <w:bCs w:val="0"/>
          <w:color w:val="auto"/>
          <w:highlight w:val="none"/>
          <w:lang w:val="en-US" w:eastAsia="zh-CN"/>
        </w:rPr>
        <w:t>推动</w:t>
      </w:r>
      <w:r>
        <w:rPr>
          <w:rFonts w:hint="eastAsia" w:ascii="Times New Roman" w:hAnsi="Times New Roman" w:eastAsia="仿宋_GB2312" w:cs="方正仿宋_GBK"/>
          <w:b w:val="0"/>
          <w:bCs w:val="0"/>
          <w:color w:val="auto"/>
          <w:highlight w:val="none"/>
        </w:rPr>
        <w:t>农村</w:t>
      </w:r>
      <w:r>
        <w:rPr>
          <w:rFonts w:hint="eastAsia" w:eastAsia="仿宋_GB2312" w:cs="方正仿宋_GBK"/>
          <w:b w:val="0"/>
          <w:bCs w:val="0"/>
          <w:color w:val="auto"/>
          <w:highlight w:val="none"/>
          <w:lang w:val="en-US" w:eastAsia="zh-CN"/>
        </w:rPr>
        <w:t>牧区</w:t>
      </w:r>
      <w:r>
        <w:rPr>
          <w:rFonts w:hint="eastAsia" w:ascii="Times New Roman" w:hAnsi="Times New Roman" w:eastAsia="仿宋_GB2312" w:cs="方正仿宋_GBK"/>
          <w:b w:val="0"/>
          <w:bCs w:val="0"/>
          <w:color w:val="auto"/>
          <w:highlight w:val="none"/>
        </w:rPr>
        <w:t>基础设施建设和产业发展。建立城乡技术信息共享平台，加强技术信息的交流和传播，推动城市先进技术向农村</w:t>
      </w:r>
      <w:r>
        <w:rPr>
          <w:rFonts w:hint="eastAsia" w:eastAsia="仿宋_GB2312" w:cs="方正仿宋_GBK"/>
          <w:b w:val="0"/>
          <w:bCs w:val="0"/>
          <w:color w:val="auto"/>
          <w:highlight w:val="none"/>
          <w:lang w:val="en-US" w:eastAsia="zh-CN"/>
        </w:rPr>
        <w:t>牧区</w:t>
      </w:r>
      <w:r>
        <w:rPr>
          <w:rFonts w:hint="eastAsia" w:ascii="Times New Roman" w:hAnsi="Times New Roman" w:eastAsia="仿宋_GB2312" w:cs="方正仿宋_GBK"/>
          <w:b w:val="0"/>
          <w:bCs w:val="0"/>
          <w:color w:val="auto"/>
          <w:highlight w:val="none"/>
        </w:rPr>
        <w:t>转移和扩散。</w:t>
      </w:r>
    </w:p>
    <w:p w14:paraId="4EAF2557">
      <w:pPr>
        <w:keepNext w:val="0"/>
        <w:keepLines w:val="0"/>
        <w:pageBreakBefore w:val="0"/>
        <w:widowControl/>
        <w:numPr>
          <w:ilvl w:val="0"/>
          <w:numId w:val="6"/>
        </w:numPr>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528" w:name="_Toc14443"/>
      <w:bookmarkStart w:id="529" w:name="_Toc22099"/>
      <w:bookmarkStart w:id="530" w:name="_Toc23436"/>
      <w:bookmarkStart w:id="531" w:name="_Toc384"/>
      <w:bookmarkStart w:id="532" w:name="_Toc19718"/>
      <w:bookmarkStart w:id="533" w:name="_Toc18897"/>
      <w:bookmarkStart w:id="534" w:name="_Toc27337"/>
      <w:bookmarkStart w:id="535" w:name="_Toc9653"/>
      <w:bookmarkStart w:id="536" w:name="_Toc12288"/>
      <w:bookmarkStart w:id="537" w:name="_Toc15293"/>
      <w:bookmarkStart w:id="538" w:name="_Toc289"/>
      <w:bookmarkStart w:id="539" w:name="_Toc11878"/>
      <w:bookmarkStart w:id="540" w:name="_Toc12643"/>
      <w:bookmarkStart w:id="541" w:name="_Toc26945"/>
      <w:r>
        <w:rPr>
          <w:rFonts w:hint="eastAsia" w:ascii="楷体_GB2312" w:hAnsi="楷体_GB2312" w:eastAsia="楷体_GB2312" w:cs="楷体_GB2312"/>
          <w:b w:val="0"/>
          <w:bCs w:val="0"/>
          <w:color w:val="auto"/>
          <w:sz w:val="32"/>
          <w:szCs w:val="40"/>
          <w:highlight w:val="none"/>
          <w:lang w:val="en-US" w:eastAsia="zh-CN"/>
        </w:rPr>
        <w:t>构建现代化基础设施体系</w:t>
      </w:r>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p>
    <w:p w14:paraId="2497E56A">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color w:val="auto"/>
          <w:highlight w:val="none"/>
        </w:rPr>
        <w:t>围绕构建现代化基础设施体系，实施一批打基础、利长远的重大基础设施项目。</w:t>
      </w:r>
    </w:p>
    <w:p w14:paraId="607AD7FD">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rPr>
      </w:pPr>
      <w:bookmarkStart w:id="542" w:name="_Toc26111"/>
      <w:r>
        <w:rPr>
          <w:rFonts w:hint="eastAsia" w:ascii="Times New Roman" w:hAnsi="Times New Roman" w:eastAsia="仿宋_GB2312" w:cs="方正仿宋_GBK"/>
          <w:b w:val="0"/>
          <w:bCs w:val="0"/>
          <w:color w:val="auto"/>
          <w:highlight w:val="none"/>
          <w:lang w:val="en-US" w:eastAsia="zh-CN"/>
        </w:rPr>
        <w:t>完善现代综合交通体系</w:t>
      </w:r>
      <w:bookmarkEnd w:id="542"/>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rPr>
        <w:t>加快构建安全、便捷、高效、绿色、经济的综合交通体系，完善综合立体交通网主骨架</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完善“三环四联七横七纵”的公路综合运输通道</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持续推动公路提质增效，推动实施G305</w:t>
      </w:r>
      <w:r>
        <w:rPr>
          <w:rFonts w:hint="eastAsia" w:ascii="Times New Roman" w:hAnsi="Times New Roman" w:eastAsia="仿宋_GB2312" w:cs="方正仿宋_GBK"/>
          <w:b w:val="0"/>
          <w:bCs w:val="0"/>
          <w:color w:val="auto"/>
          <w:highlight w:val="none"/>
          <w:lang w:val="en-US" w:eastAsia="zh-CN"/>
        </w:rPr>
        <w:t>大黑山至羊场</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rPr>
        <w:t>羊场至昆都勒、</w:t>
      </w:r>
      <w:r>
        <w:rPr>
          <w:rFonts w:hint="eastAsia" w:ascii="Times New Roman" w:hAnsi="Times New Roman" w:eastAsia="仿宋_GB2312" w:cs="方正仿宋_GBK"/>
          <w:b w:val="0"/>
          <w:bCs w:val="0"/>
          <w:color w:val="auto"/>
          <w:highlight w:val="none"/>
          <w:lang w:val="en-US" w:eastAsia="zh-CN"/>
        </w:rPr>
        <w:t>宝日勿苏至林东</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rPr>
        <w:t>G306牛营子至木头沟</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巴林桥至</w:t>
      </w:r>
      <w:r>
        <w:rPr>
          <w:rFonts w:hint="eastAsia" w:eastAsia="仿宋_GB2312" w:cs="方正仿宋_GBK"/>
          <w:b w:val="0"/>
          <w:bCs w:val="0"/>
          <w:color w:val="auto"/>
          <w:highlight w:val="none"/>
          <w:lang w:val="en-US" w:eastAsia="zh-CN"/>
        </w:rPr>
        <w:t>双井、</w:t>
      </w:r>
      <w:r>
        <w:rPr>
          <w:rFonts w:hint="eastAsia" w:ascii="Times New Roman" w:hAnsi="Times New Roman" w:eastAsia="仿宋_GB2312" w:cs="方正仿宋_GBK"/>
          <w:b w:val="0"/>
          <w:bCs w:val="0"/>
          <w:color w:val="auto"/>
          <w:highlight w:val="none"/>
          <w:lang w:val="en-US" w:eastAsia="zh-CN"/>
        </w:rPr>
        <w:t>G111木头沟至安庆、G614十家至东六家、G16丹锡高速东方红互通、G303经棚至阿其乌拉、省道206新立营子至大板段、S28乌丹至天山高速公路、省道210线格日朝鲁（赤通界）至巴彦温都段等</w:t>
      </w:r>
      <w:r>
        <w:rPr>
          <w:rFonts w:hint="eastAsia" w:ascii="Times New Roman" w:hAnsi="Times New Roman" w:eastAsia="仿宋_GB2312" w:cs="方正仿宋_GBK"/>
          <w:b w:val="0"/>
          <w:bCs w:val="0"/>
          <w:color w:val="auto"/>
          <w:highlight w:val="none"/>
        </w:rPr>
        <w:t>重点公路项目。加快完善铁路网布局，推动林白铁路、巴新铁路等重大项目建设。织密航空运输网络，重点推动新建林西</w:t>
      </w:r>
      <w:r>
        <w:rPr>
          <w:rFonts w:hint="eastAsia" w:ascii="Times New Roman" w:hAnsi="Times New Roman" w:eastAsia="仿宋_GB2312" w:cs="方正仿宋_GBK"/>
          <w:b w:val="0"/>
          <w:bCs w:val="0"/>
          <w:color w:val="auto"/>
          <w:highlight w:val="none"/>
          <w:lang w:val="en-US" w:eastAsia="zh-CN"/>
        </w:rPr>
        <w:t>支线</w:t>
      </w:r>
      <w:r>
        <w:rPr>
          <w:rFonts w:hint="eastAsia" w:ascii="Times New Roman" w:hAnsi="Times New Roman" w:eastAsia="仿宋_GB2312" w:cs="方正仿宋_GBK"/>
          <w:b w:val="0"/>
          <w:bCs w:val="0"/>
          <w:color w:val="auto"/>
          <w:highlight w:val="none"/>
        </w:rPr>
        <w:t>机场</w:t>
      </w:r>
      <w:r>
        <w:rPr>
          <w:rFonts w:hint="eastAsia" w:ascii="Times New Roman" w:hAnsi="Times New Roman" w:eastAsia="仿宋_GB2312" w:cs="方正仿宋_GBK"/>
          <w:b w:val="0"/>
          <w:bCs w:val="0"/>
          <w:color w:val="auto"/>
          <w:highlight w:val="none"/>
          <w:lang w:val="en-US" w:eastAsia="zh-CN"/>
        </w:rPr>
        <w:t>建设，</w:t>
      </w:r>
      <w:r>
        <w:rPr>
          <w:rFonts w:hint="eastAsia" w:ascii="Times New Roman" w:hAnsi="Times New Roman" w:eastAsia="仿宋_GB2312" w:cs="方正仿宋_GBK"/>
          <w:b w:val="0"/>
          <w:bCs w:val="0"/>
          <w:color w:val="auto"/>
          <w:highlight w:val="none"/>
        </w:rPr>
        <w:t>构建“干支通”功能互补的多层级机场体系。</w:t>
      </w:r>
    </w:p>
    <w:p w14:paraId="7D05191C">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rPr>
      </w:pPr>
      <w:bookmarkStart w:id="543" w:name="_Toc31032"/>
      <w:r>
        <w:rPr>
          <w:rFonts w:hint="eastAsia" w:ascii="Times New Roman" w:hAnsi="Times New Roman" w:eastAsia="仿宋_GB2312" w:cs="方正仿宋_GBK"/>
          <w:b w:val="0"/>
          <w:bCs w:val="0"/>
          <w:color w:val="auto"/>
          <w:highlight w:val="none"/>
          <w:lang w:val="en-US" w:eastAsia="zh-CN"/>
        </w:rPr>
        <w:t>提升能源基础设施保障水平</w:t>
      </w:r>
      <w:bookmarkEnd w:id="543"/>
      <w:r>
        <w:rPr>
          <w:rFonts w:hint="eastAsia" w:eastAsia="仿宋_GB2312" w:cs="方正仿宋_GBK"/>
          <w:b w:val="0"/>
          <w:bCs w:val="0"/>
          <w:color w:val="auto"/>
          <w:highlight w:val="none"/>
          <w:lang w:val="en-US" w:eastAsia="zh-CN"/>
        </w:rPr>
        <w:t>。坚持</w:t>
      </w:r>
      <w:r>
        <w:rPr>
          <w:rFonts w:hint="eastAsia" w:ascii="Times New Roman" w:hAnsi="Times New Roman" w:eastAsia="仿宋_GB2312" w:cs="方正仿宋_GBK"/>
          <w:b w:val="0"/>
          <w:bCs w:val="0"/>
          <w:color w:val="auto"/>
          <w:highlight w:val="none"/>
        </w:rPr>
        <w:t>外送通道与内部联网、地上电网与地下管网协同推进，构建区域复合型智能化输用能体系。争取赤峰市浑善达克和科尔沁沙地±800千伏直流特高压电力外送通道工程纳规并落地建设，推动宁城500千伏和敖汉500千伏输变电工程建成投运、松山500千伏输变电工程获批实施，着力构建以500千伏为主网架、220千伏为支撑的“一主双环四通道”骨干网架结构。争取赤峰至锦州港、赤峰至京津冀绿氢（绿氨、绿醇）长输管道工程纳规并建成完工，推动赤峰市绿氢管道内部联网工程全面启动并建成投运，加速构建对内绿氢联通12个旗县区、对外绿氢绿氨绿醇“出区达海”</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“进京入沪”大输送管网体系。推动长春至石家庄天然气长输管道赤峰段干线工程及盘锦至赤峰联络线工程、赤北开口门站天然气直供赤峰大工业用户管道工程、通辽至赤峰天然气长输管道联网工程建成投运，</w:t>
      </w:r>
      <w:r>
        <w:rPr>
          <w:rFonts w:hint="eastAsia" w:eastAsia="仿宋_GB2312" w:cs="方正仿宋_GBK"/>
          <w:b w:val="0"/>
          <w:bCs w:val="0"/>
          <w:color w:val="auto"/>
          <w:highlight w:val="none"/>
          <w:lang w:val="en-US" w:eastAsia="zh-CN"/>
        </w:rPr>
        <w:t>力争</w:t>
      </w:r>
      <w:r>
        <w:rPr>
          <w:rFonts w:hint="eastAsia" w:ascii="Times New Roman" w:hAnsi="Times New Roman" w:eastAsia="仿宋_GB2312" w:cs="方正仿宋_GBK"/>
          <w:b w:val="0"/>
          <w:bCs w:val="0"/>
          <w:color w:val="auto"/>
          <w:highlight w:val="none"/>
        </w:rPr>
        <w:t>全市新增天然气年输气能力10亿立方米。</w:t>
      </w:r>
    </w:p>
    <w:p w14:paraId="6E7FE3A6">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rPr>
      </w:pPr>
      <w:bookmarkStart w:id="544" w:name="_Toc7728"/>
      <w:r>
        <w:rPr>
          <w:rFonts w:hint="eastAsia" w:ascii="Times New Roman" w:hAnsi="Times New Roman" w:eastAsia="仿宋_GB2312" w:cs="方正仿宋_GBK"/>
          <w:b w:val="0"/>
          <w:bCs w:val="0"/>
          <w:color w:val="auto"/>
          <w:highlight w:val="none"/>
          <w:lang w:val="en-US" w:eastAsia="zh-CN"/>
        </w:rPr>
        <w:t>构建水安全保障体系</w:t>
      </w:r>
      <w:bookmarkEnd w:id="544"/>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lang w:val="en-US" w:eastAsia="zh-CN"/>
        </w:rPr>
        <w:t>深入践行习近平总书记“节水优先、空间均衡、系统治理、两手发力”治水思路，以提升水旱灾害防御能力、水资源节约集约利用能力、水资源优化配置能力为目标，加快建设现代化水网，增强水资源统筹调配、城乡供水保障</w:t>
      </w:r>
      <w:r>
        <w:rPr>
          <w:rFonts w:hint="eastAsia" w:eastAsia="仿宋_GB2312" w:cs="方正仿宋_GBK"/>
          <w:b w:val="0"/>
          <w:bCs w:val="0"/>
          <w:color w:val="auto"/>
          <w:highlight w:val="none"/>
          <w:lang w:val="en-US" w:eastAsia="zh-CN"/>
        </w:rPr>
        <w:t>和</w:t>
      </w:r>
      <w:r>
        <w:rPr>
          <w:rFonts w:hint="eastAsia" w:ascii="Times New Roman" w:hAnsi="Times New Roman" w:eastAsia="仿宋_GB2312" w:cs="方正仿宋_GBK"/>
          <w:b w:val="0"/>
          <w:bCs w:val="0"/>
          <w:color w:val="auto"/>
          <w:highlight w:val="none"/>
          <w:lang w:val="en-US" w:eastAsia="zh-CN"/>
        </w:rPr>
        <w:t>洪涝灾害防御能力。</w:t>
      </w:r>
      <w:r>
        <w:rPr>
          <w:rFonts w:hint="eastAsia" w:ascii="Times New Roman" w:hAnsi="Times New Roman" w:eastAsia="仿宋_GB2312" w:cs="方正仿宋_GBK"/>
          <w:b w:val="0"/>
          <w:bCs w:val="0"/>
          <w:color w:val="auto"/>
          <w:highlight w:val="none"/>
        </w:rPr>
        <w:t>加快重点水利工程建设，实施好LXB供水支线等重点工程，争取东台子水库赤峰中心城区引供水工程、克旗同兴水库工程前期工作取得积极进展，推动工程尽快落地实施。</w:t>
      </w:r>
      <w:r>
        <w:rPr>
          <w:rFonts w:hint="eastAsia" w:ascii="Times New Roman" w:hAnsi="Times New Roman" w:eastAsia="仿宋_GB2312" w:cs="方正仿宋_GBK"/>
          <w:b w:val="0"/>
          <w:bCs w:val="0"/>
          <w:color w:val="auto"/>
          <w:highlight w:val="none"/>
          <w:lang w:val="en-US" w:eastAsia="zh-CN"/>
        </w:rPr>
        <w:t>配合推进BSND工程前期工作</w:t>
      </w:r>
      <w:r>
        <w:rPr>
          <w:rFonts w:hint="eastAsia" w:ascii="Times New Roman" w:hAnsi="Times New Roman" w:eastAsia="仿宋_GB2312" w:cs="方正仿宋_GBK"/>
          <w:b w:val="0"/>
          <w:bCs w:val="0"/>
          <w:color w:val="auto"/>
          <w:highlight w:val="none"/>
        </w:rPr>
        <w:t>。</w:t>
      </w:r>
      <w:r>
        <w:rPr>
          <w:rFonts w:hint="eastAsia" w:ascii="Times New Roman" w:hAnsi="Times New Roman" w:eastAsia="仿宋_GB2312" w:cs="方正仿宋_GBK"/>
          <w:b w:val="0"/>
          <w:bCs w:val="0"/>
          <w:color w:val="auto"/>
          <w:highlight w:val="none"/>
          <w:lang w:val="en-US" w:eastAsia="zh-CN"/>
        </w:rPr>
        <w:t>实施</w:t>
      </w:r>
      <w:r>
        <w:rPr>
          <w:rFonts w:hint="eastAsia" w:ascii="Times New Roman" w:hAnsi="Times New Roman" w:eastAsia="仿宋_GB2312" w:cs="方正仿宋_GBK"/>
          <w:b w:val="0"/>
          <w:bCs w:val="0"/>
          <w:color w:val="auto"/>
          <w:highlight w:val="none"/>
        </w:rPr>
        <w:t>饮水安全保障工程，推进城乡供水一体化、农村</w:t>
      </w:r>
      <w:r>
        <w:rPr>
          <w:rFonts w:hint="eastAsia" w:eastAsia="仿宋_GB2312" w:cs="方正仿宋_GBK"/>
          <w:b w:val="0"/>
          <w:bCs w:val="0"/>
          <w:color w:val="auto"/>
          <w:highlight w:val="none"/>
          <w:lang w:val="en-US" w:eastAsia="zh-CN"/>
        </w:rPr>
        <w:t>牧区</w:t>
      </w:r>
      <w:r>
        <w:rPr>
          <w:rFonts w:hint="eastAsia" w:ascii="Times New Roman" w:hAnsi="Times New Roman" w:eastAsia="仿宋_GB2312" w:cs="方正仿宋_GBK"/>
          <w:b w:val="0"/>
          <w:bCs w:val="0"/>
          <w:color w:val="auto"/>
          <w:highlight w:val="none"/>
        </w:rPr>
        <w:t>供水规模化发展及小型供水工程标准化改造，增强农村牧区供水保障能力。</w:t>
      </w:r>
      <w:r>
        <w:rPr>
          <w:rFonts w:hint="eastAsia" w:ascii="Times New Roman" w:hAnsi="Times New Roman" w:eastAsia="仿宋_GB2312" w:cs="方正仿宋_GBK"/>
          <w:b w:val="0"/>
          <w:bCs w:val="0"/>
          <w:color w:val="auto"/>
          <w:highlight w:val="none"/>
          <w:lang w:val="en-US" w:eastAsia="zh-CN"/>
        </w:rPr>
        <w:t>加强防洪抗旱减灾能力建设</w:t>
      </w:r>
      <w:r>
        <w:rPr>
          <w:rFonts w:hint="eastAsia" w:ascii="Times New Roman" w:hAnsi="Times New Roman" w:eastAsia="仿宋_GB2312" w:cs="方正仿宋_GBK"/>
          <w:b w:val="0"/>
          <w:bCs w:val="0"/>
          <w:color w:val="auto"/>
          <w:highlight w:val="none"/>
        </w:rPr>
        <w:t>，持续实施一批河道治理、山洪沟治理、水库水闸除险加固项目。</w:t>
      </w:r>
    </w:p>
    <w:p w14:paraId="41F8517C">
      <w:pPr>
        <w:pStyle w:val="43"/>
        <w:keepNext w:val="0"/>
        <w:keepLines w:val="0"/>
        <w:pageBreakBefore w:val="0"/>
        <w:widowControl w:val="0"/>
        <w:shd w:val="clear" w:color="auto" w:fill="auto"/>
        <w:kinsoku/>
        <w:wordWrap/>
        <w:overflowPunct/>
        <w:topLinePunct w:val="0"/>
        <w:autoSpaceDE/>
        <w:autoSpaceDN/>
        <w:bidi w:val="0"/>
        <w:adjustRightInd/>
        <w:snapToGrid/>
        <w:spacing w:line="520" w:lineRule="exact"/>
        <w:ind w:firstLine="643"/>
        <w:jc w:val="left"/>
        <w:textAlignment w:val="auto"/>
        <w:outlineLvl w:val="3"/>
        <w:rPr>
          <w:rFonts w:hint="eastAsia" w:ascii="Times New Roman" w:hAnsi="Times New Roman" w:eastAsia="方正仿宋_GBK" w:cs="方正仿宋_GBK"/>
          <w:b w:val="0"/>
          <w:bCs w:val="0"/>
          <w:color w:val="auto"/>
          <w:highlight w:val="none"/>
        </w:rPr>
      </w:pPr>
      <w:bookmarkStart w:id="545" w:name="_Toc3023"/>
      <w:r>
        <w:rPr>
          <w:rFonts w:hint="eastAsia" w:ascii="Times New Roman" w:hAnsi="Times New Roman" w:eastAsia="仿宋_GB2312" w:cs="方正仿宋_GBK"/>
          <w:b w:val="0"/>
          <w:bCs w:val="0"/>
          <w:color w:val="auto"/>
          <w:highlight w:val="none"/>
          <w:lang w:val="en-US" w:eastAsia="zh-CN"/>
        </w:rPr>
        <w:t>建设新型基础设施</w:t>
      </w:r>
      <w:bookmarkEnd w:id="545"/>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lang w:val="en-US" w:eastAsia="zh-CN"/>
        </w:rPr>
        <w:t>坚持适度超前、按需部署、有序推进、建用并重原则，加强全局性谋划、战略性部署、整体性推进，加速布局信息基础设施，稳步发展融合基础设施，构建面向未来的新型基础设施体系。</w:t>
      </w:r>
      <w:r>
        <w:rPr>
          <w:rFonts w:hint="eastAsia" w:eastAsia="仿宋_GB2312" w:cs="方正仿宋_GBK"/>
          <w:b w:val="0"/>
          <w:bCs w:val="0"/>
          <w:color w:val="auto"/>
          <w:highlight w:val="none"/>
          <w:lang w:val="en-US" w:eastAsia="zh-CN"/>
        </w:rPr>
        <w:t>完善</w:t>
      </w:r>
      <w:r>
        <w:rPr>
          <w:rFonts w:hint="eastAsia" w:ascii="Times New Roman" w:hAnsi="Times New Roman" w:eastAsia="仿宋_GB2312" w:cs="方正仿宋_GBK"/>
          <w:b w:val="0"/>
          <w:bCs w:val="0"/>
          <w:color w:val="auto"/>
          <w:highlight w:val="none"/>
          <w:lang w:val="en-US" w:eastAsia="zh-CN"/>
        </w:rPr>
        <w:t>信息基础设施，</w:t>
      </w:r>
      <w:r>
        <w:rPr>
          <w:rFonts w:hint="eastAsia" w:ascii="Times New Roman" w:hAnsi="Times New Roman" w:eastAsia="仿宋_GB2312" w:cs="方正仿宋_GBK"/>
          <w:b w:val="0"/>
          <w:bCs w:val="0"/>
          <w:color w:val="auto"/>
          <w:highlight w:val="none"/>
        </w:rPr>
        <w:t>体系化推进5G、千兆光纤网规模部署，深入推动5G规模化应用</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推动物联网深度覆盖，面向工业制造、农业生产、应急管理、产业园区等重点领域，加大物联网感知设施规模部署和应用场景开放建设力度，</w:t>
      </w:r>
      <w:r>
        <w:rPr>
          <w:rFonts w:hint="eastAsia" w:eastAsia="仿宋_GB2312" w:cs="方正仿宋_GBK"/>
          <w:b w:val="0"/>
          <w:bCs w:val="0"/>
          <w:color w:val="auto"/>
          <w:highlight w:val="none"/>
          <w:lang w:val="en-US" w:eastAsia="zh-CN"/>
        </w:rPr>
        <w:t>推动</w:t>
      </w:r>
      <w:r>
        <w:rPr>
          <w:rFonts w:hint="eastAsia" w:ascii="Times New Roman" w:hAnsi="Times New Roman" w:eastAsia="仿宋_GB2312" w:cs="方正仿宋_GBK"/>
          <w:b w:val="0"/>
          <w:bCs w:val="0"/>
          <w:color w:val="auto"/>
          <w:highlight w:val="none"/>
        </w:rPr>
        <w:t>行业（区域）级工业互联网平台部署云化IT资源</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推进信息化与工业化融合发展</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布局算力网络，</w:t>
      </w:r>
      <w:r>
        <w:rPr>
          <w:rFonts w:hint="eastAsia" w:ascii="Times New Roman" w:hAnsi="Times New Roman" w:eastAsia="仿宋_GB2312" w:cs="方正仿宋_GBK"/>
          <w:b w:val="0"/>
          <w:bCs w:val="0"/>
          <w:color w:val="auto"/>
          <w:highlight w:val="none"/>
        </w:rPr>
        <w:t>加快推进赤峰市算力中心项目建设，</w:t>
      </w:r>
      <w:r>
        <w:rPr>
          <w:rFonts w:hint="eastAsia" w:eastAsia="仿宋_GB2312" w:cs="方正仿宋_GBK"/>
          <w:b w:val="0"/>
          <w:bCs w:val="0"/>
          <w:color w:val="auto"/>
          <w:highlight w:val="none"/>
          <w:lang w:val="en-US" w:eastAsia="zh-CN"/>
        </w:rPr>
        <w:t>积极推进算电协同</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建设算力监测体系、建设公共传输通道、打造算力应用场景、落实“数据要素×”行动，构建技术先进、布局合理、供需匹配、安全可靠、绿色低碳的算力基础设施高质量发展格局</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推动融入全国一体化算力网。</w:t>
      </w:r>
      <w:r>
        <w:rPr>
          <w:rFonts w:hint="eastAsia" w:eastAsia="仿宋_GB2312" w:cs="方正仿宋_GBK"/>
          <w:b w:val="0"/>
          <w:bCs w:val="0"/>
          <w:color w:val="auto"/>
          <w:highlight w:val="none"/>
          <w:lang w:val="en-US" w:eastAsia="zh-CN"/>
        </w:rPr>
        <w:t>建设</w:t>
      </w:r>
      <w:r>
        <w:rPr>
          <w:rFonts w:hint="eastAsia" w:ascii="Times New Roman" w:hAnsi="Times New Roman" w:eastAsia="仿宋_GB2312" w:cs="方正仿宋_GBK"/>
          <w:b w:val="0"/>
          <w:bCs w:val="0"/>
          <w:color w:val="auto"/>
          <w:highlight w:val="none"/>
          <w:lang w:val="en-US" w:eastAsia="zh-CN"/>
        </w:rPr>
        <w:t>融合基础设施，推动传统基础设施智能化改造，加快电网在线监测终端全覆盖，夯实电源侧、电网侧、用电侧的全域全程在线感知、数据采集、网络传输、数据中台等基础；实施智慧交通工程，推动主要城市道路、公路重点路段和枢纽等重要节点的交通感知网络覆盖；实施智慧水利工程，开展数字孪生工程、数字孪生流域和数字孪生水网建设，完善空天地一体化水利感知网。</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9"/>
      </w:tblGrid>
      <w:tr w14:paraId="70601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220D518D">
            <w:pPr>
              <w:keepNext w:val="0"/>
              <w:keepLines w:val="0"/>
              <w:pageBreakBefore w:val="0"/>
              <w:kinsoku/>
              <w:wordWrap/>
              <w:topLinePunct w:val="0"/>
              <w:autoSpaceDE/>
              <w:autoSpaceDN/>
              <w:bidi w:val="0"/>
              <w:adjustRightInd/>
              <w:spacing w:line="540" w:lineRule="exact"/>
              <w:ind w:firstLine="464" w:firstLineChars="200"/>
              <w:jc w:val="center"/>
              <w:textAlignment w:val="auto"/>
              <w:rPr>
                <w:rFonts w:ascii="Times New Roman" w:hAnsi="Times New Roman" w:eastAsia="方正仿宋_GBK" w:cs="Times New Roman"/>
                <w:b w:val="0"/>
                <w:bCs w:val="0"/>
                <w:sz w:val="24"/>
                <w:highlight w:val="none"/>
              </w:rPr>
            </w:pPr>
            <w:r>
              <w:rPr>
                <w:rFonts w:hint="eastAsia" w:ascii="Times New Roman" w:hAnsi="Times New Roman" w:eastAsia="仿宋_GB2312" w:cs="Times New Roman"/>
                <w:b w:val="0"/>
                <w:bCs w:val="0"/>
                <w:sz w:val="24"/>
                <w:highlight w:val="none"/>
              </w:rPr>
              <w:t>专栏</w:t>
            </w:r>
            <w:r>
              <w:rPr>
                <w:rFonts w:hint="eastAsia" w:ascii="Times New Roman" w:hAnsi="Times New Roman" w:eastAsia="仿宋_GB2312" w:cs="Times New Roman"/>
                <w:b w:val="0"/>
                <w:bCs w:val="0"/>
                <w:sz w:val="24"/>
                <w:highlight w:val="none"/>
                <w:lang w:val="en-US" w:eastAsia="zh-CN"/>
              </w:rPr>
              <w:t>13 基础设施</w:t>
            </w:r>
            <w:r>
              <w:rPr>
                <w:rFonts w:hint="eastAsia" w:ascii="Times New Roman" w:hAnsi="Times New Roman" w:eastAsia="仿宋_GB2312" w:cs="Times New Roman"/>
                <w:b w:val="0"/>
                <w:bCs w:val="0"/>
                <w:sz w:val="24"/>
                <w:highlight w:val="none"/>
              </w:rPr>
              <w:t>重大工程</w:t>
            </w:r>
          </w:p>
        </w:tc>
      </w:tr>
      <w:tr w14:paraId="5E459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7343ADE7">
            <w:pPr>
              <w:keepNext w:val="0"/>
              <w:keepLines w:val="0"/>
              <w:pageBreakBefore w:val="0"/>
              <w:kinsoku/>
              <w:wordWrap/>
              <w:topLinePunct w:val="0"/>
              <w:autoSpaceDE/>
              <w:autoSpaceDN/>
              <w:bidi w:val="0"/>
              <w:adjustRightInd/>
              <w:spacing w:line="540" w:lineRule="exact"/>
              <w:ind w:firstLine="404" w:firstLineChars="200"/>
              <w:textAlignment w:val="auto"/>
              <w:rPr>
                <w:rFonts w:hint="eastAsia" w:ascii="Times New Roman" w:hAnsi="Times New Roman" w:eastAsia="仿宋_GB2312"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交通基础设施重点工程：重点推进G305大黑山至羊场、羊场至昆都勒、G306牛营子至木头沟、G111木头沟至安庆、G614十家至东六家、S206新立营子至大板段、S210线格日朝鲁（赤通界）至巴彦温都公路、林西支线机场、宁城县通用机场等工程项目。</w:t>
            </w:r>
          </w:p>
          <w:p w14:paraId="5B503CC0">
            <w:pPr>
              <w:keepNext w:val="0"/>
              <w:keepLines w:val="0"/>
              <w:pageBreakBefore w:val="0"/>
              <w:kinsoku/>
              <w:wordWrap/>
              <w:topLinePunct w:val="0"/>
              <w:autoSpaceDE/>
              <w:autoSpaceDN/>
              <w:bidi w:val="0"/>
              <w:adjustRightInd/>
              <w:spacing w:line="540" w:lineRule="exact"/>
              <w:ind w:firstLine="404" w:firstLineChars="200"/>
              <w:textAlignment w:val="auto"/>
              <w:rPr>
                <w:rFonts w:hint="eastAsia" w:ascii="Times New Roman" w:hAnsi="Times New Roman" w:eastAsia="仿宋_GB2312"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能源基础设施重点工程：重点推进赤峰市浑善达克和科尔沁沙地±800千伏直流特高压电力外送通道工程、宁城500千伏和敖汉500千伏及松山500千伏输变电工程、赤峰市至锦州港和赤峰市至京津冀绿色氢氨醇长输管道工程、赤峰市绿氢管道内部联网工程、长春至石家庄天然气长输管道赤峰段干线工程及盘锦至赤峰联络线工程、赤北开口门站天然气直供赤峰大工业用户管道工程、通辽至赤峰天然气长输管道联网工程等重大工程项目。</w:t>
            </w:r>
          </w:p>
          <w:p w14:paraId="442CD3B9">
            <w:pPr>
              <w:keepNext w:val="0"/>
              <w:keepLines w:val="0"/>
              <w:pageBreakBefore w:val="0"/>
              <w:kinsoku/>
              <w:wordWrap/>
              <w:topLinePunct w:val="0"/>
              <w:autoSpaceDE/>
              <w:autoSpaceDN/>
              <w:bidi w:val="0"/>
              <w:adjustRightInd/>
              <w:spacing w:line="540" w:lineRule="exact"/>
              <w:ind w:firstLine="404" w:firstLineChars="200"/>
              <w:textAlignment w:val="auto"/>
              <w:rPr>
                <w:rFonts w:hint="eastAsia" w:ascii="Times New Roman" w:hAnsi="Times New Roman" w:eastAsia="仿宋_GB2312"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水利基础设施重点工程：重点推进</w:t>
            </w:r>
            <w:r>
              <w:rPr>
                <w:rFonts w:hint="eastAsia" w:ascii="Times New Roman" w:hAnsi="Times New Roman" w:eastAsia="仿宋_GB2312" w:cs="Times New Roman"/>
                <w:b w:val="0"/>
                <w:bCs w:val="0"/>
                <w:highlight w:val="none"/>
              </w:rPr>
              <w:t>LXB供水</w:t>
            </w:r>
            <w:r>
              <w:rPr>
                <w:rFonts w:hint="eastAsia" w:ascii="Times New Roman" w:hAnsi="Times New Roman" w:eastAsia="仿宋_GB2312" w:cs="Times New Roman"/>
                <w:b w:val="0"/>
                <w:bCs w:val="0"/>
                <w:highlight w:val="none"/>
                <w:lang w:val="en-US" w:eastAsia="zh-CN"/>
              </w:rPr>
              <w:t>工程</w:t>
            </w:r>
            <w:r>
              <w:rPr>
                <w:rFonts w:hint="eastAsia" w:ascii="Times New Roman" w:hAnsi="Times New Roman" w:eastAsia="仿宋_GB2312" w:cs="Times New Roman"/>
                <w:b w:val="0"/>
                <w:bCs w:val="0"/>
                <w:highlight w:val="none"/>
              </w:rPr>
              <w:t>赤峰线</w:t>
            </w:r>
            <w:r>
              <w:rPr>
                <w:rFonts w:hint="eastAsia" w:ascii="Times New Roman" w:hAnsi="Times New Roman" w:eastAsia="仿宋_GB2312" w:cs="Times New Roman"/>
                <w:b w:val="0"/>
                <w:bCs w:val="0"/>
                <w:highlight w:val="none"/>
                <w:lang w:eastAsia="zh-CN"/>
              </w:rPr>
              <w:t>、</w:t>
            </w:r>
            <w:r>
              <w:rPr>
                <w:rFonts w:hint="eastAsia" w:ascii="Times New Roman" w:hAnsi="Times New Roman" w:eastAsia="仿宋_GB2312" w:cs="Times New Roman"/>
                <w:b w:val="0"/>
                <w:bCs w:val="0"/>
                <w:highlight w:val="none"/>
              </w:rPr>
              <w:t>琥珀沟水利枢纽工程</w:t>
            </w:r>
            <w:r>
              <w:rPr>
                <w:rFonts w:hint="eastAsia" w:ascii="Times New Roman" w:hAnsi="Times New Roman" w:eastAsia="仿宋_GB2312" w:cs="Times New Roman"/>
                <w:b w:val="0"/>
                <w:bCs w:val="0"/>
                <w:highlight w:val="none"/>
                <w:lang w:val="en-US" w:eastAsia="zh-CN"/>
              </w:rPr>
              <w:t>等工程项目。</w:t>
            </w:r>
          </w:p>
          <w:p w14:paraId="58754D54">
            <w:pPr>
              <w:keepNext w:val="0"/>
              <w:keepLines w:val="0"/>
              <w:pageBreakBefore w:val="0"/>
              <w:kinsoku/>
              <w:wordWrap/>
              <w:topLinePunct w:val="0"/>
              <w:autoSpaceDE/>
              <w:autoSpaceDN/>
              <w:bidi w:val="0"/>
              <w:adjustRightInd/>
              <w:spacing w:line="540" w:lineRule="exact"/>
              <w:ind w:firstLine="404" w:firstLineChars="200"/>
              <w:textAlignment w:val="auto"/>
              <w:rPr>
                <w:rFonts w:hint="default" w:ascii="Times New Roman" w:hAnsi="Times New Roman" w:eastAsia="方正仿宋_GBK"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通信基础设施重点工程：重点推进巴林左旗通信基站建设、克什克腾旗重点场所5G通信基站建设等工程项目。</w:t>
            </w:r>
          </w:p>
        </w:tc>
      </w:tr>
    </w:tbl>
    <w:p w14:paraId="402ED4A0">
      <w:pPr>
        <w:keepNext w:val="0"/>
        <w:keepLines w:val="0"/>
        <w:pageBreakBefore w:val="0"/>
        <w:kinsoku/>
        <w:wordWrap/>
        <w:topLinePunct w:val="0"/>
        <w:autoSpaceDE/>
        <w:autoSpaceDN/>
        <w:bidi w:val="0"/>
        <w:adjustRightInd/>
        <w:spacing w:line="540" w:lineRule="exact"/>
        <w:textAlignment w:val="auto"/>
        <w:rPr>
          <w:rFonts w:hint="eastAsia" w:ascii="Times New Roman" w:hAnsi="Times New Roman"/>
          <w:b w:val="0"/>
          <w:bCs w:val="0"/>
          <w:highlight w:val="none"/>
        </w:rPr>
      </w:pPr>
    </w:p>
    <w:p w14:paraId="2F5E9EDA">
      <w:pPr>
        <w:keepNext w:val="0"/>
        <w:keepLines w:val="0"/>
        <w:pageBreakBefore w:val="0"/>
        <w:widowControl/>
        <w:numPr>
          <w:ilvl w:val="0"/>
          <w:numId w:val="2"/>
        </w:numPr>
        <w:kinsoku/>
        <w:wordWrap/>
        <w:overflowPunct/>
        <w:topLinePunct w:val="0"/>
        <w:autoSpaceDE/>
        <w:autoSpaceDN/>
        <w:bidi w:val="0"/>
        <w:adjustRightInd/>
        <w:snapToGrid/>
        <w:spacing w:before="157" w:beforeLines="50" w:after="157" w:afterLines="50" w:line="540" w:lineRule="exact"/>
        <w:jc w:val="center"/>
        <w:textAlignment w:val="auto"/>
        <w:outlineLvl w:val="1"/>
        <w:rPr>
          <w:rFonts w:hint="eastAsia" w:ascii="黑体" w:hAnsi="黑体" w:eastAsia="黑体" w:cs="黑体"/>
          <w:b w:val="0"/>
          <w:bCs w:val="0"/>
          <w:sz w:val="32"/>
          <w:szCs w:val="32"/>
          <w:highlight w:val="none"/>
        </w:rPr>
      </w:pPr>
      <w:bookmarkStart w:id="546" w:name="_Toc10577"/>
      <w:bookmarkStart w:id="547" w:name="_Toc1040"/>
      <w:bookmarkStart w:id="548" w:name="_Toc9440"/>
      <w:bookmarkStart w:id="549" w:name="_Toc13833"/>
      <w:bookmarkStart w:id="550" w:name="_Toc20092"/>
      <w:bookmarkStart w:id="551" w:name="_Toc8910"/>
      <w:bookmarkStart w:id="552" w:name="_Toc31009"/>
      <w:bookmarkStart w:id="553" w:name="_Toc1707"/>
      <w:bookmarkStart w:id="554" w:name="_Toc32267"/>
      <w:bookmarkStart w:id="555" w:name="_Toc10180"/>
      <w:bookmarkStart w:id="556" w:name="_Toc14522"/>
      <w:bookmarkStart w:id="557" w:name="_Toc7573"/>
      <w:bookmarkStart w:id="558" w:name="_Toc14296"/>
      <w:bookmarkStart w:id="559" w:name="_Toc32486"/>
      <w:r>
        <w:rPr>
          <w:rFonts w:hint="eastAsia" w:ascii="黑体" w:hAnsi="黑体" w:eastAsia="黑体" w:cs="黑体"/>
          <w:b w:val="0"/>
          <w:bCs w:val="0"/>
          <w:sz w:val="32"/>
          <w:szCs w:val="32"/>
          <w:highlight w:val="none"/>
          <w:lang w:eastAsia="zh-CN"/>
        </w:rPr>
        <w:t>推进乡村全面振兴，建设</w:t>
      </w:r>
      <w:r>
        <w:rPr>
          <w:rFonts w:hint="eastAsia" w:ascii="黑体" w:hAnsi="黑体" w:eastAsia="黑体" w:cs="黑体"/>
          <w:b w:val="0"/>
          <w:bCs w:val="0"/>
          <w:sz w:val="32"/>
          <w:szCs w:val="32"/>
          <w:highlight w:val="none"/>
          <w:lang w:val="en-US" w:eastAsia="zh-CN"/>
        </w:rPr>
        <w:t>现代化</w:t>
      </w:r>
      <w:r>
        <w:rPr>
          <w:rFonts w:hint="eastAsia" w:ascii="黑体" w:hAnsi="黑体" w:eastAsia="黑体" w:cs="黑体"/>
          <w:b w:val="0"/>
          <w:bCs w:val="0"/>
          <w:sz w:val="32"/>
          <w:szCs w:val="32"/>
          <w:highlight w:val="none"/>
          <w:lang w:eastAsia="zh-CN"/>
        </w:rPr>
        <w:t>新农村新牧区</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p>
    <w:p w14:paraId="2018D741">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rPr>
          <w:rFonts w:hint="eastAsia" w:ascii="Times New Roman" w:hAnsi="Times New Roman" w:eastAsia="仿宋_GB2312" w:cs="方正仿宋_GBK"/>
          <w:b w:val="0"/>
          <w:bCs w:val="0"/>
          <w:color w:val="auto"/>
          <w:spacing w:val="0"/>
          <w:kern w:val="2"/>
          <w:highlight w:val="none"/>
          <w:lang w:val="en-US" w:eastAsia="zh-CN"/>
        </w:rPr>
      </w:pPr>
      <w:r>
        <w:rPr>
          <w:rFonts w:hint="eastAsia" w:ascii="Times New Roman" w:hAnsi="Times New Roman" w:eastAsia="仿宋_GB2312" w:cs="方正仿宋_GBK"/>
          <w:b w:val="0"/>
          <w:bCs w:val="0"/>
          <w:color w:val="auto"/>
          <w:spacing w:val="0"/>
          <w:kern w:val="2"/>
          <w:highlight w:val="none"/>
          <w:lang w:val="en-US" w:eastAsia="zh-CN"/>
        </w:rPr>
        <w:t>立足农牧业大市、农村牧区人口大市实际，</w:t>
      </w:r>
      <w:r>
        <w:rPr>
          <w:rFonts w:hint="eastAsia" w:ascii="Times New Roman" w:hAnsi="Times New Roman" w:eastAsia="仿宋_GB2312" w:cs="方正仿宋_GBK"/>
          <w:b w:val="0"/>
          <w:bCs w:val="0"/>
          <w:color w:val="auto"/>
          <w:spacing w:val="0"/>
          <w:kern w:val="2"/>
          <w:highlight w:val="none"/>
        </w:rPr>
        <w:t>把解决好“三农”问题作为重中之重，</w:t>
      </w:r>
      <w:r>
        <w:rPr>
          <w:rFonts w:hint="eastAsia" w:ascii="Times New Roman" w:hAnsi="Times New Roman" w:eastAsia="仿宋_GB2312" w:cs="方正仿宋_GBK"/>
          <w:b w:val="0"/>
          <w:bCs w:val="0"/>
          <w:color w:val="auto"/>
          <w:spacing w:val="0"/>
          <w:kern w:val="2"/>
          <w:highlight w:val="none"/>
          <w:lang w:val="en-US" w:eastAsia="zh-CN"/>
        </w:rPr>
        <w:t>以振兴乡村行动为抓手，持续巩固拓展脱贫攻坚成果，分类有序、片区化推进乡村振兴，逐步提高农村牧区基础设施完备度、公共服务便利度、人居环境舒适度</w:t>
      </w:r>
      <w:r>
        <w:rPr>
          <w:rFonts w:hint="eastAsia" w:eastAsia="仿宋_GB2312" w:cs="方正仿宋_GBK"/>
          <w:b w:val="0"/>
          <w:bCs w:val="0"/>
          <w:color w:val="auto"/>
          <w:spacing w:val="0"/>
          <w:kern w:val="2"/>
          <w:highlight w:val="none"/>
          <w:lang w:val="en-US" w:eastAsia="zh-CN"/>
        </w:rPr>
        <w:t>，</w:t>
      </w:r>
      <w:r>
        <w:rPr>
          <w:rFonts w:hint="eastAsia" w:ascii="Times New Roman" w:hAnsi="Times New Roman" w:eastAsia="仿宋_GB2312" w:cs="方正仿宋_GBK"/>
          <w:b w:val="0"/>
          <w:bCs w:val="0"/>
          <w:color w:val="auto"/>
          <w:spacing w:val="0"/>
          <w:kern w:val="2"/>
          <w:highlight w:val="none"/>
        </w:rPr>
        <w:t>实现农牧区宜居宜业、农牧民富裕富足</w:t>
      </w:r>
      <w:r>
        <w:rPr>
          <w:rFonts w:hint="eastAsia" w:ascii="Times New Roman" w:hAnsi="Times New Roman" w:eastAsia="仿宋_GB2312" w:cs="方正仿宋_GBK"/>
          <w:b w:val="0"/>
          <w:bCs w:val="0"/>
          <w:color w:val="auto"/>
          <w:spacing w:val="0"/>
          <w:kern w:val="2"/>
          <w:highlight w:val="none"/>
          <w:lang w:val="en-US" w:eastAsia="zh-CN"/>
        </w:rPr>
        <w:t>，夯实农村牧区现代化基本盘</w:t>
      </w:r>
      <w:r>
        <w:rPr>
          <w:rFonts w:hint="eastAsia" w:eastAsia="仿宋_GB2312" w:cs="方正仿宋_GBK"/>
          <w:b w:val="0"/>
          <w:bCs w:val="0"/>
          <w:color w:val="auto"/>
          <w:spacing w:val="0"/>
          <w:kern w:val="2"/>
          <w:highlight w:val="none"/>
          <w:lang w:val="en-US" w:eastAsia="zh-CN"/>
        </w:rPr>
        <w:t>。</w:t>
      </w:r>
    </w:p>
    <w:p w14:paraId="0732CF03">
      <w:pPr>
        <w:keepNext w:val="0"/>
        <w:keepLines w:val="0"/>
        <w:pageBreakBefore w:val="0"/>
        <w:widowControl/>
        <w:numPr>
          <w:ilvl w:val="0"/>
          <w:numId w:val="7"/>
        </w:numPr>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560" w:name="_Toc18551"/>
      <w:bookmarkStart w:id="561" w:name="_Toc86"/>
      <w:bookmarkStart w:id="562" w:name="_Toc21845"/>
      <w:bookmarkStart w:id="563" w:name="_Toc25895"/>
      <w:bookmarkStart w:id="564" w:name="_Toc11305"/>
      <w:bookmarkStart w:id="565" w:name="_Toc14118"/>
      <w:bookmarkStart w:id="566" w:name="_Toc19371"/>
      <w:bookmarkStart w:id="567" w:name="_Toc10834"/>
      <w:bookmarkStart w:id="568" w:name="_Toc24132"/>
      <w:bookmarkStart w:id="569" w:name="_Toc16690"/>
      <w:bookmarkStart w:id="570" w:name="_Toc16710"/>
      <w:bookmarkStart w:id="571" w:name="_Toc6315"/>
      <w:bookmarkStart w:id="572" w:name="_Toc6100"/>
      <w:bookmarkStart w:id="573" w:name="_Toc26078"/>
      <w:bookmarkStart w:id="574" w:name="_Toc13373"/>
      <w:bookmarkStart w:id="575" w:name="_Toc17204"/>
      <w:bookmarkStart w:id="576" w:name="_Toc14041"/>
      <w:bookmarkStart w:id="577" w:name="_Toc13836"/>
      <w:bookmarkStart w:id="578" w:name="_Toc17854"/>
      <w:bookmarkStart w:id="579" w:name="_Toc17214"/>
      <w:bookmarkStart w:id="580" w:name="_Toc16681"/>
      <w:bookmarkStart w:id="581" w:name="_Toc5284"/>
      <w:bookmarkStart w:id="582" w:name="_Toc17915"/>
      <w:r>
        <w:rPr>
          <w:rFonts w:hint="eastAsia" w:ascii="楷体_GB2312" w:hAnsi="楷体_GB2312" w:eastAsia="楷体_GB2312" w:cs="楷体_GB2312"/>
          <w:b w:val="0"/>
          <w:bCs w:val="0"/>
          <w:color w:val="auto"/>
          <w:sz w:val="32"/>
          <w:szCs w:val="40"/>
          <w:highlight w:val="none"/>
          <w:lang w:val="en-US" w:eastAsia="zh-CN"/>
        </w:rPr>
        <w:t>建设宜居宜业和美乡村</w:t>
      </w:r>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p>
    <w:p w14:paraId="649BACB1">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rPr>
          <w:rFonts w:hint="eastAsia" w:ascii="Times New Roman" w:hAnsi="Times New Roman" w:eastAsia="仿宋_GB2312" w:cs="方正仿宋_GBK"/>
          <w:b w:val="0"/>
          <w:bCs w:val="0"/>
          <w:spacing w:val="0"/>
          <w:kern w:val="2"/>
          <w:highlight w:val="none"/>
        </w:rPr>
      </w:pPr>
      <w:r>
        <w:rPr>
          <w:rFonts w:hint="eastAsia" w:ascii="Times New Roman" w:hAnsi="Times New Roman" w:eastAsia="仿宋_GB2312" w:cs="方正仿宋_GBK"/>
          <w:b w:val="0"/>
          <w:bCs w:val="0"/>
          <w:spacing w:val="0"/>
          <w:kern w:val="2"/>
          <w:highlight w:val="none"/>
        </w:rPr>
        <w:t>学习运用“千万工程”经验，</w:t>
      </w:r>
      <w:r>
        <w:rPr>
          <w:rFonts w:hint="eastAsia" w:ascii="Times New Roman" w:hAnsi="Times New Roman" w:eastAsia="仿宋_GB2312" w:cs="方正仿宋_GBK"/>
          <w:b w:val="0"/>
          <w:bCs w:val="0"/>
          <w:spacing w:val="0"/>
          <w:kern w:val="2"/>
          <w:highlight w:val="none"/>
          <w:lang w:val="en-US" w:eastAsia="zh-CN"/>
        </w:rPr>
        <w:t>提高农村牧区基础设施完备度、公共服务便利度、人居环境舒适度，推动农村牧区基本具备现代化生活条件，</w:t>
      </w:r>
      <w:r>
        <w:rPr>
          <w:rFonts w:hint="eastAsia" w:ascii="Times New Roman" w:hAnsi="Times New Roman" w:eastAsia="仿宋_GB2312" w:cs="方正仿宋_GBK"/>
          <w:b w:val="0"/>
          <w:bCs w:val="0"/>
          <w:spacing w:val="0"/>
          <w:kern w:val="2"/>
          <w:highlight w:val="none"/>
        </w:rPr>
        <w:t>建设彰显塞北风情的宜居宜业和美乡村。</w:t>
      </w:r>
    </w:p>
    <w:p w14:paraId="6C460A7D">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spacing w:val="0"/>
          <w:kern w:val="2"/>
          <w:highlight w:val="none"/>
        </w:rPr>
      </w:pPr>
      <w:bookmarkStart w:id="583" w:name="_Toc28082"/>
      <w:r>
        <w:rPr>
          <w:rFonts w:hint="eastAsia" w:ascii="Times New Roman" w:hAnsi="Times New Roman" w:eastAsia="仿宋_GB2312" w:cs="方正仿宋_GBK"/>
          <w:b w:val="0"/>
          <w:bCs w:val="0"/>
          <w:color w:val="auto"/>
          <w:spacing w:val="0"/>
          <w:kern w:val="2"/>
          <w:highlight w:val="none"/>
          <w:lang w:val="en-US" w:eastAsia="zh-CN"/>
        </w:rPr>
        <w:t>持续</w:t>
      </w:r>
      <w:r>
        <w:rPr>
          <w:rFonts w:hint="eastAsia" w:eastAsia="仿宋_GB2312" w:cs="方正仿宋_GBK"/>
          <w:b w:val="0"/>
          <w:bCs w:val="0"/>
          <w:color w:val="auto"/>
          <w:spacing w:val="0"/>
          <w:kern w:val="2"/>
          <w:highlight w:val="none"/>
          <w:lang w:val="en-US" w:eastAsia="zh-CN"/>
        </w:rPr>
        <w:t>提升</w:t>
      </w:r>
      <w:r>
        <w:rPr>
          <w:rFonts w:hint="eastAsia" w:ascii="Times New Roman" w:hAnsi="Times New Roman" w:eastAsia="仿宋_GB2312" w:cs="方正仿宋_GBK"/>
          <w:b w:val="0"/>
          <w:bCs w:val="0"/>
          <w:color w:val="auto"/>
          <w:spacing w:val="0"/>
          <w:kern w:val="2"/>
          <w:highlight w:val="none"/>
          <w:lang w:val="en-US" w:eastAsia="zh-CN"/>
        </w:rPr>
        <w:t>农村</w:t>
      </w:r>
      <w:r>
        <w:rPr>
          <w:rFonts w:hint="eastAsia" w:eastAsia="仿宋_GB2312" w:cs="方正仿宋_GBK"/>
          <w:b w:val="0"/>
          <w:bCs w:val="0"/>
          <w:color w:val="auto"/>
          <w:spacing w:val="0"/>
          <w:kern w:val="2"/>
          <w:highlight w:val="none"/>
          <w:lang w:val="en-US" w:eastAsia="zh-CN"/>
        </w:rPr>
        <w:t>牧区</w:t>
      </w:r>
      <w:r>
        <w:rPr>
          <w:rFonts w:hint="eastAsia" w:ascii="Times New Roman" w:hAnsi="Times New Roman" w:eastAsia="仿宋_GB2312" w:cs="方正仿宋_GBK"/>
          <w:b w:val="0"/>
          <w:bCs w:val="0"/>
          <w:color w:val="auto"/>
          <w:spacing w:val="0"/>
          <w:kern w:val="2"/>
          <w:highlight w:val="none"/>
          <w:lang w:val="en-US" w:eastAsia="zh-CN"/>
        </w:rPr>
        <w:t>人居环境</w:t>
      </w:r>
      <w:bookmarkEnd w:id="583"/>
      <w:r>
        <w:rPr>
          <w:rFonts w:hint="eastAsia" w:eastAsia="仿宋_GB2312" w:cs="方正仿宋_GBK"/>
          <w:b w:val="0"/>
          <w:bCs w:val="0"/>
          <w:color w:val="auto"/>
          <w:spacing w:val="0"/>
          <w:kern w:val="2"/>
          <w:highlight w:val="none"/>
          <w:lang w:val="en-US" w:eastAsia="zh-CN"/>
        </w:rPr>
        <w:t>。</w:t>
      </w:r>
      <w:r>
        <w:rPr>
          <w:rFonts w:hint="eastAsia" w:ascii="Times New Roman" w:hAnsi="Times New Roman" w:eastAsia="仿宋_GB2312" w:cs="方正仿宋_GBK"/>
          <w:b w:val="0"/>
          <w:bCs w:val="0"/>
          <w:spacing w:val="0"/>
          <w:kern w:val="2"/>
          <w:highlight w:val="none"/>
        </w:rPr>
        <w:t>扎实推进厕所革命，坚持宜水则水、宜旱则旱，统筹考虑卫生厕所建设和后续管护工作，稳步扩大农村牧区卫生厕所普及范围。梯次推进农村</w:t>
      </w:r>
      <w:r>
        <w:rPr>
          <w:rFonts w:hint="eastAsia" w:eastAsia="仿宋_GB2312" w:cs="方正仿宋_GBK"/>
          <w:b w:val="0"/>
          <w:bCs w:val="0"/>
          <w:spacing w:val="0"/>
          <w:kern w:val="2"/>
          <w:highlight w:val="none"/>
          <w:lang w:val="en-US" w:eastAsia="zh-CN"/>
        </w:rPr>
        <w:t>牧区</w:t>
      </w:r>
      <w:r>
        <w:rPr>
          <w:rFonts w:hint="eastAsia" w:ascii="Times New Roman" w:hAnsi="Times New Roman" w:eastAsia="仿宋_GB2312" w:cs="方正仿宋_GBK"/>
          <w:b w:val="0"/>
          <w:bCs w:val="0"/>
          <w:spacing w:val="0"/>
          <w:kern w:val="2"/>
          <w:highlight w:val="none"/>
        </w:rPr>
        <w:t>生活污水治理，加强农村牧区污水、黑臭水体治理，优先治理人口聚集、环境敏感的重点区域，推广低成本、低能耗、易维护、高效率的污水处理技术和模式</w:t>
      </w:r>
      <w:r>
        <w:rPr>
          <w:rFonts w:hint="eastAsia" w:ascii="Times New Roman" w:hAnsi="Times New Roman"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因地制宜建设污水处理设施。健全农村</w:t>
      </w:r>
      <w:r>
        <w:rPr>
          <w:rFonts w:hint="eastAsia" w:ascii="Times New Roman" w:hAnsi="Times New Roman" w:eastAsia="仿宋_GB2312" w:cs="方正仿宋_GBK"/>
          <w:b w:val="0"/>
          <w:bCs w:val="0"/>
          <w:spacing w:val="0"/>
          <w:kern w:val="2"/>
          <w:highlight w:val="none"/>
          <w:lang w:val="en-US" w:eastAsia="zh-CN"/>
        </w:rPr>
        <w:t>牧区</w:t>
      </w:r>
      <w:r>
        <w:rPr>
          <w:rFonts w:hint="eastAsia" w:ascii="Times New Roman" w:hAnsi="Times New Roman" w:eastAsia="仿宋_GB2312" w:cs="方正仿宋_GBK"/>
          <w:b w:val="0"/>
          <w:bCs w:val="0"/>
          <w:spacing w:val="0"/>
          <w:kern w:val="2"/>
          <w:highlight w:val="none"/>
        </w:rPr>
        <w:t>生活垃圾收运处置体系，推行农村牧区生活垃圾源头分类减量和末端处理相结合的治理模式，完善“户分类、村收集、镇转运、区域处理”机制。整体提升村容村貌，深入实施村庄清洁行动，整治公共空间和庭院环境，消除私搭乱建、乱堆乱放，推动村庄从干净整洁向美丽宜居升级。全力推进乡村绿化美化建设，加快实施乡村绿化行动。不断健全完善农村牧区人居环境长效管护机制。</w:t>
      </w:r>
    </w:p>
    <w:p w14:paraId="63C4D12B">
      <w:pPr>
        <w:pStyle w:val="43"/>
        <w:keepNext w:val="0"/>
        <w:keepLines w:val="0"/>
        <w:pageBreakBefore w:val="0"/>
        <w:shd w:val="clear" w:color="auto" w:fill="auto"/>
        <w:kinsoku/>
        <w:wordWrap/>
        <w:topLinePunct w:val="0"/>
        <w:autoSpaceDE/>
        <w:autoSpaceDN/>
        <w:bidi w:val="0"/>
        <w:adjustRightInd/>
        <w:spacing w:line="540" w:lineRule="exact"/>
        <w:jc w:val="left"/>
        <w:textAlignment w:val="auto"/>
        <w:outlineLvl w:val="3"/>
        <w:rPr>
          <w:rFonts w:hint="eastAsia" w:ascii="Times New Roman" w:hAnsi="Times New Roman" w:eastAsia="仿宋_GB2312" w:cs="方正仿宋_GBK"/>
          <w:b w:val="0"/>
          <w:bCs w:val="0"/>
          <w:spacing w:val="0"/>
          <w:kern w:val="2"/>
          <w:highlight w:val="none"/>
        </w:rPr>
      </w:pPr>
      <w:bookmarkStart w:id="584" w:name="_Toc3032"/>
      <w:r>
        <w:rPr>
          <w:rFonts w:hint="eastAsia" w:eastAsia="仿宋_GB2312" w:cs="方正仿宋_GBK"/>
          <w:b w:val="0"/>
          <w:bCs w:val="0"/>
          <w:color w:val="auto"/>
          <w:spacing w:val="0"/>
          <w:kern w:val="2"/>
          <w:highlight w:val="none"/>
          <w:lang w:val="en-US" w:eastAsia="zh-CN"/>
        </w:rPr>
        <w:t>完善</w:t>
      </w:r>
      <w:r>
        <w:rPr>
          <w:rFonts w:hint="eastAsia" w:ascii="Times New Roman" w:hAnsi="Times New Roman" w:eastAsia="仿宋_GB2312" w:cs="方正仿宋_GBK"/>
          <w:b w:val="0"/>
          <w:bCs w:val="0"/>
          <w:color w:val="auto"/>
          <w:spacing w:val="0"/>
          <w:kern w:val="2"/>
          <w:highlight w:val="none"/>
        </w:rPr>
        <w:t>基础设施和公共服务</w:t>
      </w:r>
      <w:bookmarkEnd w:id="584"/>
      <w:r>
        <w:rPr>
          <w:rFonts w:hint="eastAsia" w:eastAsia="仿宋_GB2312" w:cs="方正仿宋_GBK"/>
          <w:b w:val="0"/>
          <w:bCs w:val="0"/>
          <w:color w:val="auto"/>
          <w:spacing w:val="0"/>
          <w:kern w:val="2"/>
          <w:highlight w:val="none"/>
          <w:lang w:eastAsia="zh-CN"/>
        </w:rPr>
        <w:t>。</w:t>
      </w:r>
      <w:r>
        <w:rPr>
          <w:rFonts w:hint="eastAsia" w:ascii="Times New Roman" w:hAnsi="Times New Roman" w:eastAsia="仿宋_GB2312" w:cs="方正仿宋_GBK"/>
          <w:b w:val="0"/>
          <w:bCs w:val="0"/>
          <w:spacing w:val="0"/>
          <w:kern w:val="2"/>
          <w:highlight w:val="none"/>
        </w:rPr>
        <w:t>推动城乡基础设施互联互通</w:t>
      </w:r>
      <w:r>
        <w:rPr>
          <w:rFonts w:hint="eastAsia" w:ascii="Times New Roman" w:hAnsi="Times New Roman" w:eastAsia="仿宋_GB2312" w:cs="方正仿宋_GBK"/>
          <w:b w:val="0"/>
          <w:bCs w:val="0"/>
          <w:spacing w:val="0"/>
          <w:kern w:val="2"/>
          <w:highlight w:val="none"/>
          <w:lang w:val="en-US" w:eastAsia="zh-CN"/>
        </w:rPr>
        <w:t>和公共服务优质共享。进一步畅通</w:t>
      </w:r>
      <w:r>
        <w:rPr>
          <w:rFonts w:hint="eastAsia" w:ascii="Times New Roman" w:hAnsi="Times New Roman" w:eastAsia="仿宋_GB2312" w:cs="方正仿宋_GBK"/>
          <w:b w:val="0"/>
          <w:bCs w:val="0"/>
          <w:spacing w:val="0"/>
          <w:kern w:val="2"/>
          <w:highlight w:val="none"/>
        </w:rPr>
        <w:t>农村</w:t>
      </w:r>
      <w:r>
        <w:rPr>
          <w:rFonts w:hint="eastAsia" w:eastAsia="仿宋_GB2312" w:cs="方正仿宋_GBK"/>
          <w:b w:val="0"/>
          <w:bCs w:val="0"/>
          <w:spacing w:val="0"/>
          <w:kern w:val="2"/>
          <w:highlight w:val="none"/>
          <w:lang w:val="en-US" w:eastAsia="zh-CN"/>
        </w:rPr>
        <w:t>牧区</w:t>
      </w:r>
      <w:r>
        <w:rPr>
          <w:rFonts w:hint="eastAsia" w:ascii="Times New Roman" w:hAnsi="Times New Roman" w:eastAsia="仿宋_GB2312" w:cs="方正仿宋_GBK"/>
          <w:b w:val="0"/>
          <w:bCs w:val="0"/>
          <w:spacing w:val="0"/>
          <w:kern w:val="2"/>
          <w:highlight w:val="none"/>
        </w:rPr>
        <w:t>道路</w:t>
      </w:r>
      <w:r>
        <w:rPr>
          <w:rFonts w:hint="eastAsia" w:ascii="Times New Roman" w:hAnsi="Times New Roman"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持续抓好“四好农村路”建设，推进较大人口规模自然村（组）通硬化路建设，深入推进农村公路“安全生命防护工程”</w:t>
      </w:r>
      <w:r>
        <w:rPr>
          <w:rFonts w:hint="eastAsia" w:ascii="Times New Roman" w:hAnsi="Times New Roman"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强化农村</w:t>
      </w:r>
      <w:r>
        <w:rPr>
          <w:rFonts w:hint="eastAsia" w:eastAsia="仿宋_GB2312" w:cs="方正仿宋_GBK"/>
          <w:b w:val="0"/>
          <w:bCs w:val="0"/>
          <w:spacing w:val="0"/>
          <w:kern w:val="2"/>
          <w:highlight w:val="none"/>
          <w:lang w:val="en-US" w:eastAsia="zh-CN"/>
        </w:rPr>
        <w:t>牧区</w:t>
      </w:r>
      <w:r>
        <w:rPr>
          <w:rFonts w:hint="eastAsia" w:ascii="Times New Roman" w:hAnsi="Times New Roman" w:eastAsia="仿宋_GB2312" w:cs="方正仿宋_GBK"/>
          <w:b w:val="0"/>
          <w:bCs w:val="0"/>
          <w:spacing w:val="0"/>
          <w:kern w:val="2"/>
          <w:highlight w:val="none"/>
        </w:rPr>
        <w:t>防汛抗旱和供水保障</w:t>
      </w:r>
      <w:r>
        <w:rPr>
          <w:rFonts w:hint="eastAsia" w:ascii="Times New Roman" w:hAnsi="Times New Roman"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加强防汛抗旱基础设施建设，实施规模化供水工程建设和小型供水工程标准化改造，稳步推进农村</w:t>
      </w:r>
      <w:r>
        <w:rPr>
          <w:rFonts w:hint="eastAsia" w:eastAsia="仿宋_GB2312" w:cs="方正仿宋_GBK"/>
          <w:b w:val="0"/>
          <w:bCs w:val="0"/>
          <w:spacing w:val="0"/>
          <w:kern w:val="2"/>
          <w:highlight w:val="none"/>
          <w:lang w:val="en-US" w:eastAsia="zh-CN"/>
        </w:rPr>
        <w:t>牧区</w:t>
      </w:r>
      <w:r>
        <w:rPr>
          <w:rFonts w:hint="eastAsia" w:ascii="Times New Roman" w:hAnsi="Times New Roman" w:eastAsia="仿宋_GB2312" w:cs="方正仿宋_GBK"/>
          <w:b w:val="0"/>
          <w:bCs w:val="0"/>
          <w:spacing w:val="0"/>
          <w:kern w:val="2"/>
          <w:highlight w:val="none"/>
        </w:rPr>
        <w:t>饮水安全向供水保障转变。</w:t>
      </w:r>
      <w:r>
        <w:rPr>
          <w:rFonts w:hint="eastAsia" w:ascii="Times New Roman" w:hAnsi="Times New Roman" w:eastAsia="仿宋_GB2312" w:cs="方正仿宋_GBK"/>
          <w:b w:val="0"/>
          <w:bCs w:val="0"/>
          <w:spacing w:val="0"/>
          <w:kern w:val="2"/>
          <w:highlight w:val="none"/>
          <w:lang w:val="en-US" w:eastAsia="zh-CN"/>
        </w:rPr>
        <w:t>推进</w:t>
      </w:r>
      <w:r>
        <w:rPr>
          <w:rFonts w:hint="eastAsia" w:ascii="Times New Roman" w:hAnsi="Times New Roman" w:eastAsia="仿宋_GB2312" w:cs="方正仿宋_GBK"/>
          <w:b w:val="0"/>
          <w:bCs w:val="0"/>
          <w:spacing w:val="0"/>
          <w:kern w:val="2"/>
          <w:highlight w:val="none"/>
        </w:rPr>
        <w:t>清洁能源建设</w:t>
      </w:r>
      <w:r>
        <w:rPr>
          <w:rFonts w:hint="eastAsia" w:ascii="Times New Roman" w:hAnsi="Times New Roman"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巩固提升农村</w:t>
      </w:r>
      <w:r>
        <w:rPr>
          <w:rFonts w:hint="eastAsia" w:eastAsia="仿宋_GB2312" w:cs="方正仿宋_GBK"/>
          <w:b w:val="0"/>
          <w:bCs w:val="0"/>
          <w:spacing w:val="0"/>
          <w:kern w:val="2"/>
          <w:highlight w:val="none"/>
          <w:lang w:val="en-US" w:eastAsia="zh-CN"/>
        </w:rPr>
        <w:t>牧区</w:t>
      </w:r>
      <w:r>
        <w:rPr>
          <w:rFonts w:hint="eastAsia" w:ascii="Times New Roman" w:hAnsi="Times New Roman" w:eastAsia="仿宋_GB2312" w:cs="方正仿宋_GBK"/>
          <w:b w:val="0"/>
          <w:bCs w:val="0"/>
          <w:spacing w:val="0"/>
          <w:kern w:val="2"/>
          <w:highlight w:val="none"/>
        </w:rPr>
        <w:t>电力保障水平，推进城乡配电网建设，提高边远地区供电保障能力</w:t>
      </w:r>
      <w:r>
        <w:rPr>
          <w:rFonts w:hint="eastAsia" w:ascii="Times New Roman" w:hAnsi="Times New Roman"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发展太阳能、风能、水能、地热能、生物质能等清洁能源，稳妥有序推进农村</w:t>
      </w:r>
      <w:r>
        <w:rPr>
          <w:rFonts w:hint="eastAsia" w:ascii="Times New Roman" w:hAnsi="Times New Roman" w:eastAsia="仿宋_GB2312" w:cs="方正仿宋_GBK"/>
          <w:b w:val="0"/>
          <w:bCs w:val="0"/>
          <w:spacing w:val="0"/>
          <w:kern w:val="2"/>
          <w:highlight w:val="none"/>
          <w:lang w:eastAsia="zh-CN"/>
        </w:rPr>
        <w:t>牧区</w:t>
      </w:r>
      <w:r>
        <w:rPr>
          <w:rFonts w:hint="eastAsia" w:ascii="Times New Roman" w:hAnsi="Times New Roman" w:eastAsia="仿宋_GB2312" w:cs="方正仿宋_GBK"/>
          <w:b w:val="0"/>
          <w:bCs w:val="0"/>
          <w:spacing w:val="0"/>
          <w:kern w:val="2"/>
          <w:highlight w:val="none"/>
        </w:rPr>
        <w:t>清洁取暖。</w:t>
      </w:r>
      <w:r>
        <w:rPr>
          <w:rFonts w:hint="eastAsia" w:ascii="Times New Roman" w:hAnsi="Times New Roman" w:eastAsia="仿宋_GB2312" w:cs="方正仿宋_GBK"/>
          <w:b w:val="0"/>
          <w:bCs w:val="0"/>
          <w:spacing w:val="0"/>
          <w:kern w:val="2"/>
          <w:highlight w:val="none"/>
          <w:lang w:val="en-US" w:eastAsia="zh-CN"/>
        </w:rPr>
        <w:t>建设</w:t>
      </w:r>
      <w:r>
        <w:rPr>
          <w:rFonts w:hint="eastAsia" w:ascii="Times New Roman" w:hAnsi="Times New Roman" w:eastAsia="仿宋_GB2312" w:cs="方正仿宋_GBK"/>
          <w:b w:val="0"/>
          <w:bCs w:val="0"/>
          <w:spacing w:val="0"/>
          <w:kern w:val="2"/>
          <w:highlight w:val="none"/>
        </w:rPr>
        <w:t>数字乡村</w:t>
      </w:r>
      <w:r>
        <w:rPr>
          <w:rFonts w:hint="eastAsia" w:ascii="Times New Roman" w:hAnsi="Times New Roman"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推进数字技术与农村生产生活深度融合，持续开展</w:t>
      </w:r>
      <w:r>
        <w:rPr>
          <w:rFonts w:hint="eastAsia" w:eastAsia="仿宋_GB2312" w:cs="方正仿宋_GBK"/>
          <w:b w:val="0"/>
          <w:bCs w:val="0"/>
          <w:spacing w:val="0"/>
          <w:kern w:val="2"/>
          <w:highlight w:val="none"/>
          <w:lang w:val="en-US" w:eastAsia="zh-CN"/>
        </w:rPr>
        <w:t>自治区</w:t>
      </w:r>
      <w:r>
        <w:rPr>
          <w:rFonts w:hint="eastAsia" w:ascii="Times New Roman" w:hAnsi="Times New Roman" w:eastAsia="仿宋_GB2312" w:cs="方正仿宋_GBK"/>
          <w:b w:val="0"/>
          <w:bCs w:val="0"/>
          <w:spacing w:val="0"/>
          <w:kern w:val="2"/>
          <w:highlight w:val="none"/>
        </w:rPr>
        <w:t>数字乡村试点</w:t>
      </w:r>
      <w:r>
        <w:rPr>
          <w:rFonts w:hint="eastAsia" w:ascii="Times New Roman" w:hAnsi="Times New Roman"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加强农村</w:t>
      </w:r>
      <w:r>
        <w:rPr>
          <w:rFonts w:hint="eastAsia" w:eastAsia="仿宋_GB2312" w:cs="方正仿宋_GBK"/>
          <w:b w:val="0"/>
          <w:bCs w:val="0"/>
          <w:spacing w:val="0"/>
          <w:kern w:val="2"/>
          <w:highlight w:val="none"/>
          <w:lang w:val="en-US" w:eastAsia="zh-CN"/>
        </w:rPr>
        <w:t>牧区</w:t>
      </w:r>
      <w:r>
        <w:rPr>
          <w:rFonts w:hint="eastAsia" w:ascii="Times New Roman" w:hAnsi="Times New Roman" w:eastAsia="仿宋_GB2312" w:cs="方正仿宋_GBK"/>
          <w:b w:val="0"/>
          <w:bCs w:val="0"/>
          <w:spacing w:val="0"/>
          <w:kern w:val="2"/>
          <w:highlight w:val="none"/>
        </w:rPr>
        <w:t>信息基础设施建设，深化光纤网络、移动通信网络、数字电视覆盖，进一步提升农村</w:t>
      </w:r>
      <w:r>
        <w:rPr>
          <w:rFonts w:hint="eastAsia" w:eastAsia="仿宋_GB2312" w:cs="方正仿宋_GBK"/>
          <w:b w:val="0"/>
          <w:bCs w:val="0"/>
          <w:spacing w:val="0"/>
          <w:kern w:val="2"/>
          <w:highlight w:val="none"/>
          <w:lang w:val="en-US" w:eastAsia="zh-CN"/>
        </w:rPr>
        <w:t>牧区</w:t>
      </w:r>
      <w:r>
        <w:rPr>
          <w:rFonts w:hint="eastAsia" w:ascii="Times New Roman" w:hAnsi="Times New Roman" w:eastAsia="仿宋_GB2312" w:cs="方正仿宋_GBK"/>
          <w:b w:val="0"/>
          <w:bCs w:val="0"/>
          <w:spacing w:val="0"/>
          <w:kern w:val="2"/>
          <w:highlight w:val="none"/>
        </w:rPr>
        <w:t>通信网络质量和覆盖水平。</w:t>
      </w:r>
      <w:r>
        <w:rPr>
          <w:rFonts w:hint="eastAsia" w:ascii="Times New Roman" w:hAnsi="Times New Roman" w:eastAsia="仿宋_GB2312" w:cs="方正仿宋_GBK"/>
          <w:b w:val="0"/>
          <w:bCs w:val="0"/>
          <w:spacing w:val="0"/>
          <w:kern w:val="2"/>
          <w:highlight w:val="none"/>
          <w:lang w:val="en-US" w:eastAsia="zh-CN"/>
        </w:rPr>
        <w:t>提升</w:t>
      </w:r>
      <w:r>
        <w:rPr>
          <w:rFonts w:hint="eastAsia" w:ascii="Times New Roman" w:hAnsi="Times New Roman" w:eastAsia="仿宋_GB2312" w:cs="方正仿宋_GBK"/>
          <w:b w:val="0"/>
          <w:bCs w:val="0"/>
          <w:spacing w:val="0"/>
          <w:kern w:val="2"/>
          <w:highlight w:val="none"/>
        </w:rPr>
        <w:t>农房质量安全</w:t>
      </w:r>
      <w:r>
        <w:rPr>
          <w:rFonts w:hint="eastAsia" w:ascii="Times New Roman" w:hAnsi="Times New Roman"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推进农村</w:t>
      </w:r>
      <w:r>
        <w:rPr>
          <w:rFonts w:hint="eastAsia" w:eastAsia="仿宋_GB2312" w:cs="方正仿宋_GBK"/>
          <w:b w:val="0"/>
          <w:bCs w:val="0"/>
          <w:spacing w:val="0"/>
          <w:kern w:val="2"/>
          <w:highlight w:val="none"/>
          <w:lang w:val="en-US" w:eastAsia="zh-CN"/>
        </w:rPr>
        <w:t>牧区</w:t>
      </w:r>
      <w:r>
        <w:rPr>
          <w:rFonts w:hint="eastAsia" w:ascii="Times New Roman" w:hAnsi="Times New Roman" w:eastAsia="仿宋_GB2312" w:cs="方正仿宋_GBK"/>
          <w:b w:val="0"/>
          <w:bCs w:val="0"/>
          <w:spacing w:val="0"/>
          <w:kern w:val="2"/>
          <w:highlight w:val="none"/>
        </w:rPr>
        <w:t>低收入群体等重点对象危房改造和地震高烈度设防地区农房抗震改造，逐步建立健全农村</w:t>
      </w:r>
      <w:r>
        <w:rPr>
          <w:rFonts w:hint="eastAsia" w:eastAsia="仿宋_GB2312" w:cs="方正仿宋_GBK"/>
          <w:b w:val="0"/>
          <w:bCs w:val="0"/>
          <w:spacing w:val="0"/>
          <w:kern w:val="2"/>
          <w:highlight w:val="none"/>
          <w:lang w:val="en-US" w:eastAsia="zh-CN"/>
        </w:rPr>
        <w:t>牧区</w:t>
      </w:r>
      <w:r>
        <w:rPr>
          <w:rFonts w:hint="eastAsia" w:ascii="Times New Roman" w:hAnsi="Times New Roman" w:eastAsia="仿宋_GB2312" w:cs="方正仿宋_GBK"/>
          <w:b w:val="0"/>
          <w:bCs w:val="0"/>
          <w:spacing w:val="0"/>
          <w:kern w:val="2"/>
          <w:highlight w:val="none"/>
        </w:rPr>
        <w:t>低收入群体住房安全保障长效机制。推动基本公共服务资源下沉，提高农村</w:t>
      </w:r>
      <w:r>
        <w:rPr>
          <w:rFonts w:hint="eastAsia" w:eastAsia="仿宋_GB2312" w:cs="方正仿宋_GBK"/>
          <w:b w:val="0"/>
          <w:bCs w:val="0"/>
          <w:spacing w:val="0"/>
          <w:kern w:val="2"/>
          <w:highlight w:val="none"/>
          <w:lang w:val="en-US" w:eastAsia="zh-CN"/>
        </w:rPr>
        <w:t>牧区</w:t>
      </w:r>
      <w:r>
        <w:rPr>
          <w:rFonts w:hint="eastAsia" w:ascii="Times New Roman" w:hAnsi="Times New Roman" w:eastAsia="仿宋_GB2312" w:cs="方正仿宋_GBK"/>
          <w:b w:val="0"/>
          <w:bCs w:val="0"/>
          <w:spacing w:val="0"/>
          <w:kern w:val="2"/>
          <w:highlight w:val="none"/>
        </w:rPr>
        <w:t>教育、医疗、养老、文化等公共服务供给质量，推进城乡基本公共服务标准统一、制度并轨。加强</w:t>
      </w:r>
      <w:r>
        <w:rPr>
          <w:rFonts w:hint="eastAsia" w:eastAsia="仿宋_GB2312" w:cs="方正仿宋_GBK"/>
          <w:b w:val="0"/>
          <w:bCs w:val="0"/>
          <w:spacing w:val="0"/>
          <w:kern w:val="2"/>
          <w:highlight w:val="none"/>
          <w:lang w:val="en-US" w:eastAsia="zh-CN"/>
        </w:rPr>
        <w:t>苏木</w:t>
      </w:r>
      <w:r>
        <w:rPr>
          <w:rFonts w:hint="eastAsia" w:ascii="Times New Roman" w:hAnsi="Times New Roman" w:eastAsia="仿宋_GB2312" w:cs="方正仿宋_GBK"/>
          <w:b w:val="0"/>
          <w:bCs w:val="0"/>
          <w:spacing w:val="0"/>
          <w:kern w:val="2"/>
          <w:highlight w:val="none"/>
        </w:rPr>
        <w:t>乡镇卫生院和</w:t>
      </w:r>
      <w:r>
        <w:rPr>
          <w:rFonts w:hint="eastAsia" w:eastAsia="仿宋_GB2312" w:cs="方正仿宋_GBK"/>
          <w:b w:val="0"/>
          <w:bCs w:val="0"/>
          <w:spacing w:val="0"/>
          <w:kern w:val="2"/>
          <w:highlight w:val="none"/>
          <w:lang w:val="en-US" w:eastAsia="zh-CN"/>
        </w:rPr>
        <w:t>嘎查</w:t>
      </w:r>
      <w:r>
        <w:rPr>
          <w:rFonts w:hint="eastAsia" w:ascii="Times New Roman" w:hAnsi="Times New Roman" w:eastAsia="仿宋_GB2312" w:cs="方正仿宋_GBK"/>
          <w:b w:val="0"/>
          <w:bCs w:val="0"/>
          <w:spacing w:val="0"/>
          <w:kern w:val="2"/>
          <w:highlight w:val="none"/>
        </w:rPr>
        <w:t>村卫生室服务能力建设，完善农村</w:t>
      </w:r>
      <w:r>
        <w:rPr>
          <w:rFonts w:hint="eastAsia" w:eastAsia="仿宋_GB2312" w:cs="方正仿宋_GBK"/>
          <w:b w:val="0"/>
          <w:bCs w:val="0"/>
          <w:spacing w:val="0"/>
          <w:kern w:val="2"/>
          <w:highlight w:val="none"/>
          <w:lang w:val="en-US" w:eastAsia="zh-CN"/>
        </w:rPr>
        <w:t>牧区</w:t>
      </w:r>
      <w:r>
        <w:rPr>
          <w:rFonts w:hint="eastAsia" w:ascii="Times New Roman" w:hAnsi="Times New Roman" w:eastAsia="仿宋_GB2312" w:cs="方正仿宋_GBK"/>
          <w:b w:val="0"/>
          <w:bCs w:val="0"/>
          <w:spacing w:val="0"/>
          <w:kern w:val="2"/>
          <w:highlight w:val="none"/>
        </w:rPr>
        <w:t>养老服务体系，发展农村</w:t>
      </w:r>
      <w:r>
        <w:rPr>
          <w:rFonts w:hint="eastAsia" w:eastAsia="仿宋_GB2312" w:cs="方正仿宋_GBK"/>
          <w:b w:val="0"/>
          <w:bCs w:val="0"/>
          <w:spacing w:val="0"/>
          <w:kern w:val="2"/>
          <w:highlight w:val="none"/>
          <w:lang w:val="en-US" w:eastAsia="zh-CN"/>
        </w:rPr>
        <w:t>牧区</w:t>
      </w:r>
      <w:r>
        <w:rPr>
          <w:rFonts w:hint="eastAsia" w:ascii="Times New Roman" w:hAnsi="Times New Roman" w:eastAsia="仿宋_GB2312" w:cs="方正仿宋_GBK"/>
          <w:b w:val="0"/>
          <w:bCs w:val="0"/>
          <w:spacing w:val="0"/>
          <w:kern w:val="2"/>
          <w:highlight w:val="none"/>
        </w:rPr>
        <w:t>互助式养老。</w:t>
      </w:r>
    </w:p>
    <w:p w14:paraId="11B3C2B1">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default" w:ascii="Times New Roman" w:hAnsi="Times New Roman" w:eastAsia="方正仿宋_GBK" w:cs="方正仿宋_GBK"/>
          <w:b w:val="0"/>
          <w:bCs w:val="0"/>
          <w:spacing w:val="0"/>
          <w:kern w:val="2"/>
          <w:highlight w:val="none"/>
          <w:lang w:val="en-US"/>
        </w:rPr>
      </w:pPr>
      <w:bookmarkStart w:id="585" w:name="_Toc16070"/>
      <w:r>
        <w:rPr>
          <w:rFonts w:hint="eastAsia" w:ascii="Times New Roman" w:hAnsi="Times New Roman" w:eastAsia="仿宋_GB2312" w:cs="方正仿宋_GBK"/>
          <w:b w:val="0"/>
          <w:bCs w:val="0"/>
          <w:color w:val="auto"/>
          <w:spacing w:val="0"/>
          <w:kern w:val="2"/>
          <w:highlight w:val="none"/>
        </w:rPr>
        <w:t>强化乡村风貌</w:t>
      </w:r>
      <w:r>
        <w:rPr>
          <w:rFonts w:hint="eastAsia" w:ascii="Times New Roman" w:hAnsi="Times New Roman" w:eastAsia="仿宋_GB2312" w:cs="方正仿宋_GBK"/>
          <w:b w:val="0"/>
          <w:bCs w:val="0"/>
          <w:color w:val="auto"/>
          <w:spacing w:val="0"/>
          <w:kern w:val="2"/>
          <w:highlight w:val="none"/>
          <w:lang w:val="en-US" w:eastAsia="zh-CN"/>
        </w:rPr>
        <w:t>管控</w:t>
      </w:r>
      <w:r>
        <w:rPr>
          <w:rFonts w:hint="eastAsia" w:ascii="Times New Roman" w:hAnsi="Times New Roman" w:eastAsia="仿宋_GB2312" w:cs="方正仿宋_GBK"/>
          <w:b w:val="0"/>
          <w:bCs w:val="0"/>
          <w:color w:val="auto"/>
          <w:spacing w:val="0"/>
          <w:kern w:val="2"/>
          <w:highlight w:val="none"/>
        </w:rPr>
        <w:t>和建设管理</w:t>
      </w:r>
      <w:bookmarkEnd w:id="585"/>
      <w:r>
        <w:rPr>
          <w:rFonts w:hint="eastAsia" w:eastAsia="仿宋_GB2312" w:cs="方正仿宋_GBK"/>
          <w:b w:val="0"/>
          <w:bCs w:val="0"/>
          <w:color w:val="auto"/>
          <w:spacing w:val="0"/>
          <w:kern w:val="2"/>
          <w:highlight w:val="none"/>
          <w:lang w:eastAsia="zh-CN"/>
        </w:rPr>
        <w:t>。</w:t>
      </w:r>
      <w:r>
        <w:rPr>
          <w:rFonts w:hint="eastAsia" w:ascii="Times New Roman" w:hAnsi="Times New Roman" w:eastAsia="仿宋_GB2312" w:cs="方正仿宋_GBK"/>
          <w:b w:val="0"/>
          <w:bCs w:val="0"/>
          <w:spacing w:val="0"/>
          <w:kern w:val="2"/>
          <w:highlight w:val="none"/>
        </w:rPr>
        <w:t>进一步修改完善</w:t>
      </w:r>
      <w:r>
        <w:rPr>
          <w:rFonts w:hint="eastAsia" w:ascii="Times New Roman" w:hAnsi="Times New Roman" w:eastAsia="仿宋_GB2312" w:cs="方正仿宋_GBK"/>
          <w:b w:val="0"/>
          <w:bCs w:val="0"/>
          <w:spacing w:val="0"/>
          <w:kern w:val="2"/>
          <w:highlight w:val="none"/>
          <w:lang w:eastAsia="zh-CN"/>
        </w:rPr>
        <w:t>村庄</w:t>
      </w:r>
      <w:r>
        <w:rPr>
          <w:rFonts w:hint="eastAsia" w:ascii="Times New Roman" w:hAnsi="Times New Roman" w:eastAsia="仿宋_GB2312" w:cs="方正仿宋_GBK"/>
          <w:b w:val="0"/>
          <w:bCs w:val="0"/>
          <w:spacing w:val="0"/>
          <w:kern w:val="2"/>
          <w:highlight w:val="none"/>
        </w:rPr>
        <w:t>建设规划，优化村庄布局，</w:t>
      </w:r>
      <w:r>
        <w:rPr>
          <w:rFonts w:hint="eastAsia" w:ascii="Times New Roman" w:hAnsi="Times New Roman" w:eastAsia="仿宋_GB2312" w:cs="方正仿宋_GBK"/>
          <w:b w:val="0"/>
          <w:bCs w:val="0"/>
          <w:spacing w:val="0"/>
          <w:kern w:val="2"/>
          <w:highlight w:val="none"/>
          <w:lang w:eastAsia="zh-CN"/>
        </w:rPr>
        <w:t>严守耕地红线，</w:t>
      </w:r>
      <w:r>
        <w:rPr>
          <w:rFonts w:hint="eastAsia" w:ascii="Times New Roman" w:hAnsi="Times New Roman" w:eastAsia="仿宋_GB2312" w:cs="方正仿宋_GBK"/>
          <w:b w:val="0"/>
          <w:bCs w:val="0"/>
          <w:spacing w:val="0"/>
          <w:kern w:val="2"/>
          <w:highlight w:val="none"/>
        </w:rPr>
        <w:t>有序推进“多规合一”实用性村庄规划编制工作</w:t>
      </w:r>
      <w:r>
        <w:rPr>
          <w:rFonts w:hint="eastAsia" w:ascii="Times New Roman" w:hAnsi="Times New Roman"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尊重农牧民意愿，突出乡村特色，注重保护保留乡村风貌，慎砍树、不填湖、少拆房，防止大拆大建、千村一面。加强传统村落、民族特色村镇和历史文化名村名镇保护利用。建立农村</w:t>
      </w:r>
      <w:r>
        <w:rPr>
          <w:rFonts w:hint="eastAsia" w:eastAsia="仿宋_GB2312" w:cs="方正仿宋_GBK"/>
          <w:b w:val="0"/>
          <w:bCs w:val="0"/>
          <w:spacing w:val="0"/>
          <w:kern w:val="2"/>
          <w:highlight w:val="none"/>
          <w:lang w:val="en-US" w:eastAsia="zh-CN"/>
        </w:rPr>
        <w:t>牧区</w:t>
      </w:r>
      <w:r>
        <w:rPr>
          <w:rFonts w:hint="eastAsia" w:ascii="Times New Roman" w:hAnsi="Times New Roman" w:eastAsia="仿宋_GB2312" w:cs="方正仿宋_GBK"/>
          <w:b w:val="0"/>
          <w:bCs w:val="0"/>
          <w:spacing w:val="0"/>
          <w:kern w:val="2"/>
          <w:highlight w:val="none"/>
        </w:rPr>
        <w:t>住房建设质量安全管理制度，提高农房设计水平和建造质量。建立健全村庄环境长效管护机制，明确管护主体、管护责任、管护经费、管护标准，确保建得好、管得住、长受益。</w:t>
      </w:r>
      <w:r>
        <w:rPr>
          <w:rFonts w:hint="eastAsia" w:ascii="Times New Roman" w:hAnsi="Times New Roman" w:eastAsia="仿宋_GB2312" w:cs="方正仿宋_GBK"/>
          <w:b w:val="0"/>
          <w:bCs w:val="0"/>
          <w:spacing w:val="0"/>
          <w:kern w:val="2"/>
          <w:highlight w:val="none"/>
          <w:lang w:val="en-US" w:eastAsia="zh-CN"/>
        </w:rPr>
        <w:t>大力推动乡村振兴产业带和片区建设，围绕城市城镇周边、主干公路两侧和主要河流两岸，打造一批和美乡村建设典型。</w:t>
      </w:r>
    </w:p>
    <w:p w14:paraId="534D4BC0">
      <w:pPr>
        <w:keepNext w:val="0"/>
        <w:keepLines w:val="0"/>
        <w:pageBreakBefore w:val="0"/>
        <w:widowControl/>
        <w:numPr>
          <w:ilvl w:val="0"/>
          <w:numId w:val="7"/>
        </w:numPr>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586" w:name="_Toc8141"/>
      <w:bookmarkStart w:id="587" w:name="_Toc10297"/>
      <w:bookmarkStart w:id="588" w:name="_Toc14174"/>
      <w:bookmarkStart w:id="589" w:name="_Toc11279"/>
      <w:bookmarkStart w:id="590" w:name="_Toc11995"/>
      <w:bookmarkStart w:id="591" w:name="_Toc13527"/>
      <w:bookmarkStart w:id="592" w:name="_Toc18431"/>
      <w:bookmarkStart w:id="593" w:name="_Toc7348"/>
      <w:bookmarkStart w:id="594" w:name="_Toc17795"/>
      <w:bookmarkStart w:id="595" w:name="_Toc15826"/>
      <w:bookmarkStart w:id="596" w:name="_Toc31481"/>
      <w:bookmarkStart w:id="597" w:name="_Toc10944"/>
      <w:bookmarkStart w:id="598" w:name="_Toc2250"/>
      <w:bookmarkStart w:id="599" w:name="_Toc433"/>
      <w:r>
        <w:rPr>
          <w:rFonts w:hint="eastAsia" w:ascii="楷体_GB2312" w:hAnsi="楷体_GB2312" w:eastAsia="楷体_GB2312" w:cs="楷体_GB2312"/>
          <w:b w:val="0"/>
          <w:bCs w:val="0"/>
          <w:color w:val="auto"/>
          <w:sz w:val="32"/>
          <w:szCs w:val="40"/>
          <w:highlight w:val="none"/>
          <w:lang w:val="en-US" w:eastAsia="zh-CN"/>
        </w:rPr>
        <w:t>激发农村牧区内生发展动力</w:t>
      </w:r>
      <w:bookmarkEnd w:id="574"/>
      <w:bookmarkEnd w:id="575"/>
      <w:bookmarkEnd w:id="576"/>
      <w:bookmarkEnd w:id="577"/>
      <w:bookmarkEnd w:id="578"/>
      <w:bookmarkEnd w:id="579"/>
      <w:bookmarkEnd w:id="580"/>
      <w:bookmarkEnd w:id="581"/>
      <w:bookmarkEnd w:id="582"/>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p>
    <w:p w14:paraId="66AF4B6D">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rPr>
          <w:rFonts w:hint="eastAsia" w:ascii="Times New Roman" w:hAnsi="Times New Roman" w:eastAsia="仿宋_GB2312" w:cs="方正仿宋_GBK"/>
          <w:b w:val="0"/>
          <w:bCs w:val="0"/>
          <w:spacing w:val="0"/>
          <w:kern w:val="2"/>
          <w:highlight w:val="none"/>
        </w:rPr>
      </w:pPr>
      <w:r>
        <w:rPr>
          <w:rFonts w:hint="eastAsia" w:ascii="Times New Roman" w:hAnsi="Times New Roman" w:eastAsia="仿宋_GB2312" w:cs="方正仿宋_GBK"/>
          <w:b w:val="0"/>
          <w:bCs w:val="0"/>
          <w:spacing w:val="0"/>
          <w:kern w:val="2"/>
          <w:highlight w:val="none"/>
        </w:rPr>
        <w:t>扎实推进农村牧区重点领域和关键环节改革，破除体制机制弊端，激发资源要素活力，为乡村全面振兴注入强大动力。</w:t>
      </w:r>
    </w:p>
    <w:p w14:paraId="041E4984">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default" w:ascii="Times New Roman" w:hAnsi="Times New Roman" w:eastAsia="仿宋_GB2312" w:cs="方正仿宋_GBK"/>
          <w:b w:val="0"/>
          <w:bCs w:val="0"/>
          <w:spacing w:val="0"/>
          <w:kern w:val="2"/>
          <w:highlight w:val="none"/>
          <w:lang w:val="en-US" w:eastAsia="zh-CN"/>
        </w:rPr>
      </w:pPr>
      <w:bookmarkStart w:id="600" w:name="_Toc26996"/>
      <w:r>
        <w:rPr>
          <w:rFonts w:hint="eastAsia" w:ascii="Times New Roman" w:hAnsi="Times New Roman" w:eastAsia="仿宋_GB2312" w:cs="方正仿宋_GBK"/>
          <w:b w:val="0"/>
          <w:bCs w:val="0"/>
          <w:color w:val="auto"/>
          <w:spacing w:val="0"/>
          <w:kern w:val="2"/>
          <w:highlight w:val="none"/>
        </w:rPr>
        <w:t>巩固完善农村</w:t>
      </w:r>
      <w:r>
        <w:rPr>
          <w:rFonts w:hint="eastAsia" w:eastAsia="仿宋_GB2312" w:cs="方正仿宋_GBK"/>
          <w:b w:val="0"/>
          <w:bCs w:val="0"/>
          <w:color w:val="auto"/>
          <w:spacing w:val="0"/>
          <w:kern w:val="2"/>
          <w:highlight w:val="none"/>
          <w:lang w:val="en-US" w:eastAsia="zh-CN"/>
        </w:rPr>
        <w:t>牧区</w:t>
      </w:r>
      <w:r>
        <w:rPr>
          <w:rFonts w:hint="eastAsia" w:ascii="Times New Roman" w:hAnsi="Times New Roman" w:eastAsia="仿宋_GB2312" w:cs="方正仿宋_GBK"/>
          <w:b w:val="0"/>
          <w:bCs w:val="0"/>
          <w:color w:val="auto"/>
          <w:spacing w:val="0"/>
          <w:kern w:val="2"/>
          <w:highlight w:val="none"/>
        </w:rPr>
        <w:t>基本经营制度</w:t>
      </w:r>
      <w:bookmarkEnd w:id="600"/>
      <w:r>
        <w:rPr>
          <w:rFonts w:hint="eastAsia" w:eastAsia="仿宋_GB2312" w:cs="方正仿宋_GBK"/>
          <w:b w:val="0"/>
          <w:bCs w:val="0"/>
          <w:color w:val="auto"/>
          <w:spacing w:val="0"/>
          <w:kern w:val="2"/>
          <w:highlight w:val="none"/>
          <w:lang w:eastAsia="zh-CN"/>
        </w:rPr>
        <w:t>。</w:t>
      </w:r>
      <w:r>
        <w:rPr>
          <w:rFonts w:hint="eastAsia" w:ascii="Times New Roman" w:hAnsi="Times New Roman" w:eastAsia="仿宋_GB2312" w:cs="方正仿宋_GBK"/>
          <w:b w:val="0"/>
          <w:bCs w:val="0"/>
          <w:spacing w:val="0"/>
          <w:kern w:val="2"/>
          <w:highlight w:val="none"/>
          <w:lang w:val="en-US" w:eastAsia="zh-CN"/>
        </w:rPr>
        <w:t>持续深化</w:t>
      </w:r>
      <w:r>
        <w:rPr>
          <w:rFonts w:hint="eastAsia" w:eastAsia="仿宋_GB2312" w:cs="方正仿宋_GBK"/>
          <w:b w:val="0"/>
          <w:bCs w:val="0"/>
          <w:spacing w:val="0"/>
          <w:kern w:val="2"/>
          <w:highlight w:val="none"/>
          <w:lang w:val="en-US" w:eastAsia="zh-CN"/>
        </w:rPr>
        <w:t>承包地“三权”分置、</w:t>
      </w:r>
      <w:r>
        <w:rPr>
          <w:rFonts w:hint="eastAsia" w:ascii="Times New Roman" w:hAnsi="Times New Roman" w:eastAsia="仿宋_GB2312" w:cs="方正仿宋_GBK"/>
          <w:b w:val="0"/>
          <w:bCs w:val="0"/>
          <w:spacing w:val="0"/>
          <w:kern w:val="2"/>
          <w:highlight w:val="none"/>
          <w:lang w:val="en-US" w:eastAsia="zh-CN"/>
        </w:rPr>
        <w:t>“三位一体”、</w:t>
      </w:r>
      <w:r>
        <w:rPr>
          <w:rFonts w:hint="eastAsia" w:eastAsia="仿宋_GB2312" w:cs="方正仿宋_GBK"/>
          <w:b w:val="0"/>
          <w:bCs w:val="0"/>
          <w:spacing w:val="0"/>
          <w:kern w:val="2"/>
          <w:highlight w:val="none"/>
          <w:lang w:val="en-US" w:eastAsia="zh-CN"/>
        </w:rPr>
        <w:t>农业社会化服务</w:t>
      </w:r>
      <w:r>
        <w:rPr>
          <w:rFonts w:hint="eastAsia" w:ascii="Times New Roman" w:hAnsi="Times New Roman" w:eastAsia="仿宋_GB2312" w:cs="方正仿宋_GBK"/>
          <w:b w:val="0"/>
          <w:bCs w:val="0"/>
          <w:spacing w:val="0"/>
          <w:kern w:val="2"/>
          <w:highlight w:val="none"/>
          <w:lang w:val="en-US" w:eastAsia="zh-CN"/>
        </w:rPr>
        <w:t>等方面改革，稳步扩大推广范围</w:t>
      </w:r>
      <w:r>
        <w:rPr>
          <w:rFonts w:hint="eastAsia" w:eastAsia="仿宋_GB2312" w:cs="方正仿宋_GBK"/>
          <w:b w:val="0"/>
          <w:bCs w:val="0"/>
          <w:spacing w:val="0"/>
          <w:kern w:val="2"/>
          <w:highlight w:val="none"/>
          <w:lang w:val="en-US" w:eastAsia="zh-CN"/>
        </w:rPr>
        <w:t>；</w:t>
      </w:r>
      <w:r>
        <w:rPr>
          <w:rFonts w:hint="eastAsia" w:ascii="Times New Roman" w:hAnsi="Times New Roman" w:eastAsia="仿宋_GB2312" w:cs="方正仿宋_GBK"/>
          <w:b w:val="0"/>
          <w:bCs w:val="0"/>
          <w:spacing w:val="0"/>
          <w:kern w:val="2"/>
          <w:highlight w:val="none"/>
          <w:lang w:val="en-US" w:eastAsia="zh-CN"/>
        </w:rPr>
        <w:t>提升完善</w:t>
      </w:r>
      <w:r>
        <w:rPr>
          <w:rFonts w:hint="eastAsia" w:eastAsia="仿宋_GB2312" w:cs="方正仿宋_GBK"/>
          <w:b w:val="0"/>
          <w:bCs w:val="0"/>
          <w:spacing w:val="0"/>
          <w:kern w:val="2"/>
          <w:highlight w:val="none"/>
          <w:lang w:val="en-US" w:eastAsia="zh-CN"/>
        </w:rPr>
        <w:t>农村牧区集体</w:t>
      </w:r>
      <w:r>
        <w:rPr>
          <w:rFonts w:hint="eastAsia" w:ascii="Times New Roman" w:hAnsi="Times New Roman" w:eastAsia="仿宋_GB2312" w:cs="方正仿宋_GBK"/>
          <w:b w:val="0"/>
          <w:bCs w:val="0"/>
          <w:spacing w:val="0"/>
          <w:kern w:val="2"/>
          <w:highlight w:val="none"/>
          <w:lang w:val="en-US" w:eastAsia="zh-CN"/>
        </w:rPr>
        <w:t>产权交易</w:t>
      </w:r>
      <w:r>
        <w:rPr>
          <w:rFonts w:hint="eastAsia" w:eastAsia="仿宋_GB2312" w:cs="方正仿宋_GBK"/>
          <w:b w:val="0"/>
          <w:bCs w:val="0"/>
          <w:spacing w:val="0"/>
          <w:kern w:val="2"/>
          <w:highlight w:val="none"/>
          <w:lang w:val="en-US" w:eastAsia="zh-CN"/>
        </w:rPr>
        <w:t>服务</w:t>
      </w:r>
      <w:r>
        <w:rPr>
          <w:rFonts w:hint="eastAsia" w:ascii="Times New Roman" w:hAnsi="Times New Roman" w:eastAsia="仿宋_GB2312" w:cs="方正仿宋_GBK"/>
          <w:b w:val="0"/>
          <w:bCs w:val="0"/>
          <w:spacing w:val="0"/>
          <w:kern w:val="2"/>
          <w:highlight w:val="none"/>
          <w:lang w:val="en-US" w:eastAsia="zh-CN"/>
        </w:rPr>
        <w:t>中心功能</w:t>
      </w:r>
      <w:r>
        <w:rPr>
          <w:rFonts w:hint="eastAsia" w:eastAsia="仿宋_GB2312" w:cs="方正仿宋_GBK"/>
          <w:b w:val="0"/>
          <w:bCs w:val="0"/>
          <w:spacing w:val="0"/>
          <w:kern w:val="2"/>
          <w:highlight w:val="none"/>
          <w:lang w:val="en-US" w:eastAsia="zh-CN"/>
        </w:rPr>
        <w:t>和</w:t>
      </w:r>
      <w:r>
        <w:rPr>
          <w:rFonts w:hint="eastAsia" w:ascii="Times New Roman" w:hAnsi="Times New Roman" w:eastAsia="仿宋_GB2312" w:cs="方正仿宋_GBK"/>
          <w:b w:val="0"/>
          <w:bCs w:val="0"/>
          <w:spacing w:val="0"/>
          <w:kern w:val="2"/>
          <w:highlight w:val="none"/>
          <w:lang w:val="en-US" w:eastAsia="zh-CN"/>
        </w:rPr>
        <w:t>服务，推进土地经营权依法有序规范流转，完成第二轮土地、草场承包到期后再延长</w:t>
      </w:r>
      <w:r>
        <w:rPr>
          <w:rFonts w:hint="eastAsia" w:eastAsia="仿宋_GB2312" w:cs="方正仿宋_GBK"/>
          <w:b w:val="0"/>
          <w:bCs w:val="0"/>
          <w:spacing w:val="0"/>
          <w:kern w:val="2"/>
          <w:highlight w:val="none"/>
          <w:lang w:val="en-US" w:eastAsia="zh-CN"/>
        </w:rPr>
        <w:t>三十</w:t>
      </w:r>
      <w:r>
        <w:rPr>
          <w:rFonts w:hint="eastAsia" w:ascii="Times New Roman" w:hAnsi="Times New Roman" w:eastAsia="仿宋_GB2312" w:cs="方正仿宋_GBK"/>
          <w:b w:val="0"/>
          <w:bCs w:val="0"/>
          <w:spacing w:val="0"/>
          <w:kern w:val="2"/>
          <w:highlight w:val="none"/>
          <w:lang w:val="en-US" w:eastAsia="zh-CN"/>
        </w:rPr>
        <w:t>年试点工作。</w:t>
      </w:r>
      <w:r>
        <w:rPr>
          <w:rFonts w:hint="eastAsia" w:ascii="Times New Roman" w:hAnsi="Times New Roman" w:eastAsia="仿宋_GB2312" w:cs="方正仿宋_GBK"/>
          <w:b w:val="0"/>
          <w:bCs w:val="0"/>
          <w:color w:val="auto"/>
          <w:highlight w:val="none"/>
          <w:lang w:val="en-US" w:eastAsia="zh-CN"/>
        </w:rPr>
        <w:t>发展</w:t>
      </w:r>
      <w:r>
        <w:rPr>
          <w:rFonts w:hint="eastAsia" w:ascii="Times New Roman" w:hAnsi="Times New Roman" w:eastAsia="仿宋_GB2312" w:cs="方正仿宋_GBK"/>
          <w:b w:val="0"/>
          <w:bCs w:val="0"/>
          <w:color w:val="auto"/>
          <w:highlight w:val="none"/>
        </w:rPr>
        <w:t>农业适度规模经营</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推广“统种共富”</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lang w:val="en-US" w:eastAsia="zh-CN"/>
        </w:rPr>
        <w:t>“统养共富”</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lang w:val="en-US" w:eastAsia="zh-CN"/>
        </w:rPr>
        <w:t>“统产共富”等模式</w:t>
      </w:r>
      <w:r>
        <w:rPr>
          <w:rFonts w:hint="eastAsia" w:ascii="Times New Roman" w:hAnsi="Times New Roman" w:eastAsia="仿宋_GB2312" w:cs="方正仿宋_GBK"/>
          <w:b w:val="0"/>
          <w:bCs w:val="0"/>
          <w:color w:val="auto"/>
          <w:highlight w:val="none"/>
        </w:rPr>
        <w:t>。</w:t>
      </w:r>
      <w:r>
        <w:rPr>
          <w:rFonts w:hint="eastAsia" w:ascii="Times New Roman" w:hAnsi="Times New Roman" w:eastAsia="仿宋_GB2312" w:cs="方正仿宋_GBK"/>
          <w:b w:val="0"/>
          <w:bCs w:val="0"/>
          <w:spacing w:val="0"/>
          <w:kern w:val="2"/>
          <w:highlight w:val="none"/>
          <w:lang w:val="en-US" w:eastAsia="zh-CN"/>
        </w:rPr>
        <w:t>支持整村、整乡依托集体经济组织、农牧民专业合作社、家庭农牧场、乡级“三位一体”综合合作组织等各类社会化服务组织，集中连片开展以全程托管为主的社会化服务，构建便捷高效的社会化服务体系。推动服务主体创新服务模式和组织形式，加强现代农（牧）事综合服务中心建设，促进服务范围从产中向产前、产后等环节和金融保险等配套服务延伸。做好“土特产”文章，推进特色种养、庭院经济、林下经济、休闲农业等产业多元协同发展。</w:t>
      </w:r>
    </w:p>
    <w:p w14:paraId="11ACCCB5">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spacing w:val="0"/>
          <w:kern w:val="2"/>
          <w:highlight w:val="none"/>
          <w:lang w:eastAsia="zh-CN"/>
        </w:rPr>
      </w:pPr>
      <w:bookmarkStart w:id="601" w:name="_Toc30646"/>
      <w:r>
        <w:rPr>
          <w:rFonts w:hint="eastAsia" w:ascii="Times New Roman" w:hAnsi="Times New Roman" w:eastAsia="仿宋_GB2312" w:cs="方正仿宋_GBK"/>
          <w:b w:val="0"/>
          <w:bCs w:val="0"/>
          <w:color w:val="auto"/>
          <w:spacing w:val="0"/>
          <w:kern w:val="2"/>
          <w:highlight w:val="none"/>
        </w:rPr>
        <w:t>稳慎推进农村</w:t>
      </w:r>
      <w:r>
        <w:rPr>
          <w:rFonts w:hint="eastAsia" w:eastAsia="仿宋_GB2312" w:cs="方正仿宋_GBK"/>
          <w:b w:val="0"/>
          <w:bCs w:val="0"/>
          <w:color w:val="auto"/>
          <w:spacing w:val="0"/>
          <w:kern w:val="2"/>
          <w:highlight w:val="none"/>
          <w:lang w:val="en-US" w:eastAsia="zh-CN"/>
        </w:rPr>
        <w:t>牧区</w:t>
      </w:r>
      <w:r>
        <w:rPr>
          <w:rFonts w:hint="eastAsia" w:ascii="Times New Roman" w:hAnsi="Times New Roman" w:eastAsia="仿宋_GB2312" w:cs="方正仿宋_GBK"/>
          <w:b w:val="0"/>
          <w:bCs w:val="0"/>
          <w:color w:val="auto"/>
          <w:spacing w:val="0"/>
          <w:kern w:val="2"/>
          <w:highlight w:val="none"/>
        </w:rPr>
        <w:t>宅基地制度改革</w:t>
      </w:r>
      <w:bookmarkEnd w:id="601"/>
      <w:r>
        <w:rPr>
          <w:rFonts w:hint="eastAsia" w:eastAsia="仿宋_GB2312" w:cs="方正仿宋_GBK"/>
          <w:b w:val="0"/>
          <w:bCs w:val="0"/>
          <w:color w:val="auto"/>
          <w:spacing w:val="0"/>
          <w:kern w:val="2"/>
          <w:highlight w:val="none"/>
          <w:lang w:eastAsia="zh-CN"/>
        </w:rPr>
        <w:t>。</w:t>
      </w:r>
      <w:r>
        <w:rPr>
          <w:rFonts w:hint="eastAsia" w:ascii="Times New Roman" w:hAnsi="Times New Roman" w:eastAsia="仿宋_GB2312" w:cs="方正仿宋_GBK"/>
          <w:b w:val="0"/>
          <w:bCs w:val="0"/>
          <w:spacing w:val="0"/>
          <w:kern w:val="2"/>
          <w:highlight w:val="none"/>
        </w:rPr>
        <w:t>在落实好</w:t>
      </w:r>
      <w:r>
        <w:rPr>
          <w:rFonts w:hint="eastAsia" w:eastAsia="仿宋_GB2312" w:cs="方正仿宋_GBK"/>
          <w:b w:val="0"/>
          <w:bCs w:val="0"/>
          <w:spacing w:val="0"/>
          <w:kern w:val="2"/>
          <w:highlight w:val="none"/>
          <w:lang w:val="en-US" w:eastAsia="zh-CN"/>
        </w:rPr>
        <w:t>宅基地“三权”分置</w:t>
      </w:r>
      <w:r>
        <w:rPr>
          <w:rFonts w:hint="eastAsia" w:ascii="Times New Roman" w:hAnsi="Times New Roman" w:eastAsia="仿宋_GB2312" w:cs="方正仿宋_GBK"/>
          <w:b w:val="0"/>
          <w:bCs w:val="0"/>
          <w:spacing w:val="0"/>
          <w:kern w:val="2"/>
          <w:highlight w:val="none"/>
        </w:rPr>
        <w:t>的基础上，探索宅基地所有权、资格权、使用权分置有效实现形式</w:t>
      </w:r>
      <w:r>
        <w:rPr>
          <w:rFonts w:hint="eastAsia" w:ascii="Times New Roman" w:hAnsi="Times New Roman" w:eastAsia="仿宋_GB2312" w:cs="方正仿宋_GBK"/>
          <w:b w:val="0"/>
          <w:bCs w:val="0"/>
          <w:spacing w:val="0"/>
          <w:kern w:val="2"/>
          <w:highlight w:val="none"/>
          <w:lang w:eastAsia="zh-CN"/>
        </w:rPr>
        <w:t>。在符合规划、用途管制和尊重农民意愿的前提下，探索宅基地自愿有偿退出机制，鼓励农民依法将合法拥有的闲置住房通过出租、入股、合作等方式盘活利用，用于发展乡村旅游、休闲农业、餐饮民宿、文化体验等新产业新业态。</w:t>
      </w:r>
    </w:p>
    <w:p w14:paraId="7000DCA1">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default" w:ascii="Times New Roman" w:hAnsi="Times New Roman" w:eastAsia="仿宋_GB2312" w:cs="方正仿宋_GBK"/>
          <w:b w:val="0"/>
          <w:bCs w:val="0"/>
          <w:spacing w:val="0"/>
          <w:kern w:val="2"/>
          <w:highlight w:val="none"/>
        </w:rPr>
      </w:pPr>
      <w:bookmarkStart w:id="602" w:name="_Toc14076"/>
      <w:r>
        <w:rPr>
          <w:rFonts w:hint="eastAsia" w:ascii="Times New Roman" w:hAnsi="Times New Roman" w:eastAsia="仿宋_GB2312" w:cs="方正仿宋_GBK"/>
          <w:b w:val="0"/>
          <w:bCs w:val="0"/>
          <w:color w:val="auto"/>
          <w:spacing w:val="0"/>
          <w:kern w:val="2"/>
          <w:highlight w:val="none"/>
        </w:rPr>
        <w:t>深化农村</w:t>
      </w:r>
      <w:r>
        <w:rPr>
          <w:rFonts w:hint="eastAsia" w:eastAsia="仿宋_GB2312" w:cs="方正仿宋_GBK"/>
          <w:b w:val="0"/>
          <w:bCs w:val="0"/>
          <w:color w:val="auto"/>
          <w:spacing w:val="0"/>
          <w:kern w:val="2"/>
          <w:highlight w:val="none"/>
          <w:lang w:val="en-US" w:eastAsia="zh-CN"/>
        </w:rPr>
        <w:t>牧区</w:t>
      </w:r>
      <w:r>
        <w:rPr>
          <w:rFonts w:hint="eastAsia" w:ascii="Times New Roman" w:hAnsi="Times New Roman" w:eastAsia="仿宋_GB2312" w:cs="方正仿宋_GBK"/>
          <w:b w:val="0"/>
          <w:bCs w:val="0"/>
          <w:color w:val="auto"/>
          <w:spacing w:val="0"/>
          <w:kern w:val="2"/>
          <w:highlight w:val="none"/>
        </w:rPr>
        <w:t>集体产权制度改革</w:t>
      </w:r>
      <w:bookmarkEnd w:id="602"/>
      <w:r>
        <w:rPr>
          <w:rFonts w:hint="eastAsia" w:eastAsia="仿宋_GB2312" w:cs="方正仿宋_GBK"/>
          <w:b w:val="0"/>
          <w:bCs w:val="0"/>
          <w:color w:val="auto"/>
          <w:spacing w:val="0"/>
          <w:kern w:val="2"/>
          <w:highlight w:val="none"/>
          <w:lang w:eastAsia="zh-CN"/>
        </w:rPr>
        <w:t>。</w:t>
      </w:r>
      <w:r>
        <w:rPr>
          <w:rFonts w:hint="eastAsia" w:ascii="Times New Roman" w:hAnsi="Times New Roman" w:eastAsia="仿宋_GB2312" w:cs="方正仿宋_GBK"/>
          <w:b w:val="0"/>
          <w:bCs w:val="0"/>
          <w:spacing w:val="0"/>
          <w:kern w:val="2"/>
          <w:highlight w:val="none"/>
          <w:lang w:eastAsia="zh-CN"/>
        </w:rPr>
        <w:t>指导集体经济组织构建产权明晰、分配合理的运行机制</w:t>
      </w:r>
      <w:r>
        <w:rPr>
          <w:rFonts w:hint="eastAsia" w:ascii="Times New Roman" w:hAnsi="Times New Roman" w:eastAsia="仿宋_GB2312" w:cs="方正仿宋_GBK"/>
          <w:b w:val="0"/>
          <w:bCs w:val="0"/>
          <w:spacing w:val="0"/>
          <w:kern w:val="2"/>
          <w:highlight w:val="none"/>
        </w:rPr>
        <w:t>，</w:t>
      </w:r>
      <w:r>
        <w:rPr>
          <w:rFonts w:hint="eastAsia" w:ascii="Times New Roman" w:hAnsi="Times New Roman" w:eastAsia="仿宋_GB2312" w:cs="方正仿宋_GBK"/>
          <w:b w:val="0"/>
          <w:bCs w:val="0"/>
          <w:spacing w:val="0"/>
          <w:kern w:val="2"/>
          <w:highlight w:val="none"/>
          <w:lang w:eastAsia="zh-CN"/>
        </w:rPr>
        <w:t>推动村集体经济组织采取“资源发包、物业出租、民间服务、经营性财产参股”等多途径发展壮大新型农村集体经济</w:t>
      </w:r>
      <w:r>
        <w:rPr>
          <w:rFonts w:hint="eastAsia" w:ascii="Times New Roman" w:hAnsi="Times New Roman" w:eastAsia="仿宋_GB2312" w:cs="方正仿宋_GBK"/>
          <w:b w:val="0"/>
          <w:bCs w:val="0"/>
          <w:spacing w:val="0"/>
          <w:kern w:val="2"/>
          <w:highlight w:val="none"/>
        </w:rPr>
        <w:t>。探索赋予农民更加充分的财产权益。</w:t>
      </w:r>
      <w:r>
        <w:rPr>
          <w:rFonts w:hint="eastAsia" w:ascii="Times New Roman" w:hAnsi="Times New Roman" w:eastAsia="仿宋_GB2312" w:cs="方正仿宋_GBK"/>
          <w:b w:val="0"/>
          <w:bCs w:val="0"/>
          <w:spacing w:val="0"/>
          <w:kern w:val="2"/>
          <w:highlight w:val="none"/>
          <w:lang w:eastAsia="zh-CN"/>
        </w:rPr>
        <w:t>持续优化赤峰市农村牧区产权流转交易平台功能</w:t>
      </w:r>
      <w:r>
        <w:rPr>
          <w:rFonts w:hint="eastAsia" w:ascii="Times New Roman" w:hAnsi="Times New Roman" w:eastAsia="仿宋_GB2312" w:cs="方正仿宋_GBK"/>
          <w:b w:val="0"/>
          <w:bCs w:val="0"/>
          <w:spacing w:val="0"/>
          <w:kern w:val="2"/>
          <w:highlight w:val="none"/>
        </w:rPr>
        <w:t>、拓展服务，以数字化赋能推动农村牧区资源高效配置。</w:t>
      </w:r>
      <w:r>
        <w:rPr>
          <w:rFonts w:hint="eastAsia" w:ascii="Times New Roman" w:hAnsi="Times New Roman" w:eastAsia="仿宋_GB2312" w:cs="方正仿宋_GBK"/>
          <w:b w:val="0"/>
          <w:bCs w:val="0"/>
          <w:spacing w:val="0"/>
          <w:kern w:val="2"/>
          <w:highlight w:val="none"/>
          <w:lang w:val="en-US" w:eastAsia="zh-CN"/>
        </w:rPr>
        <w:t>有序推进农村牧区集体经营性建设用地入市，稳妥盘活利用农村牧区闲置建设用地。</w:t>
      </w:r>
      <w:r>
        <w:rPr>
          <w:rFonts w:hint="eastAsia" w:ascii="Times New Roman" w:hAnsi="Times New Roman" w:eastAsia="仿宋_GB2312" w:cs="方正仿宋_GBK"/>
          <w:b w:val="0"/>
          <w:bCs w:val="0"/>
          <w:spacing w:val="0"/>
          <w:kern w:val="2"/>
          <w:highlight w:val="none"/>
        </w:rPr>
        <w:t>健全农村集体经济组织运行机制，规范组织登记、成员管理、机构设置、章程制定和收益分配等。</w:t>
      </w:r>
    </w:p>
    <w:p w14:paraId="08359D4B">
      <w:pPr>
        <w:keepNext w:val="0"/>
        <w:keepLines w:val="0"/>
        <w:pageBreakBefore w:val="0"/>
        <w:widowControl/>
        <w:numPr>
          <w:ilvl w:val="0"/>
          <w:numId w:val="7"/>
        </w:numPr>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603" w:name="_Toc22856"/>
      <w:bookmarkStart w:id="604" w:name="_Toc2049"/>
      <w:bookmarkStart w:id="605" w:name="_Toc31642"/>
      <w:bookmarkStart w:id="606" w:name="_Toc10793"/>
      <w:bookmarkStart w:id="607" w:name="_Toc7975"/>
      <w:bookmarkStart w:id="608" w:name="_Toc250"/>
      <w:bookmarkStart w:id="609" w:name="_Toc13944"/>
      <w:bookmarkStart w:id="610" w:name="_Toc6098"/>
      <w:bookmarkStart w:id="611" w:name="_Toc7023"/>
      <w:bookmarkStart w:id="612" w:name="_Toc22295"/>
      <w:bookmarkStart w:id="613" w:name="_Toc16826"/>
      <w:bookmarkStart w:id="614" w:name="_Toc22061"/>
      <w:bookmarkStart w:id="615" w:name="_Toc12444"/>
      <w:bookmarkStart w:id="616" w:name="_Toc31781"/>
      <w:bookmarkStart w:id="617" w:name="_Toc27074"/>
      <w:bookmarkStart w:id="618" w:name="_Toc11888"/>
      <w:bookmarkStart w:id="619" w:name="_Toc3145"/>
      <w:bookmarkStart w:id="620" w:name="_Toc20861"/>
      <w:bookmarkStart w:id="621" w:name="_Toc30373"/>
      <w:bookmarkStart w:id="622" w:name="_Toc23544"/>
      <w:bookmarkStart w:id="623" w:name="_Toc5385"/>
      <w:bookmarkStart w:id="624" w:name="_Toc30139"/>
      <w:bookmarkStart w:id="625" w:name="_Toc4725"/>
      <w:r>
        <w:rPr>
          <w:rFonts w:hint="eastAsia" w:ascii="楷体_GB2312" w:hAnsi="楷体_GB2312" w:eastAsia="楷体_GB2312" w:cs="楷体_GB2312"/>
          <w:b w:val="0"/>
          <w:bCs w:val="0"/>
          <w:color w:val="auto"/>
          <w:sz w:val="32"/>
          <w:szCs w:val="40"/>
          <w:highlight w:val="none"/>
          <w:lang w:val="en-US" w:eastAsia="zh-CN"/>
        </w:rPr>
        <w:t>提高强农惠农富农政策效能</w:t>
      </w:r>
      <w:bookmarkEnd w:id="603"/>
      <w:bookmarkEnd w:id="604"/>
      <w:bookmarkEnd w:id="605"/>
      <w:bookmarkEnd w:id="606"/>
      <w:bookmarkEnd w:id="607"/>
      <w:bookmarkEnd w:id="608"/>
      <w:bookmarkEnd w:id="609"/>
      <w:bookmarkEnd w:id="610"/>
    </w:p>
    <w:p w14:paraId="1BFDF2BC">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rPr>
          <w:rFonts w:hint="eastAsia" w:ascii="Times New Roman" w:hAnsi="Times New Roman" w:eastAsia="仿宋_GB2312" w:cs="方正仿宋_GBK"/>
          <w:b w:val="0"/>
          <w:bCs w:val="0"/>
          <w:color w:val="auto"/>
          <w:spacing w:val="0"/>
          <w:kern w:val="2"/>
          <w:highlight w:val="none"/>
        </w:rPr>
      </w:pPr>
      <w:r>
        <w:rPr>
          <w:rFonts w:hint="eastAsia" w:ascii="Times New Roman" w:hAnsi="Times New Roman" w:eastAsia="仿宋_GB2312" w:cs="方正仿宋_GBK"/>
          <w:b w:val="0"/>
          <w:bCs w:val="0"/>
          <w:color w:val="auto"/>
          <w:spacing w:val="0"/>
          <w:kern w:val="2"/>
          <w:highlight w:val="none"/>
        </w:rPr>
        <w:t>加快完善财政优先保障、金融重点倾斜、社会积极参与的多元投入格局，强化价格、补贴、保险等政策支持，提高强农惠农富农政策效能。</w:t>
      </w:r>
    </w:p>
    <w:p w14:paraId="7F2B3A50">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spacing w:val="0"/>
          <w:kern w:val="2"/>
          <w:highlight w:val="none"/>
        </w:rPr>
      </w:pPr>
      <w:r>
        <w:rPr>
          <w:rFonts w:hint="eastAsia" w:ascii="Times New Roman" w:hAnsi="Times New Roman" w:eastAsia="仿宋_GB2312" w:cs="方正仿宋_GBK"/>
          <w:b w:val="0"/>
          <w:bCs w:val="0"/>
          <w:color w:val="auto"/>
          <w:spacing w:val="0"/>
          <w:kern w:val="2"/>
          <w:highlight w:val="none"/>
        </w:rPr>
        <w:t>完善乡村振兴投入保障机制</w:t>
      </w:r>
      <w:r>
        <w:rPr>
          <w:rFonts w:hint="eastAsia" w:eastAsia="仿宋_GB2312" w:cs="方正仿宋_GBK"/>
          <w:b w:val="0"/>
          <w:bCs w:val="0"/>
          <w:color w:val="auto"/>
          <w:spacing w:val="0"/>
          <w:kern w:val="2"/>
          <w:highlight w:val="none"/>
          <w:lang w:eastAsia="zh-CN"/>
        </w:rPr>
        <w:t>。</w:t>
      </w:r>
      <w:r>
        <w:rPr>
          <w:rFonts w:hint="eastAsia" w:ascii="Times New Roman" w:hAnsi="Times New Roman" w:eastAsia="仿宋_GB2312" w:cs="方正仿宋_GBK"/>
          <w:b w:val="0"/>
          <w:bCs w:val="0"/>
          <w:color w:val="auto"/>
          <w:spacing w:val="0"/>
          <w:kern w:val="2"/>
          <w:highlight w:val="none"/>
        </w:rPr>
        <w:t>完善多元投入机制，优先保障农牧业农村牧区领域一般公共预算投入，引导金融机构和民间资本加大对乡村振兴资金投放，确保农牧业农村牧区领域投入力度不断增强。</w:t>
      </w:r>
      <w:r>
        <w:rPr>
          <w:rFonts w:hint="eastAsia" w:ascii="Times New Roman" w:hAnsi="Times New Roman" w:eastAsia="仿宋_GB2312" w:cs="方正仿宋_GBK"/>
          <w:b w:val="0"/>
          <w:bCs w:val="0"/>
          <w:spacing w:val="0"/>
          <w:kern w:val="2"/>
          <w:highlight w:val="none"/>
        </w:rPr>
        <w:t>强化财政支持，坚持财政优先保障农业农村发展的基本导向，合理增加涉农财政资金，重点保障关键领域和关键环节的资金需求。落实提高土地出让收益用于</w:t>
      </w:r>
      <w:r>
        <w:rPr>
          <w:rFonts w:hint="eastAsia" w:eastAsia="仿宋_GB2312" w:cs="方正仿宋_GBK"/>
          <w:b w:val="0"/>
          <w:bCs w:val="0"/>
          <w:spacing w:val="0"/>
          <w:kern w:val="2"/>
          <w:highlight w:val="none"/>
          <w:lang w:val="en-US" w:eastAsia="zh-CN"/>
        </w:rPr>
        <w:t>农牧业农村牧区</w:t>
      </w:r>
      <w:r>
        <w:rPr>
          <w:rFonts w:hint="eastAsia" w:ascii="Times New Roman" w:hAnsi="Times New Roman" w:eastAsia="仿宋_GB2312" w:cs="方正仿宋_GBK"/>
          <w:b w:val="0"/>
          <w:bCs w:val="0"/>
          <w:spacing w:val="0"/>
          <w:kern w:val="2"/>
          <w:highlight w:val="none"/>
        </w:rPr>
        <w:t>比例政策</w:t>
      </w:r>
      <w:r>
        <w:rPr>
          <w:rFonts w:hint="eastAsia"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用好投融资政策，</w:t>
      </w:r>
      <w:r>
        <w:rPr>
          <w:rFonts w:hint="eastAsia" w:eastAsia="仿宋_GB2312" w:cs="方正仿宋_GBK"/>
          <w:b w:val="0"/>
          <w:bCs w:val="0"/>
          <w:spacing w:val="0"/>
          <w:kern w:val="2"/>
          <w:highlight w:val="none"/>
          <w:lang w:val="en-US" w:eastAsia="zh-CN"/>
        </w:rPr>
        <w:t>积极争取</w:t>
      </w:r>
      <w:r>
        <w:rPr>
          <w:rFonts w:hint="eastAsia" w:ascii="Times New Roman" w:hAnsi="Times New Roman" w:eastAsia="仿宋_GB2312" w:cs="方正仿宋_GBK"/>
          <w:b w:val="0"/>
          <w:bCs w:val="0"/>
          <w:spacing w:val="0"/>
          <w:kern w:val="2"/>
          <w:highlight w:val="none"/>
        </w:rPr>
        <w:t>中央预算内投资、超长期特别国债和地方政府专项债券对</w:t>
      </w:r>
      <w:r>
        <w:rPr>
          <w:rFonts w:hint="eastAsia" w:eastAsia="仿宋_GB2312" w:cs="方正仿宋_GBK"/>
          <w:b w:val="0"/>
          <w:bCs w:val="0"/>
          <w:spacing w:val="0"/>
          <w:kern w:val="2"/>
          <w:highlight w:val="none"/>
          <w:lang w:val="en-US" w:eastAsia="zh-CN"/>
        </w:rPr>
        <w:t>农牧业农村牧区</w:t>
      </w:r>
      <w:r>
        <w:rPr>
          <w:rFonts w:hint="eastAsia" w:ascii="Times New Roman" w:hAnsi="Times New Roman" w:eastAsia="仿宋_GB2312" w:cs="方正仿宋_GBK"/>
          <w:b w:val="0"/>
          <w:bCs w:val="0"/>
          <w:spacing w:val="0"/>
          <w:kern w:val="2"/>
          <w:highlight w:val="none"/>
        </w:rPr>
        <w:t>领域重大项目建设的支持力度。</w:t>
      </w:r>
      <w:r>
        <w:rPr>
          <w:rFonts w:hint="eastAsia" w:ascii="Times New Roman" w:hAnsi="Times New Roman" w:eastAsia="仿宋_GB2312" w:cs="方正仿宋_GBK"/>
          <w:b w:val="0"/>
          <w:bCs w:val="0"/>
          <w:color w:val="auto"/>
          <w:spacing w:val="0"/>
          <w:kern w:val="2"/>
          <w:highlight w:val="none"/>
        </w:rPr>
        <w:t>加强政策协同配合，强化规划、项目、资金、要素间有效衔接</w:t>
      </w:r>
      <w:r>
        <w:rPr>
          <w:rFonts w:hint="eastAsia" w:eastAsia="仿宋_GB2312" w:cs="方正仿宋_GBK"/>
          <w:b w:val="0"/>
          <w:bCs w:val="0"/>
          <w:color w:val="auto"/>
          <w:spacing w:val="0"/>
          <w:kern w:val="2"/>
          <w:highlight w:val="none"/>
          <w:lang w:eastAsia="zh-CN"/>
        </w:rPr>
        <w:t>。</w:t>
      </w:r>
      <w:r>
        <w:rPr>
          <w:rFonts w:hint="eastAsia" w:ascii="Times New Roman" w:hAnsi="Times New Roman" w:eastAsia="仿宋_GB2312" w:cs="方正仿宋_GBK"/>
          <w:b w:val="0"/>
          <w:bCs w:val="0"/>
          <w:color w:val="auto"/>
          <w:spacing w:val="0"/>
          <w:kern w:val="2"/>
          <w:highlight w:val="none"/>
        </w:rPr>
        <w:t>促进城乡要素平等交换、双向流动，引导资金、技术、人才等生产要素投入农村牧区。</w:t>
      </w:r>
      <w:r>
        <w:rPr>
          <w:rFonts w:hint="eastAsia" w:ascii="Times New Roman" w:hAnsi="Times New Roman" w:eastAsia="仿宋_GB2312" w:cs="方正仿宋_GBK"/>
          <w:b w:val="0"/>
          <w:bCs w:val="0"/>
          <w:spacing w:val="0"/>
          <w:kern w:val="2"/>
          <w:highlight w:val="none"/>
        </w:rPr>
        <w:t>完善涉农金融服务体系，</w:t>
      </w:r>
      <w:r>
        <w:rPr>
          <w:rFonts w:hint="eastAsia" w:eastAsia="仿宋_GB2312" w:cs="方正仿宋_GBK"/>
          <w:b w:val="0"/>
          <w:bCs w:val="0"/>
          <w:spacing w:val="0"/>
          <w:kern w:val="2"/>
          <w:highlight w:val="none"/>
          <w:lang w:val="en-US" w:eastAsia="zh-CN"/>
        </w:rPr>
        <w:t>推动</w:t>
      </w:r>
      <w:r>
        <w:rPr>
          <w:rFonts w:hint="eastAsia" w:ascii="Times New Roman" w:hAnsi="Times New Roman" w:eastAsia="仿宋_GB2312" w:cs="方正仿宋_GBK"/>
          <w:b w:val="0"/>
          <w:bCs w:val="0"/>
          <w:spacing w:val="0"/>
          <w:kern w:val="2"/>
          <w:highlight w:val="none"/>
        </w:rPr>
        <w:t>构建覆盖商业银行、政策性银行、农村中小金融机构和数字普惠金融的多层次涉农金融服务网络。</w:t>
      </w:r>
    </w:p>
    <w:p w14:paraId="67E13C05">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spacing w:val="0"/>
          <w:kern w:val="2"/>
          <w:highlight w:val="none"/>
          <w:lang w:val="en-US" w:eastAsia="zh-CN"/>
        </w:rPr>
      </w:pPr>
      <w:r>
        <w:rPr>
          <w:rFonts w:hint="eastAsia" w:eastAsia="仿宋_GB2312" w:cs="方正仿宋_GBK"/>
          <w:b w:val="0"/>
          <w:bCs w:val="0"/>
          <w:color w:val="auto"/>
          <w:spacing w:val="0"/>
          <w:kern w:val="2"/>
          <w:highlight w:val="none"/>
          <w:lang w:val="en-US" w:eastAsia="zh-CN"/>
        </w:rPr>
        <w:t>持续巩固拓展脱贫攻坚成果。</w:t>
      </w:r>
      <w:r>
        <w:rPr>
          <w:rFonts w:hint="eastAsia" w:ascii="Times New Roman" w:hAnsi="Times New Roman" w:eastAsia="仿宋_GB2312" w:cs="方正仿宋_GBK"/>
          <w:b w:val="0"/>
          <w:bCs w:val="0"/>
          <w:color w:val="auto"/>
          <w:spacing w:val="0"/>
          <w:kern w:val="2"/>
          <w:highlight w:val="none"/>
        </w:rPr>
        <w:t>建立健全常态化</w:t>
      </w:r>
      <w:r>
        <w:rPr>
          <w:rFonts w:hint="eastAsia" w:eastAsia="仿宋_GB2312" w:cs="方正仿宋_GBK"/>
          <w:b w:val="0"/>
          <w:bCs w:val="0"/>
          <w:color w:val="auto"/>
          <w:spacing w:val="0"/>
          <w:kern w:val="2"/>
          <w:highlight w:val="none"/>
          <w:lang w:val="en-US" w:eastAsia="zh-CN"/>
        </w:rPr>
        <w:t>防止返贫致贫</w:t>
      </w:r>
      <w:r>
        <w:rPr>
          <w:rFonts w:hint="eastAsia" w:ascii="Times New Roman" w:hAnsi="Times New Roman" w:eastAsia="仿宋_GB2312" w:cs="方正仿宋_GBK"/>
          <w:b w:val="0"/>
          <w:bCs w:val="0"/>
          <w:color w:val="auto"/>
          <w:spacing w:val="0"/>
          <w:kern w:val="2"/>
          <w:highlight w:val="none"/>
        </w:rPr>
        <w:t>监测</w:t>
      </w:r>
      <w:r>
        <w:rPr>
          <w:rFonts w:hint="eastAsia" w:eastAsia="仿宋_GB2312" w:cs="方正仿宋_GBK"/>
          <w:b w:val="0"/>
          <w:bCs w:val="0"/>
          <w:color w:val="auto"/>
          <w:spacing w:val="0"/>
          <w:kern w:val="2"/>
          <w:highlight w:val="none"/>
          <w:lang w:val="en-US" w:eastAsia="zh-CN"/>
        </w:rPr>
        <w:t>帮</w:t>
      </w:r>
      <w:r>
        <w:rPr>
          <w:rFonts w:hint="eastAsia" w:ascii="Times New Roman" w:hAnsi="Times New Roman" w:eastAsia="仿宋_GB2312" w:cs="方正仿宋_GBK"/>
          <w:b w:val="0"/>
          <w:bCs w:val="0"/>
          <w:color w:val="auto"/>
          <w:spacing w:val="0"/>
          <w:kern w:val="2"/>
          <w:highlight w:val="none"/>
        </w:rPr>
        <w:t>扶机制，推动脱贫地区更多依靠发展来巩固拓展脱贫攻坚成果，让脱贫基础更加稳固、成效更可持续。健全防返贫</w:t>
      </w:r>
      <w:r>
        <w:rPr>
          <w:rFonts w:hint="eastAsia" w:eastAsia="仿宋_GB2312" w:cs="方正仿宋_GBK"/>
          <w:b w:val="0"/>
          <w:bCs w:val="0"/>
          <w:color w:val="auto"/>
          <w:spacing w:val="0"/>
          <w:kern w:val="2"/>
          <w:highlight w:val="none"/>
          <w:lang w:val="en-US" w:eastAsia="zh-CN"/>
        </w:rPr>
        <w:t>致贫</w:t>
      </w:r>
      <w:r>
        <w:rPr>
          <w:rFonts w:hint="eastAsia" w:ascii="Times New Roman" w:hAnsi="Times New Roman" w:eastAsia="仿宋_GB2312" w:cs="方正仿宋_GBK"/>
          <w:b w:val="0"/>
          <w:bCs w:val="0"/>
          <w:color w:val="auto"/>
          <w:spacing w:val="0"/>
          <w:kern w:val="2"/>
          <w:highlight w:val="none"/>
        </w:rPr>
        <w:t>动态监测体系</w:t>
      </w:r>
      <w:r>
        <w:rPr>
          <w:rFonts w:hint="eastAsia" w:eastAsia="仿宋_GB2312" w:cs="方正仿宋_GBK"/>
          <w:b w:val="0"/>
          <w:bCs w:val="0"/>
          <w:spacing w:val="0"/>
          <w:kern w:val="2"/>
          <w:highlight w:val="none"/>
          <w:lang w:eastAsia="zh-CN"/>
        </w:rPr>
        <w:t>，科学精准确定防返贫致贫对象，</w:t>
      </w:r>
      <w:r>
        <w:rPr>
          <w:rFonts w:hint="eastAsia" w:ascii="Times New Roman" w:hAnsi="Times New Roman" w:eastAsia="仿宋_GB2312" w:cs="方正仿宋_GBK"/>
          <w:b w:val="0"/>
          <w:bCs w:val="0"/>
          <w:spacing w:val="0"/>
          <w:kern w:val="2"/>
          <w:highlight w:val="none"/>
          <w:lang w:eastAsia="zh-CN"/>
        </w:rPr>
        <w:t>坚持动态管理、精准帮扶，构建覆盖全面、处置高效的监测预警和帮扶机制，形成“发现－核查－干预－帮扶－消除”的管理闭环，切实筑牢防返贫堤坝。</w:t>
      </w:r>
      <w:r>
        <w:rPr>
          <w:rFonts w:hint="eastAsia" w:ascii="Times New Roman" w:hAnsi="Times New Roman" w:eastAsia="仿宋_GB2312" w:cs="方正仿宋_GBK"/>
          <w:b w:val="0"/>
          <w:bCs w:val="0"/>
          <w:spacing w:val="0"/>
          <w:kern w:val="2"/>
          <w:highlight w:val="none"/>
          <w:lang w:val="en-US" w:eastAsia="zh-CN"/>
        </w:rPr>
        <w:t>强化产业帮扶，规范高效管理帮扶项目资产，将常态化帮扶资金重点用于支持延伸帮扶产业链条，健全帮扶项目收益分配制度，持续推进脱贫乡村经济发展。加强防止返贫致贫对象就业帮扶，常态化提供政策咨询、职业指导、岗位推荐等一站式服务，加大公益性就业岗位开发力度，激励有劳动能力的防止返贫致贫对象勤劳致富，增强脱贫地区和脱贫群众内生发展动力。</w:t>
      </w:r>
    </w:p>
    <w:p w14:paraId="5026EA25">
      <w:pPr>
        <w:keepNext w:val="0"/>
        <w:keepLines w:val="0"/>
        <w:pageBreakBefore w:val="0"/>
        <w:widowControl/>
        <w:numPr>
          <w:ilvl w:val="0"/>
          <w:numId w:val="7"/>
        </w:numPr>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626" w:name="_Toc4718"/>
      <w:bookmarkStart w:id="627" w:name="_Toc32290"/>
      <w:bookmarkStart w:id="628" w:name="_Toc18263"/>
      <w:bookmarkStart w:id="629" w:name="_Toc104"/>
      <w:bookmarkStart w:id="630" w:name="_Toc19361"/>
      <w:bookmarkStart w:id="631" w:name="_Toc1605"/>
      <w:bookmarkStart w:id="632" w:name="_Toc8279"/>
      <w:bookmarkStart w:id="633" w:name="_Toc16090"/>
      <w:r>
        <w:rPr>
          <w:rFonts w:hint="eastAsia" w:ascii="楷体_GB2312" w:hAnsi="楷体_GB2312" w:eastAsia="楷体_GB2312" w:cs="楷体_GB2312"/>
          <w:b w:val="0"/>
          <w:bCs w:val="0"/>
          <w:color w:val="auto"/>
          <w:sz w:val="32"/>
          <w:szCs w:val="40"/>
          <w:highlight w:val="none"/>
          <w:lang w:val="en-US" w:eastAsia="zh-CN"/>
        </w:rPr>
        <w:t>提升乡村治理效能</w:t>
      </w:r>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p>
    <w:p w14:paraId="0DFC7420">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rPr>
          <w:rFonts w:hint="eastAsia" w:ascii="Times New Roman" w:hAnsi="Times New Roman" w:eastAsia="仿宋_GB2312" w:cs="方正仿宋_GBK"/>
          <w:b w:val="0"/>
          <w:bCs w:val="0"/>
          <w:spacing w:val="0"/>
          <w:kern w:val="2"/>
          <w:highlight w:val="none"/>
        </w:rPr>
      </w:pPr>
      <w:r>
        <w:rPr>
          <w:rFonts w:hint="eastAsia" w:ascii="Times New Roman" w:hAnsi="Times New Roman" w:eastAsia="仿宋_GB2312" w:cs="方正仿宋_GBK"/>
          <w:b w:val="0"/>
          <w:bCs w:val="0"/>
          <w:spacing w:val="0"/>
          <w:kern w:val="2"/>
          <w:highlight w:val="none"/>
        </w:rPr>
        <w:t>健全党组织领导的自治、法治、德治相结合的乡村治理体系，让农村牧区既充满活力又和谐有序。</w:t>
      </w:r>
    </w:p>
    <w:p w14:paraId="0D6C11A1">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spacing w:val="0"/>
          <w:kern w:val="2"/>
          <w:highlight w:val="none"/>
          <w:lang w:eastAsia="zh-CN"/>
        </w:rPr>
      </w:pPr>
      <w:bookmarkStart w:id="634" w:name="_Toc25268"/>
      <w:r>
        <w:rPr>
          <w:rFonts w:hint="eastAsia" w:ascii="Times New Roman" w:hAnsi="Times New Roman" w:eastAsia="仿宋_GB2312" w:cs="方正仿宋_GBK"/>
          <w:b w:val="0"/>
          <w:bCs w:val="0"/>
          <w:color w:val="auto"/>
          <w:spacing w:val="0"/>
          <w:kern w:val="2"/>
          <w:highlight w:val="none"/>
          <w:lang w:val="en-US" w:eastAsia="zh-CN"/>
        </w:rPr>
        <w:t>提升乡村治理能力水平</w:t>
      </w:r>
      <w:bookmarkEnd w:id="634"/>
      <w:r>
        <w:rPr>
          <w:rFonts w:hint="eastAsia" w:eastAsia="仿宋_GB2312" w:cs="方正仿宋_GBK"/>
          <w:b w:val="0"/>
          <w:bCs w:val="0"/>
          <w:color w:val="auto"/>
          <w:spacing w:val="0"/>
          <w:kern w:val="2"/>
          <w:highlight w:val="none"/>
          <w:lang w:val="en-US" w:eastAsia="zh-CN"/>
        </w:rPr>
        <w:t>。</w:t>
      </w:r>
      <w:r>
        <w:rPr>
          <w:rFonts w:hint="eastAsia" w:ascii="Times New Roman" w:hAnsi="Times New Roman" w:eastAsia="仿宋_GB2312" w:cs="方正仿宋_GBK"/>
          <w:b w:val="0"/>
          <w:bCs w:val="0"/>
          <w:spacing w:val="0"/>
          <w:kern w:val="2"/>
          <w:highlight w:val="none"/>
        </w:rPr>
        <w:t>强化</w:t>
      </w:r>
      <w:r>
        <w:rPr>
          <w:rFonts w:hint="eastAsia" w:eastAsia="仿宋_GB2312" w:cs="方正仿宋_GBK"/>
          <w:b w:val="0"/>
          <w:bCs w:val="0"/>
          <w:spacing w:val="0"/>
          <w:kern w:val="2"/>
          <w:highlight w:val="none"/>
          <w:lang w:val="en-US" w:eastAsia="zh-CN"/>
        </w:rPr>
        <w:t>苏木</w:t>
      </w:r>
      <w:r>
        <w:rPr>
          <w:rFonts w:hint="eastAsia" w:ascii="Times New Roman" w:hAnsi="Times New Roman" w:eastAsia="仿宋_GB2312" w:cs="方正仿宋_GBK"/>
          <w:b w:val="0"/>
          <w:bCs w:val="0"/>
          <w:spacing w:val="0"/>
          <w:kern w:val="2"/>
          <w:highlight w:val="none"/>
        </w:rPr>
        <w:t>乡镇、</w:t>
      </w:r>
      <w:r>
        <w:rPr>
          <w:rFonts w:hint="eastAsia" w:eastAsia="仿宋_GB2312" w:cs="方正仿宋_GBK"/>
          <w:b w:val="0"/>
          <w:bCs w:val="0"/>
          <w:spacing w:val="0"/>
          <w:kern w:val="2"/>
          <w:highlight w:val="none"/>
          <w:lang w:val="en-US" w:eastAsia="zh-CN"/>
        </w:rPr>
        <w:t>嘎查</w:t>
      </w:r>
      <w:r>
        <w:rPr>
          <w:rFonts w:hint="eastAsia" w:ascii="Times New Roman" w:hAnsi="Times New Roman" w:eastAsia="仿宋_GB2312" w:cs="方正仿宋_GBK"/>
          <w:b w:val="0"/>
          <w:bCs w:val="0"/>
          <w:spacing w:val="0"/>
          <w:kern w:val="2"/>
          <w:highlight w:val="none"/>
        </w:rPr>
        <w:t>村党组织的领导地位，全面推行村党组织书记通过法定程序担任村委会主任和村级集体经济组织、合作经济组织负责人。持续排查整顿软弱涣散村党组织</w:t>
      </w:r>
      <w:r>
        <w:rPr>
          <w:rFonts w:hint="eastAsia" w:ascii="Times New Roman" w:hAnsi="Times New Roman"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派强用好驻村第一书记和工作队</w:t>
      </w:r>
      <w:r>
        <w:rPr>
          <w:rFonts w:hint="eastAsia" w:ascii="Times New Roman" w:hAnsi="Times New Roman"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加强对村干部的监督管理。健全村级议事协商制度，创新协商形式，落实“四议两公开”制度。规范村务公开，丰富公开内容，完善公开程序。全面实施村级事务阳光工程，持续推广清单制乡村治理方式</w:t>
      </w:r>
      <w:r>
        <w:rPr>
          <w:rFonts w:hint="eastAsia" w:ascii="Times New Roman" w:hAnsi="Times New Roman"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推广村级事务“阳光公开”监管平台。修订完善村规民约，发挥其在乡村治理中的积极作用。大力推行积分制乡村治理</w:t>
      </w:r>
      <w:r>
        <w:rPr>
          <w:rFonts w:hint="eastAsia" w:ascii="Times New Roman" w:hAnsi="Times New Roman"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营造共建共享的良好氛围</w:t>
      </w:r>
      <w:r>
        <w:rPr>
          <w:rFonts w:hint="eastAsia"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深入开展“法律进乡村”活动，提高农牧民法治素养。健全农村</w:t>
      </w:r>
      <w:r>
        <w:rPr>
          <w:rFonts w:hint="eastAsia" w:eastAsia="仿宋_GB2312" w:cs="方正仿宋_GBK"/>
          <w:b w:val="0"/>
          <w:bCs w:val="0"/>
          <w:spacing w:val="0"/>
          <w:kern w:val="2"/>
          <w:highlight w:val="none"/>
          <w:lang w:val="en-US" w:eastAsia="zh-CN"/>
        </w:rPr>
        <w:t>牧区</w:t>
      </w:r>
      <w:r>
        <w:rPr>
          <w:rFonts w:hint="eastAsia" w:ascii="Times New Roman" w:hAnsi="Times New Roman" w:eastAsia="仿宋_GB2312" w:cs="方正仿宋_GBK"/>
          <w:b w:val="0"/>
          <w:bCs w:val="0"/>
          <w:spacing w:val="0"/>
          <w:kern w:val="2"/>
          <w:highlight w:val="none"/>
        </w:rPr>
        <w:t>公共法律服务体系，加强对农民的法律援助和司法救助。积极推广“村民说事”制度</w:t>
      </w:r>
      <w:r>
        <w:rPr>
          <w:rFonts w:hint="eastAsia" w:ascii="Times New Roman" w:hAnsi="Times New Roman"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做到“小事不出村、大事不出镇、矛盾不上交”。健全农村牧区社会治安防控体系，规范做实</w:t>
      </w:r>
      <w:r>
        <w:rPr>
          <w:rFonts w:hint="eastAsia" w:ascii="Times New Roman" w:hAnsi="Times New Roman"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基层微治理</w:t>
      </w:r>
      <w:r>
        <w:rPr>
          <w:rFonts w:hint="eastAsia" w:ascii="Times New Roman" w:hAnsi="Times New Roman"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机制</w:t>
      </w:r>
      <w:r>
        <w:rPr>
          <w:rFonts w:hint="eastAsia" w:eastAsia="仿宋_GB2312" w:cs="方正仿宋_GBK"/>
          <w:b w:val="0"/>
          <w:bCs w:val="0"/>
          <w:spacing w:val="0"/>
          <w:kern w:val="2"/>
          <w:highlight w:val="none"/>
          <w:lang w:eastAsia="zh-CN"/>
        </w:rPr>
        <w:t>。</w:t>
      </w:r>
    </w:p>
    <w:p w14:paraId="472951AE">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spacing w:val="0"/>
          <w:kern w:val="2"/>
          <w:highlight w:val="none"/>
          <w:lang w:val="en-US" w:eastAsia="zh-CN"/>
        </w:rPr>
      </w:pPr>
      <w:bookmarkStart w:id="635" w:name="_Toc22487"/>
      <w:r>
        <w:rPr>
          <w:rFonts w:hint="eastAsia" w:ascii="Times New Roman" w:hAnsi="Times New Roman" w:eastAsia="仿宋_GB2312" w:cs="方正仿宋_GBK"/>
          <w:b w:val="0"/>
          <w:bCs w:val="0"/>
          <w:color w:val="auto"/>
          <w:spacing w:val="0"/>
          <w:kern w:val="2"/>
          <w:highlight w:val="none"/>
        </w:rPr>
        <w:t>深化</w:t>
      </w:r>
      <w:r>
        <w:rPr>
          <w:rFonts w:hint="eastAsia" w:eastAsia="仿宋_GB2312" w:cs="方正仿宋_GBK"/>
          <w:b w:val="0"/>
          <w:bCs w:val="0"/>
          <w:color w:val="auto"/>
          <w:spacing w:val="0"/>
          <w:kern w:val="2"/>
          <w:highlight w:val="none"/>
          <w:lang w:val="en-US" w:eastAsia="zh-CN"/>
        </w:rPr>
        <w:t>乡村</w:t>
      </w:r>
      <w:r>
        <w:rPr>
          <w:rFonts w:hint="eastAsia" w:ascii="Times New Roman" w:hAnsi="Times New Roman" w:eastAsia="仿宋_GB2312" w:cs="方正仿宋_GBK"/>
          <w:b w:val="0"/>
          <w:bCs w:val="0"/>
          <w:color w:val="auto"/>
          <w:spacing w:val="0"/>
          <w:kern w:val="2"/>
          <w:highlight w:val="none"/>
        </w:rPr>
        <w:t>精神文明建设</w:t>
      </w:r>
      <w:bookmarkEnd w:id="635"/>
      <w:r>
        <w:rPr>
          <w:rFonts w:hint="eastAsia" w:eastAsia="仿宋_GB2312" w:cs="方正仿宋_GBK"/>
          <w:b w:val="0"/>
          <w:bCs w:val="0"/>
          <w:color w:val="auto"/>
          <w:spacing w:val="0"/>
          <w:kern w:val="2"/>
          <w:highlight w:val="none"/>
          <w:lang w:eastAsia="zh-CN"/>
        </w:rPr>
        <w:t>。</w:t>
      </w:r>
      <w:r>
        <w:rPr>
          <w:rFonts w:hint="eastAsia" w:ascii="Times New Roman" w:hAnsi="Times New Roman" w:eastAsia="仿宋_GB2312" w:cs="方正仿宋_GBK"/>
          <w:b w:val="0"/>
          <w:bCs w:val="0"/>
          <w:spacing w:val="0"/>
          <w:kern w:val="2"/>
          <w:highlight w:val="none"/>
        </w:rPr>
        <w:t>加强文明培育、文明实践、文明创建工作，推动新时代文明实践中心（站</w:t>
      </w:r>
      <w:r>
        <w:rPr>
          <w:rFonts w:hint="eastAsia" w:eastAsia="仿宋_GB2312" w:cs="方正仿宋_GBK"/>
          <w:b w:val="0"/>
          <w:bCs w:val="0"/>
          <w:spacing w:val="0"/>
          <w:kern w:val="2"/>
          <w:highlight w:val="none"/>
          <w:lang w:eastAsia="zh-CN"/>
        </w:rPr>
        <w:t>、</w:t>
      </w:r>
      <w:r>
        <w:rPr>
          <w:rFonts w:hint="eastAsia" w:ascii="Times New Roman" w:hAnsi="Times New Roman" w:eastAsia="仿宋_GB2312" w:cs="方正仿宋_GBK"/>
          <w:b w:val="0"/>
          <w:bCs w:val="0"/>
          <w:spacing w:val="0"/>
          <w:kern w:val="2"/>
          <w:highlight w:val="none"/>
        </w:rPr>
        <w:t>所）联动高效运转，广泛开展群众性精神文明创建活动。引导苏木乡镇</w:t>
      </w:r>
      <w:r>
        <w:rPr>
          <w:rFonts w:hint="eastAsia" w:ascii="Times New Roman" w:hAnsi="Times New Roman" w:eastAsia="仿宋_GB2312" w:cs="方正仿宋_GBK"/>
          <w:b w:val="0"/>
          <w:bCs w:val="0"/>
          <w:spacing w:val="0"/>
          <w:kern w:val="2"/>
          <w:highlight w:val="none"/>
          <w:lang w:val="en-US" w:eastAsia="zh-CN"/>
        </w:rPr>
        <w:t>制定完善</w:t>
      </w:r>
      <w:r>
        <w:rPr>
          <w:rFonts w:hint="eastAsia" w:ascii="Times New Roman" w:hAnsi="Times New Roman" w:eastAsia="仿宋_GB2312" w:cs="方正仿宋_GBK"/>
          <w:b w:val="0"/>
          <w:bCs w:val="0"/>
          <w:spacing w:val="0"/>
          <w:kern w:val="2"/>
          <w:highlight w:val="none"/>
        </w:rPr>
        <w:t>村规民约，建立规范的村民议事会、道德评议会、红白理事会等群众组织。持续推进移风易俗，</w:t>
      </w:r>
      <w:r>
        <w:rPr>
          <w:rFonts w:hint="eastAsia" w:ascii="Times New Roman" w:hAnsi="Times New Roman" w:eastAsia="仿宋_GB2312" w:cs="方正仿宋_GBK"/>
          <w:b w:val="0"/>
          <w:bCs w:val="0"/>
          <w:spacing w:val="0"/>
          <w:kern w:val="2"/>
          <w:highlight w:val="none"/>
          <w:lang w:val="en-US" w:eastAsia="zh-CN"/>
        </w:rPr>
        <w:t>整治</w:t>
      </w:r>
      <w:r>
        <w:rPr>
          <w:rFonts w:hint="eastAsia" w:ascii="Times New Roman" w:hAnsi="Times New Roman" w:eastAsia="仿宋_GB2312" w:cs="方正仿宋_GBK"/>
          <w:b w:val="0"/>
          <w:bCs w:val="0"/>
          <w:spacing w:val="0"/>
          <w:kern w:val="2"/>
          <w:highlight w:val="none"/>
        </w:rPr>
        <w:t>农村牧区高价彩礼、婚丧大操大办、薄养厚葬等陈规陋习，培育文明乡风、良好家风、淳朴民风。推进中国传统节日振兴，依托“大地流彩”系列活动，持续办好以农牧民为主体的文化节、丰收节、那达慕等文化活动。实施农耕文化传承保护工程，加强敖汉</w:t>
      </w:r>
      <w:r>
        <w:rPr>
          <w:rFonts w:hint="eastAsia" w:ascii="Times New Roman" w:hAnsi="Times New Roman" w:eastAsia="仿宋_GB2312" w:cs="方正仿宋_GBK"/>
          <w:b w:val="0"/>
          <w:bCs w:val="0"/>
          <w:spacing w:val="0"/>
          <w:kern w:val="2"/>
          <w:highlight w:val="none"/>
          <w:lang w:eastAsia="zh-CN"/>
        </w:rPr>
        <w:t>旗</w:t>
      </w:r>
      <w:r>
        <w:rPr>
          <w:rFonts w:hint="eastAsia" w:ascii="Times New Roman" w:hAnsi="Times New Roman" w:eastAsia="仿宋_GB2312" w:cs="方正仿宋_GBK"/>
          <w:b w:val="0"/>
          <w:bCs w:val="0"/>
          <w:spacing w:val="0"/>
          <w:kern w:val="2"/>
          <w:highlight w:val="none"/>
        </w:rPr>
        <w:t>旱作农业系统和</w:t>
      </w:r>
      <w:r>
        <w:rPr>
          <w:rFonts w:hint="eastAsia" w:ascii="Times New Roman" w:hAnsi="Times New Roman" w:eastAsia="仿宋_GB2312" w:cs="方正仿宋_GBK"/>
          <w:b w:val="0"/>
          <w:bCs w:val="0"/>
          <w:spacing w:val="0"/>
          <w:kern w:val="2"/>
          <w:highlight w:val="none"/>
          <w:lang w:eastAsia="zh-CN"/>
        </w:rPr>
        <w:t>阿鲁科尔沁旗</w:t>
      </w:r>
      <w:r>
        <w:rPr>
          <w:rFonts w:hint="eastAsia" w:ascii="Times New Roman" w:hAnsi="Times New Roman" w:eastAsia="仿宋_GB2312" w:cs="方正仿宋_GBK"/>
          <w:b w:val="0"/>
          <w:bCs w:val="0"/>
          <w:spacing w:val="0"/>
          <w:kern w:val="2"/>
          <w:highlight w:val="none"/>
        </w:rPr>
        <w:t>草原游牧系统的宣传和保护，做好其他地区农耕文化的挖掘整</w:t>
      </w:r>
      <w:r>
        <w:rPr>
          <w:rFonts w:hint="eastAsia" w:eastAsia="仿宋_GB2312" w:cs="方正仿宋_GBK"/>
          <w:b w:val="0"/>
          <w:bCs w:val="0"/>
          <w:spacing w:val="0"/>
          <w:kern w:val="2"/>
          <w:highlight w:val="none"/>
          <w:lang w:eastAsia="zh-CN"/>
        </w:rPr>
        <w:t>理和</w:t>
      </w:r>
      <w:r>
        <w:rPr>
          <w:rFonts w:hint="eastAsia" w:ascii="Times New Roman" w:hAnsi="Times New Roman" w:eastAsia="仿宋_GB2312" w:cs="方正仿宋_GBK"/>
          <w:b w:val="0"/>
          <w:bCs w:val="0"/>
          <w:spacing w:val="0"/>
          <w:kern w:val="2"/>
          <w:highlight w:val="none"/>
        </w:rPr>
        <w:t>申报工作。</w:t>
      </w:r>
    </w:p>
    <w:p w14:paraId="19B33F48">
      <w:pPr>
        <w:keepNext w:val="0"/>
        <w:keepLines w:val="0"/>
        <w:pageBreakBefore w:val="0"/>
        <w:widowControl/>
        <w:numPr>
          <w:ilvl w:val="0"/>
          <w:numId w:val="2"/>
        </w:numPr>
        <w:kinsoku/>
        <w:wordWrap/>
        <w:overflowPunct/>
        <w:topLinePunct w:val="0"/>
        <w:autoSpaceDE/>
        <w:autoSpaceDN/>
        <w:bidi w:val="0"/>
        <w:adjustRightInd/>
        <w:snapToGrid/>
        <w:spacing w:before="157" w:beforeLines="50" w:after="157" w:afterLines="50" w:line="540" w:lineRule="exact"/>
        <w:ind w:firstLine="0" w:firstLineChars="0"/>
        <w:jc w:val="center"/>
        <w:textAlignment w:val="auto"/>
        <w:outlineLvl w:val="1"/>
        <w:rPr>
          <w:rFonts w:hint="eastAsia" w:ascii="黑体" w:hAnsi="黑体" w:eastAsia="黑体" w:cs="黑体"/>
          <w:b w:val="0"/>
          <w:bCs w:val="0"/>
          <w:sz w:val="32"/>
          <w:szCs w:val="32"/>
          <w:highlight w:val="none"/>
          <w:u w:val="none" w:color="auto"/>
          <w:lang w:val="en-US" w:eastAsia="zh-CN"/>
        </w:rPr>
      </w:pPr>
      <w:bookmarkStart w:id="636" w:name="_Toc14944"/>
      <w:bookmarkStart w:id="637" w:name="_Toc29245"/>
      <w:bookmarkStart w:id="638" w:name="_Toc14326"/>
      <w:bookmarkStart w:id="639" w:name="_Toc14378"/>
      <w:bookmarkStart w:id="640" w:name="_Toc28611"/>
      <w:bookmarkStart w:id="641" w:name="_Toc23534"/>
      <w:bookmarkStart w:id="642" w:name="_Toc13756"/>
      <w:bookmarkStart w:id="643" w:name="_Toc11589"/>
      <w:bookmarkStart w:id="644" w:name="_Toc30197"/>
      <w:bookmarkStart w:id="645" w:name="_Toc29209"/>
      <w:bookmarkStart w:id="646" w:name="_Toc16151"/>
      <w:bookmarkStart w:id="647" w:name="_Toc3173"/>
      <w:bookmarkStart w:id="648" w:name="_Toc305"/>
      <w:bookmarkStart w:id="649" w:name="_Toc25612"/>
      <w:r>
        <w:rPr>
          <w:rFonts w:hint="eastAsia" w:ascii="黑体" w:hAnsi="黑体" w:eastAsia="黑体" w:cs="黑体"/>
          <w:b w:val="0"/>
          <w:bCs w:val="0"/>
          <w:sz w:val="32"/>
          <w:szCs w:val="32"/>
          <w:highlight w:val="none"/>
          <w:u w:val="none" w:color="auto"/>
          <w:lang w:val="en-US" w:eastAsia="zh-CN"/>
        </w:rPr>
        <w:t>扩大高水平开放，全面融入新发展格局</w:t>
      </w:r>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p w14:paraId="27A71880">
      <w:pPr>
        <w:keepNext w:val="0"/>
        <w:keepLines w:val="0"/>
        <w:pageBreakBefore w:val="0"/>
        <w:widowControl w:val="0"/>
        <w:kinsoku/>
        <w:wordWrap/>
        <w:overflowPunct w:val="0"/>
        <w:topLinePunct w:val="0"/>
        <w:autoSpaceDE/>
        <w:autoSpaceDN/>
        <w:bidi w:val="0"/>
        <w:adjustRightInd/>
        <w:snapToGrid/>
        <w:spacing w:line="540" w:lineRule="exact"/>
        <w:ind w:firstLine="624" w:firstLineChars="200"/>
        <w:textAlignment w:val="auto"/>
        <w:rPr>
          <w:rFonts w:hint="eastAsia" w:ascii="仿宋_GB2312" w:hAnsi="仿宋_GB2312" w:eastAsia="仿宋_GB2312" w:cs="仿宋_GB2312"/>
          <w:b w:val="0"/>
          <w:bCs w:val="0"/>
          <w:sz w:val="32"/>
          <w:szCs w:val="32"/>
          <w:highlight w:val="none"/>
          <w:u w:val="none" w:color="auto"/>
          <w:lang w:val="en-US" w:eastAsia="zh-CN"/>
        </w:rPr>
      </w:pPr>
      <w:r>
        <w:rPr>
          <w:rFonts w:hint="eastAsia" w:ascii="仿宋_GB2312" w:hAnsi="仿宋_GB2312" w:eastAsia="仿宋_GB2312" w:cs="仿宋_GB2312"/>
          <w:b w:val="0"/>
          <w:bCs w:val="0"/>
          <w:sz w:val="32"/>
          <w:szCs w:val="32"/>
          <w:highlight w:val="none"/>
          <w:u w:val="none" w:color="auto"/>
          <w:lang w:val="en-US" w:eastAsia="zh-CN"/>
        </w:rPr>
        <w:t>扭住扩大内需这一战略基点，坚持惠民生和促消费、投资于物和投资于人紧密结合，充分发挥投资的关键作用和消费的基础作用，拓展对外开放广度和深度，在融入和服务构建新发展格局中展现新作为。</w:t>
      </w:r>
    </w:p>
    <w:p w14:paraId="77DA3450">
      <w:pPr>
        <w:keepNext w:val="0"/>
        <w:keepLines w:val="0"/>
        <w:pageBreakBefore w:val="0"/>
        <w:widowControl/>
        <w:numPr>
          <w:ilvl w:val="0"/>
          <w:numId w:val="8"/>
        </w:numPr>
        <w:kinsoku/>
        <w:wordWrap/>
        <w:overflowPunct/>
        <w:topLinePunct w:val="0"/>
        <w:autoSpaceDE/>
        <w:autoSpaceDN/>
        <w:bidi w:val="0"/>
        <w:adjustRightInd/>
        <w:snapToGrid/>
        <w:spacing w:before="157" w:beforeLines="50" w:after="157" w:afterLines="50" w:line="540" w:lineRule="exact"/>
        <w:ind w:firstLine="0" w:firstLineChars="0"/>
        <w:jc w:val="center"/>
        <w:textAlignment w:val="auto"/>
        <w:outlineLvl w:val="2"/>
        <w:rPr>
          <w:rFonts w:hint="eastAsia" w:ascii="楷体_GB2312" w:hAnsi="楷体_GB2312" w:eastAsia="楷体_GB2312" w:cs="楷体_GB2312"/>
          <w:b w:val="0"/>
          <w:bCs w:val="0"/>
          <w:color w:val="auto"/>
          <w:sz w:val="32"/>
          <w:szCs w:val="40"/>
          <w:highlight w:val="none"/>
          <w:u w:val="none"/>
          <w:lang w:val="en-US" w:eastAsia="zh-CN"/>
        </w:rPr>
      </w:pPr>
      <w:bookmarkStart w:id="650" w:name="_Toc10448"/>
      <w:bookmarkStart w:id="651" w:name="_Toc29651"/>
      <w:bookmarkStart w:id="652" w:name="_Toc14592"/>
      <w:bookmarkStart w:id="653" w:name="_Toc21825"/>
      <w:bookmarkStart w:id="654" w:name="_Toc1032"/>
      <w:bookmarkStart w:id="655" w:name="_Toc17498"/>
      <w:bookmarkStart w:id="656" w:name="_Toc3133"/>
      <w:bookmarkStart w:id="657" w:name="_Toc25469"/>
      <w:bookmarkStart w:id="658" w:name="_Toc24465"/>
      <w:bookmarkStart w:id="659" w:name="_Toc31243"/>
      <w:bookmarkStart w:id="660" w:name="_Toc16429"/>
      <w:bookmarkStart w:id="661" w:name="_Toc24998"/>
      <w:bookmarkStart w:id="662" w:name="_Toc11347"/>
      <w:bookmarkStart w:id="663" w:name="_Toc22733"/>
      <w:r>
        <w:rPr>
          <w:rFonts w:hint="eastAsia" w:ascii="楷体_GB2312" w:hAnsi="楷体_GB2312" w:eastAsia="楷体_GB2312" w:cs="楷体_GB2312"/>
          <w:b w:val="0"/>
          <w:bCs w:val="0"/>
          <w:color w:val="auto"/>
          <w:sz w:val="32"/>
          <w:szCs w:val="40"/>
          <w:highlight w:val="none"/>
          <w:u w:val="none" w:color="auto"/>
          <w:lang w:val="en-US" w:eastAsia="zh-CN"/>
        </w:rPr>
        <w:t>积极扩大有效投资</w:t>
      </w:r>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p w14:paraId="18C5EEEB">
      <w:pPr>
        <w:keepNext w:val="0"/>
        <w:keepLines w:val="0"/>
        <w:pageBreakBefore w:val="0"/>
        <w:widowControl w:val="0"/>
        <w:numPr>
          <w:ilvl w:val="-1"/>
          <w:numId w:val="0"/>
        </w:numPr>
        <w:kinsoku/>
        <w:wordWrap/>
        <w:overflowPunct w:val="0"/>
        <w:topLinePunct w:val="0"/>
        <w:autoSpaceDE/>
        <w:autoSpaceDN/>
        <w:bidi w:val="0"/>
        <w:adjustRightInd/>
        <w:snapToGrid/>
        <w:spacing w:line="540" w:lineRule="exact"/>
        <w:ind w:firstLine="624" w:firstLineChars="200"/>
        <w:jc w:val="both"/>
        <w:textAlignment w:val="auto"/>
        <w:rPr>
          <w:rFonts w:hint="eastAsia" w:ascii="仿宋_GB2312" w:hAnsi="仿宋_GB2312" w:eastAsia="仿宋_GB2312" w:cs="仿宋_GB2312"/>
          <w:b w:val="0"/>
          <w:bCs w:val="0"/>
          <w:sz w:val="32"/>
          <w:szCs w:val="32"/>
          <w:highlight w:val="none"/>
          <w:u w:val="none" w:color="auto"/>
          <w:lang w:val="en-US" w:eastAsia="zh-CN"/>
        </w:rPr>
      </w:pPr>
      <w:r>
        <w:rPr>
          <w:rFonts w:hint="eastAsia" w:ascii="仿宋_GB2312" w:hAnsi="仿宋_GB2312" w:eastAsia="仿宋_GB2312" w:cs="仿宋_GB2312"/>
          <w:b w:val="0"/>
          <w:bCs w:val="0"/>
          <w:sz w:val="32"/>
          <w:szCs w:val="32"/>
          <w:highlight w:val="none"/>
          <w:u w:val="none" w:color="auto"/>
          <w:lang w:val="en-US" w:eastAsia="zh-CN"/>
        </w:rPr>
        <w:t>高位推进招商引资拓展行动和重大项目牵引行动，谋划实施一批补短板、强弱项、增后劲的重大工程项目，构建“实施一批、前期一批、储备一批、谋划一批”滚动接续机制，保持投资合理增长，实现供需更高水平动态平衡。</w:t>
      </w:r>
    </w:p>
    <w:p w14:paraId="28032303">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仿宋_GB2312" w:hAnsi="仿宋_GB2312" w:eastAsia="仿宋_GB2312" w:cs="仿宋_GB2312"/>
          <w:b w:val="0"/>
          <w:bCs w:val="0"/>
          <w:sz w:val="32"/>
          <w:szCs w:val="32"/>
          <w:highlight w:val="none"/>
          <w:u w:val="none" w:color="auto"/>
          <w:lang w:val="en-US" w:eastAsia="zh-CN"/>
        </w:rPr>
      </w:pPr>
      <w:bookmarkStart w:id="664" w:name="_Toc13473"/>
      <w:r>
        <w:rPr>
          <w:rFonts w:hint="eastAsia" w:ascii="Times New Roman" w:hAnsi="Times New Roman" w:eastAsia="仿宋_GB2312" w:cs="方正仿宋_GBK"/>
          <w:b w:val="0"/>
          <w:bCs w:val="0"/>
          <w:color w:val="auto"/>
          <w:sz w:val="32"/>
          <w:szCs w:val="32"/>
          <w:highlight w:val="none"/>
          <w:lang w:val="en-US" w:eastAsia="zh-CN"/>
        </w:rPr>
        <w:t>加强重大项目谋划实施</w:t>
      </w:r>
      <w:bookmarkEnd w:id="664"/>
      <w:r>
        <w:rPr>
          <w:rFonts w:hint="eastAsia" w:eastAsia="仿宋_GB2312" w:cs="方正仿宋_GBK"/>
          <w:b w:val="0"/>
          <w:bCs w:val="0"/>
          <w:color w:val="auto"/>
          <w:sz w:val="32"/>
          <w:szCs w:val="32"/>
          <w:highlight w:val="none"/>
          <w:lang w:val="en-US" w:eastAsia="zh-CN"/>
        </w:rPr>
        <w:t>。</w:t>
      </w:r>
      <w:r>
        <w:rPr>
          <w:rFonts w:hint="eastAsia" w:ascii="仿宋_GB2312" w:hAnsi="仿宋_GB2312" w:eastAsia="仿宋_GB2312" w:cs="仿宋_GB2312"/>
          <w:b w:val="0"/>
          <w:bCs w:val="0"/>
          <w:sz w:val="32"/>
          <w:szCs w:val="32"/>
          <w:highlight w:val="none"/>
          <w:u w:val="none" w:color="auto"/>
          <w:lang w:val="en-US" w:eastAsia="zh-CN"/>
        </w:rPr>
        <w:t>围绕“重大战略、重大规划、重点政策、产业布局”，在重大基础设施建设、重要民生和公共服务、重点领域安全保障、城乡区域协调发展、新质生产力、绿色低碳转型等领域，谋划实施一批具有牵引带动作用的重大工程。</w:t>
      </w:r>
      <w:bookmarkStart w:id="665" w:name="OLE_LINK111"/>
      <w:bookmarkStart w:id="666" w:name="OLE_LINK110"/>
      <w:r>
        <w:rPr>
          <w:rFonts w:hint="eastAsia" w:ascii="仿宋_GB2312" w:hAnsi="仿宋_GB2312" w:eastAsia="仿宋_GB2312" w:cs="仿宋_GB2312"/>
          <w:b w:val="0"/>
          <w:bCs w:val="0"/>
          <w:sz w:val="32"/>
          <w:szCs w:val="32"/>
          <w:highlight w:val="none"/>
          <w:u w:val="none" w:color="auto"/>
          <w:lang w:val="en-US" w:eastAsia="zh-CN"/>
        </w:rPr>
        <w:t>强化重大项目市级统筹，深入实施重点项目“争先进位、赛马比拼”工作机制。</w:t>
      </w:r>
      <w:r>
        <w:rPr>
          <w:rFonts w:hint="eastAsia" w:ascii="仿宋_GB2312" w:hAnsi="仿宋_GB2312" w:eastAsia="仿宋_GB2312" w:cs="仿宋_GB2312"/>
          <w:b w:val="0"/>
          <w:bCs w:val="0"/>
          <w:i w:val="0"/>
          <w:iCs w:val="0"/>
          <w:caps w:val="0"/>
          <w:color w:val="auto"/>
          <w:spacing w:val="8"/>
          <w:kern w:val="0"/>
          <w:sz w:val="32"/>
          <w:szCs w:val="32"/>
          <w:highlight w:val="none"/>
          <w:u w:val="none" w:color="auto"/>
          <w:shd w:val="clear" w:color="auto" w:fill="FFFFFF"/>
          <w:lang w:val="en-US" w:eastAsia="zh-CN" w:bidi="ar"/>
        </w:rPr>
        <w:t>面向重点地区开展精准招商、靶向招商、以商招商、产业链招商，提升招商引资质效</w:t>
      </w:r>
      <w:bookmarkStart w:id="667" w:name="OLE_LINK112"/>
      <w:bookmarkStart w:id="668" w:name="OLE_LINK113"/>
      <w:r>
        <w:rPr>
          <w:rFonts w:hint="eastAsia" w:ascii="仿宋_GB2312" w:hAnsi="仿宋_GB2312" w:eastAsia="仿宋_GB2312" w:cs="仿宋_GB2312"/>
          <w:b w:val="0"/>
          <w:bCs w:val="0"/>
          <w:sz w:val="32"/>
          <w:szCs w:val="32"/>
          <w:highlight w:val="none"/>
          <w:u w:val="none" w:color="auto"/>
          <w:lang w:val="en-US" w:eastAsia="zh-CN"/>
        </w:rPr>
        <w:t>。</w:t>
      </w:r>
      <w:bookmarkEnd w:id="665"/>
      <w:bookmarkEnd w:id="666"/>
      <w:bookmarkEnd w:id="667"/>
      <w:bookmarkEnd w:id="668"/>
      <w:r>
        <w:rPr>
          <w:rFonts w:hint="eastAsia" w:ascii="仿宋_GB2312" w:hAnsi="仿宋_GB2312" w:eastAsia="仿宋_GB2312" w:cs="仿宋_GB2312"/>
          <w:b w:val="0"/>
          <w:bCs w:val="0"/>
          <w:sz w:val="32"/>
          <w:szCs w:val="32"/>
          <w:highlight w:val="none"/>
          <w:u w:val="none" w:color="auto"/>
          <w:lang w:val="en-US" w:eastAsia="zh-CN"/>
        </w:rPr>
        <w:t>完善招商引资服务机制，</w:t>
      </w:r>
      <w:bookmarkStart w:id="669" w:name="OLE_LINK118"/>
      <w:bookmarkStart w:id="670" w:name="OLE_LINK119"/>
      <w:r>
        <w:rPr>
          <w:rFonts w:hint="eastAsia" w:ascii="仿宋_GB2312" w:hAnsi="仿宋_GB2312" w:eastAsia="仿宋_GB2312" w:cs="仿宋_GB2312"/>
          <w:b w:val="0"/>
          <w:bCs w:val="0"/>
          <w:sz w:val="32"/>
          <w:szCs w:val="32"/>
          <w:highlight w:val="none"/>
          <w:u w:val="none" w:color="auto"/>
          <w:lang w:val="en-US" w:eastAsia="zh-CN"/>
        </w:rPr>
        <w:t>推动要素供给与招商对象需求精准匹配</w:t>
      </w:r>
      <w:bookmarkEnd w:id="669"/>
      <w:bookmarkEnd w:id="670"/>
      <w:r>
        <w:rPr>
          <w:rFonts w:hint="eastAsia" w:ascii="仿宋_GB2312" w:hAnsi="仿宋_GB2312" w:eastAsia="仿宋_GB2312" w:cs="仿宋_GB2312"/>
          <w:b w:val="0"/>
          <w:bCs w:val="0"/>
          <w:sz w:val="32"/>
          <w:szCs w:val="32"/>
          <w:highlight w:val="none"/>
          <w:u w:val="none" w:color="auto"/>
          <w:lang w:val="en-US" w:eastAsia="zh-CN"/>
        </w:rPr>
        <w:t>。</w:t>
      </w:r>
    </w:p>
    <w:p w14:paraId="46DC7F64">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仿宋_GB2312" w:hAnsi="仿宋_GB2312" w:eastAsia="仿宋_GB2312" w:cs="仿宋_GB2312"/>
          <w:b w:val="0"/>
          <w:bCs w:val="0"/>
          <w:sz w:val="32"/>
          <w:szCs w:val="32"/>
          <w:highlight w:val="none"/>
          <w:u w:val="none" w:color="auto"/>
          <w:lang w:val="en-US" w:eastAsia="zh-CN"/>
        </w:rPr>
      </w:pPr>
      <w:bookmarkStart w:id="671" w:name="_Toc7488"/>
      <w:r>
        <w:rPr>
          <w:rFonts w:hint="eastAsia" w:ascii="Times New Roman" w:hAnsi="Times New Roman" w:eastAsia="仿宋_GB2312" w:cs="方正仿宋_GBK"/>
          <w:b w:val="0"/>
          <w:bCs w:val="0"/>
          <w:color w:val="auto"/>
          <w:sz w:val="32"/>
          <w:szCs w:val="32"/>
          <w:highlight w:val="none"/>
          <w:lang w:val="en-US" w:eastAsia="zh-CN"/>
        </w:rPr>
        <w:t>全面拓展有效投资空间</w:t>
      </w:r>
      <w:bookmarkEnd w:id="671"/>
      <w:r>
        <w:rPr>
          <w:rFonts w:hint="eastAsia" w:eastAsia="仿宋_GB2312" w:cs="方正仿宋_GBK"/>
          <w:b w:val="0"/>
          <w:bCs w:val="0"/>
          <w:color w:val="auto"/>
          <w:sz w:val="32"/>
          <w:szCs w:val="32"/>
          <w:highlight w:val="none"/>
          <w:lang w:val="en-US" w:eastAsia="zh-CN"/>
        </w:rPr>
        <w:t>。</w:t>
      </w:r>
      <w:r>
        <w:rPr>
          <w:rFonts w:hint="eastAsia" w:ascii="仿宋_GB2312" w:hAnsi="仿宋_GB2312" w:eastAsia="仿宋_GB2312" w:cs="仿宋_GB2312"/>
          <w:b w:val="0"/>
          <w:bCs w:val="0"/>
          <w:sz w:val="32"/>
          <w:szCs w:val="32"/>
          <w:highlight w:val="none"/>
          <w:u w:val="none" w:color="auto"/>
          <w:lang w:val="en-US" w:eastAsia="zh-CN"/>
        </w:rPr>
        <w:t>优化政府投资结构，提高民生类政府投资比重。深化政府投资决策论证，强化项目建设运营管理。实施好“两重”、“两新”和中央预算内投资项目，加大地方政府专项债、一般债争取力度并更多用于项目建设。用好新型政策性金融工具，发挥新型政策性金融工具撬动效应，引导更多资金精准投向重点领域。发挥好重大项目牵引和政府投资撬动作用，引导民营企业参与重大项目建设，发挥政府投资基金引导带动作用，持续优化投资环境，增强市场主导的有效投资增长动力。盘活存量资产，力争发行基础设施REITs项目。实施好政府和社会资本合作（PPP）新机制，形成政府引导、市场运作、全社会参与的可持续投资模式。</w:t>
      </w:r>
    </w:p>
    <w:p w14:paraId="215B3FC3">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仿宋_GB2312" w:hAnsi="仿宋_GB2312" w:eastAsia="仿宋_GB2312" w:cs="仿宋_GB2312"/>
          <w:b w:val="0"/>
          <w:bCs w:val="0"/>
          <w:sz w:val="32"/>
          <w:szCs w:val="32"/>
          <w:highlight w:val="none"/>
          <w:u w:val="none" w:color="auto"/>
          <w:lang w:val="en-US" w:eastAsia="zh-CN"/>
        </w:rPr>
      </w:pPr>
      <w:bookmarkStart w:id="672" w:name="_Toc11302"/>
      <w:r>
        <w:rPr>
          <w:rFonts w:hint="eastAsia" w:ascii="Times New Roman" w:hAnsi="Times New Roman" w:eastAsia="仿宋_GB2312" w:cs="方正仿宋_GBK"/>
          <w:b w:val="0"/>
          <w:bCs w:val="0"/>
          <w:color w:val="auto"/>
          <w:sz w:val="32"/>
          <w:szCs w:val="32"/>
          <w:highlight w:val="none"/>
          <w:lang w:val="en-US" w:eastAsia="zh-CN"/>
        </w:rPr>
        <w:t>深化投资体制改革</w:t>
      </w:r>
      <w:bookmarkEnd w:id="672"/>
      <w:r>
        <w:rPr>
          <w:rFonts w:hint="eastAsia" w:eastAsia="仿宋_GB2312" w:cs="方正仿宋_GBK"/>
          <w:b w:val="0"/>
          <w:bCs w:val="0"/>
          <w:color w:val="auto"/>
          <w:sz w:val="32"/>
          <w:szCs w:val="32"/>
          <w:highlight w:val="none"/>
          <w:lang w:val="en-US" w:eastAsia="zh-CN"/>
        </w:rPr>
        <w:t>。</w:t>
      </w:r>
      <w:r>
        <w:rPr>
          <w:rFonts w:hint="eastAsia" w:ascii="仿宋_GB2312" w:hAnsi="仿宋_GB2312" w:eastAsia="仿宋_GB2312" w:cs="仿宋_GB2312"/>
          <w:b w:val="0"/>
          <w:bCs w:val="0"/>
          <w:sz w:val="32"/>
          <w:szCs w:val="32"/>
          <w:highlight w:val="none"/>
          <w:u w:val="none" w:color="auto"/>
          <w:lang w:val="en-US" w:eastAsia="zh-CN"/>
        </w:rPr>
        <w:t>纵深推进重大项目前期手续联审联批，优化内外部流程，推行简政放权。用好投资项目在线审批系统，实现前期手续审批全过程、数字化、智能化、协同化管理。推动重大项目全生命周期管理，构建投资项目事前统筹、事中监管、事后评价等机制，精准识别和有效管控投资风险。完善项目用能、用地、用水、园区承载、矿产资源等要素保障机制，健全市场主导型投资增长机制，以单位产出为导向配置资源要素，实现高效精准匹配。</w:t>
      </w:r>
    </w:p>
    <w:p w14:paraId="7FACC86C">
      <w:pPr>
        <w:keepNext w:val="0"/>
        <w:keepLines w:val="0"/>
        <w:pageBreakBefore w:val="0"/>
        <w:widowControl/>
        <w:numPr>
          <w:ilvl w:val="0"/>
          <w:numId w:val="8"/>
        </w:numPr>
        <w:kinsoku/>
        <w:wordWrap/>
        <w:overflowPunct/>
        <w:topLinePunct w:val="0"/>
        <w:autoSpaceDE/>
        <w:autoSpaceDN/>
        <w:bidi w:val="0"/>
        <w:adjustRightInd/>
        <w:snapToGrid/>
        <w:spacing w:before="157" w:beforeLines="50" w:after="157" w:afterLines="50" w:line="540" w:lineRule="exact"/>
        <w:ind w:firstLine="0" w:firstLineChars="0"/>
        <w:jc w:val="center"/>
        <w:textAlignment w:val="auto"/>
        <w:outlineLvl w:val="2"/>
        <w:rPr>
          <w:rFonts w:hint="eastAsia" w:ascii="楷体_GB2312" w:hAnsi="楷体_GB2312" w:eastAsia="楷体_GB2312" w:cs="楷体_GB2312"/>
          <w:b w:val="0"/>
          <w:bCs w:val="0"/>
          <w:color w:val="auto"/>
          <w:sz w:val="32"/>
          <w:szCs w:val="40"/>
          <w:highlight w:val="none"/>
          <w:u w:val="none"/>
          <w:lang w:val="en-US" w:eastAsia="zh-CN"/>
        </w:rPr>
      </w:pPr>
      <w:bookmarkStart w:id="673" w:name="_Toc16512"/>
      <w:bookmarkStart w:id="674" w:name="_Toc4263"/>
      <w:bookmarkStart w:id="675" w:name="_Toc30369"/>
      <w:bookmarkStart w:id="676" w:name="_Toc18255"/>
      <w:bookmarkStart w:id="677" w:name="_Toc23879"/>
      <w:bookmarkStart w:id="678" w:name="_Toc11418"/>
      <w:bookmarkStart w:id="679" w:name="_Toc23692"/>
      <w:bookmarkStart w:id="680" w:name="_Toc31465"/>
      <w:bookmarkStart w:id="681" w:name="_Toc9993"/>
      <w:bookmarkStart w:id="682" w:name="_Toc16183"/>
      <w:bookmarkStart w:id="683" w:name="_Toc14921"/>
      <w:bookmarkStart w:id="684" w:name="_Toc22375"/>
      <w:bookmarkStart w:id="685" w:name="_Toc21588"/>
      <w:bookmarkStart w:id="686" w:name="_Toc19393"/>
      <w:r>
        <w:rPr>
          <w:rFonts w:hint="eastAsia" w:ascii="楷体_GB2312" w:hAnsi="楷体_GB2312" w:eastAsia="楷体_GB2312" w:cs="楷体_GB2312"/>
          <w:b w:val="0"/>
          <w:bCs w:val="0"/>
          <w:color w:val="auto"/>
          <w:sz w:val="32"/>
          <w:szCs w:val="40"/>
          <w:highlight w:val="none"/>
          <w:u w:val="none" w:color="auto"/>
          <w:lang w:val="en-US" w:eastAsia="zh-CN"/>
        </w:rPr>
        <w:t>促进消费扩容提质</w:t>
      </w:r>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p>
    <w:p w14:paraId="39C0EA43">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spacing w:val="-6"/>
          <w:sz w:val="32"/>
          <w:szCs w:val="32"/>
          <w:highlight w:val="none"/>
          <w:lang w:val="en-US" w:eastAsia="zh-CN"/>
        </w:rPr>
      </w:pPr>
      <w:r>
        <w:rPr>
          <w:rFonts w:hint="eastAsia" w:ascii="仿宋_GB2312" w:hAnsi="仿宋_GB2312" w:eastAsia="仿宋_GB2312" w:cs="仿宋_GB2312"/>
          <w:b w:val="0"/>
          <w:bCs w:val="0"/>
          <w:sz w:val="32"/>
          <w:szCs w:val="32"/>
          <w:highlight w:val="none"/>
          <w:u w:val="none" w:color="auto"/>
          <w:lang w:val="en-US" w:eastAsia="zh-CN"/>
        </w:rPr>
        <w:t>深入实施提振消费专项行动，提升传统消费，培育新型消费，</w:t>
      </w:r>
      <w:r>
        <w:rPr>
          <w:rFonts w:hint="eastAsia" w:ascii="仿宋_GB2312" w:hAnsi="仿宋_GB2312" w:eastAsia="仿宋_GB2312" w:cs="仿宋_GB2312"/>
          <w:b w:val="0"/>
          <w:bCs w:val="0"/>
          <w:spacing w:val="-6"/>
          <w:sz w:val="32"/>
          <w:szCs w:val="32"/>
          <w:highlight w:val="none"/>
          <w:u w:val="none" w:color="auto"/>
          <w:lang w:val="en-US" w:eastAsia="zh-CN"/>
        </w:rPr>
        <w:t>提升服务消费，扩大优质消费品和服务供给，打造区域性消费中心。</w:t>
      </w:r>
    </w:p>
    <w:p w14:paraId="2186163C">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sz w:val="32"/>
          <w:szCs w:val="32"/>
          <w:highlight w:val="none"/>
        </w:rPr>
      </w:pPr>
      <w:bookmarkStart w:id="687" w:name="_Toc31676"/>
      <w:r>
        <w:rPr>
          <w:rFonts w:hint="eastAsia" w:ascii="Times New Roman" w:hAnsi="Times New Roman" w:eastAsia="仿宋_GB2312" w:cs="方正仿宋_GBK"/>
          <w:b w:val="0"/>
          <w:bCs w:val="0"/>
          <w:color w:val="auto"/>
          <w:sz w:val="32"/>
          <w:szCs w:val="32"/>
          <w:highlight w:val="none"/>
        </w:rPr>
        <w:t>深入挖掘基础型消费潜力</w:t>
      </w:r>
      <w:bookmarkEnd w:id="687"/>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提高餐饮住宿等基本消费品质，引导餐饮企业提质升档，满足个性化、品质化、多元化消费需求；挖掘赤峰多元饮食文化内涵，打造地域特色美食名片；提升住宿服务品质，培育一批中高端酒店品牌和民宿品牌，打造高品质乡村民宿、乡村主题酒店。扩大家政服务消费，健全家政人才培训体系，发展员工制家政服务企业，支持家政劳务输出基地建设，增加家政服务供给，推进家政服务品牌建设。大力发展养老托育消费，推进公共空间、消费场所等无障碍建设，提高</w:t>
      </w:r>
      <w:r>
        <w:rPr>
          <w:rFonts w:hint="eastAsia" w:ascii="Times New Roman" w:hAnsi="Times New Roman" w:eastAsia="仿宋_GB2312" w:cs="方正仿宋_GBK"/>
          <w:b w:val="0"/>
          <w:bCs w:val="0"/>
          <w:color w:val="auto"/>
          <w:sz w:val="32"/>
          <w:szCs w:val="32"/>
          <w:highlight w:val="none"/>
          <w:lang w:eastAsia="zh-CN"/>
        </w:rPr>
        <w:t>居家</w:t>
      </w:r>
      <w:r>
        <w:rPr>
          <w:rFonts w:hint="eastAsia" w:ascii="Times New Roman" w:hAnsi="Times New Roman" w:eastAsia="仿宋_GB2312" w:cs="方正仿宋_GBK"/>
          <w:b w:val="0"/>
          <w:bCs w:val="0"/>
          <w:color w:val="auto"/>
          <w:sz w:val="32"/>
          <w:szCs w:val="32"/>
          <w:highlight w:val="none"/>
        </w:rPr>
        <w:t>适老化水平；加快健全养老服务体系，开展居家和社区基本养老服务；多渠道增加养老托育服务供给；结合老旧小区改造、完整社区建设、社区生活圈建设、城市社区嵌入式服务设施建设，优化家政、养老、托育、助餐等服务设施布局。</w:t>
      </w:r>
    </w:p>
    <w:p w14:paraId="1049B8F5">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sz w:val="32"/>
          <w:szCs w:val="32"/>
          <w:highlight w:val="none"/>
        </w:rPr>
      </w:pPr>
      <w:bookmarkStart w:id="688" w:name="_Toc4112"/>
      <w:r>
        <w:rPr>
          <w:rFonts w:hint="eastAsia" w:ascii="Times New Roman" w:hAnsi="Times New Roman" w:eastAsia="仿宋_GB2312" w:cs="方正仿宋_GBK"/>
          <w:b w:val="0"/>
          <w:bCs w:val="0"/>
          <w:color w:val="auto"/>
          <w:sz w:val="32"/>
          <w:szCs w:val="32"/>
          <w:highlight w:val="none"/>
        </w:rPr>
        <w:t>着力激发改善型消费活力</w:t>
      </w:r>
      <w:bookmarkEnd w:id="688"/>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激发文化娱乐消费活力，实施文化和旅游消费促进活动，提升文化娱乐服务消费体验；激发旅游消费活力，实施美好生活度假休闲工程和乡村旅游提质增效行动</w:t>
      </w:r>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激发体育消费活力，大力发展体育赛事和冰雪运动，培育赤峰本土特色品牌赛事</w:t>
      </w:r>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激发教育和培训消费活力，推动高等院校、科研机构、社会组织开放优质教育资源，推动职业教育提质增效，推动社会培训机构面向公众需求提高服务质量</w:t>
      </w:r>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激发居住服务消费活力，鼓励有条件的物业服务企业与养老、托育、餐饮、家政等企业开展合作，发展“物业服务+生活服务”模式，提升社区服务水平和居住体验，鼓励支持居民开展房屋装修和局部改造。</w:t>
      </w:r>
    </w:p>
    <w:p w14:paraId="5335A277">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sz w:val="32"/>
          <w:szCs w:val="32"/>
          <w:highlight w:val="none"/>
        </w:rPr>
      </w:pPr>
      <w:bookmarkStart w:id="689" w:name="_Toc22494"/>
      <w:r>
        <w:rPr>
          <w:rFonts w:hint="eastAsia" w:ascii="Times New Roman" w:hAnsi="Times New Roman" w:eastAsia="仿宋_GB2312" w:cs="方正仿宋_GBK"/>
          <w:b w:val="0"/>
          <w:bCs w:val="0"/>
          <w:color w:val="auto"/>
          <w:sz w:val="32"/>
          <w:szCs w:val="32"/>
          <w:highlight w:val="none"/>
          <w:lang w:val="en-US" w:eastAsia="zh-CN"/>
        </w:rPr>
        <w:t>加快培育发展新消费业态</w:t>
      </w:r>
      <w:bookmarkEnd w:id="689"/>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sz w:val="32"/>
          <w:szCs w:val="32"/>
          <w:highlight w:val="none"/>
          <w:lang w:val="en-US" w:eastAsia="zh-CN"/>
        </w:rPr>
        <w:t>积极培育消费新业态新模式新场景，发展首店经济、首发经济、首秀经济、夜间经济。</w:t>
      </w:r>
      <w:r>
        <w:rPr>
          <w:rFonts w:hint="eastAsia" w:ascii="Times New Roman" w:hAnsi="Times New Roman" w:eastAsia="仿宋_GB2312" w:cs="方正仿宋_GBK"/>
          <w:b w:val="0"/>
          <w:bCs w:val="0"/>
          <w:color w:val="auto"/>
          <w:sz w:val="32"/>
          <w:szCs w:val="32"/>
          <w:highlight w:val="none"/>
        </w:rPr>
        <w:t>培育壮大数字消费，扩大信息消费能力</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支持线上线下商品消费融合发展</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加快传统线下业态数字化改造和转型升级。构建智慧商圈、智慧街区、智慧门店等消费新载体，在社区、商超、车站等场所加快无人零售店、自提柜、云柜等新业态布局。持续完善生活服务平台与消费者之间的良性互动，推进数字消费券应用，参与开展各类惠民补贴、消费优惠活动，进一步深化平台服务能力，提供更全面的服务消费资讯。普及绿色低碳消费观念，健全绿色低碳产品生产和推广机制，促进居民消费品质升级。依法规范平台经济发展，提升新业态监管能力。促进共享经济等消费新业态发展。大力发展医美消费、城市漫游、个性化健康管理、一对一咨询等定制消费模式。</w:t>
      </w:r>
    </w:p>
    <w:p w14:paraId="5EEC4777">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仿宋_GB2312" w:hAnsi="仿宋_GB2312" w:eastAsia="仿宋_GB2312" w:cs="仿宋_GB2312"/>
          <w:b w:val="0"/>
          <w:bCs w:val="0"/>
          <w:color w:val="auto"/>
          <w:sz w:val="32"/>
          <w:szCs w:val="32"/>
          <w:highlight w:val="none"/>
          <w:u w:val="none" w:color="auto"/>
          <w:lang w:val="en-US" w:eastAsia="zh-CN"/>
        </w:rPr>
      </w:pPr>
      <w:bookmarkStart w:id="690" w:name="_Toc20739"/>
      <w:r>
        <w:rPr>
          <w:rFonts w:hint="eastAsia" w:ascii="Times New Roman" w:hAnsi="Times New Roman" w:eastAsia="仿宋_GB2312" w:cs="方正仿宋_GBK"/>
          <w:b w:val="0"/>
          <w:bCs w:val="0"/>
          <w:color w:val="auto"/>
          <w:sz w:val="32"/>
          <w:szCs w:val="32"/>
          <w:highlight w:val="none"/>
          <w:lang w:val="en-US" w:eastAsia="zh-CN"/>
        </w:rPr>
        <w:t>持续完善促消费长效机制</w:t>
      </w:r>
      <w:bookmarkEnd w:id="690"/>
      <w:r>
        <w:rPr>
          <w:rFonts w:hint="eastAsia" w:eastAsia="仿宋_GB2312" w:cs="方正仿宋_GBK"/>
          <w:b w:val="0"/>
          <w:bCs w:val="0"/>
          <w:color w:val="auto"/>
          <w:sz w:val="32"/>
          <w:szCs w:val="32"/>
          <w:highlight w:val="none"/>
          <w:lang w:val="en-US" w:eastAsia="zh-CN"/>
        </w:rPr>
        <w:t>。</w:t>
      </w:r>
      <w:r>
        <w:rPr>
          <w:rFonts w:hint="eastAsia" w:ascii="仿宋_GB2312" w:hAnsi="仿宋_GB2312" w:eastAsia="仿宋_GB2312" w:cs="仿宋_GB2312"/>
          <w:b w:val="0"/>
          <w:bCs w:val="0"/>
          <w:sz w:val="32"/>
          <w:szCs w:val="32"/>
          <w:highlight w:val="none"/>
          <w:u w:val="none" w:color="auto"/>
          <w:lang w:val="en-US" w:eastAsia="zh-CN"/>
        </w:rPr>
        <w:t>完善提振和扩大消费长效机制，加大直达消费者的普惠政策力度，挖掘房地产、汽车、家电等大宗消费潜力。</w:t>
      </w:r>
      <w:r>
        <w:rPr>
          <w:rFonts w:hint="eastAsia" w:ascii="Times New Roman" w:hAnsi="Times New Roman" w:eastAsia="仿宋_GB2312" w:cs="方正仿宋_GBK"/>
          <w:b w:val="0"/>
          <w:bCs w:val="0"/>
          <w:color w:val="auto"/>
          <w:sz w:val="32"/>
          <w:szCs w:val="32"/>
          <w:highlight w:val="none"/>
        </w:rPr>
        <w:t>强化促进消费政策协同落实，</w:t>
      </w:r>
      <w:r>
        <w:rPr>
          <w:rFonts w:hint="eastAsia" w:ascii="Times New Roman" w:hAnsi="Times New Roman" w:eastAsia="仿宋_GB2312" w:cs="方正仿宋_GBK"/>
          <w:b w:val="0"/>
          <w:bCs w:val="0"/>
          <w:color w:val="auto"/>
          <w:sz w:val="32"/>
          <w:szCs w:val="32"/>
          <w:highlight w:val="none"/>
          <w:lang w:val="en-US" w:eastAsia="zh-CN"/>
        </w:rPr>
        <w:t>优化实施大规模设备更新和消费品以旧换新</w:t>
      </w:r>
      <w:r>
        <w:rPr>
          <w:rFonts w:hint="eastAsia" w:ascii="Times New Roman" w:hAnsi="Times New Roman" w:eastAsia="仿宋_GB2312" w:cs="方正仿宋_GBK"/>
          <w:b w:val="0"/>
          <w:bCs w:val="0"/>
          <w:color w:val="auto"/>
          <w:sz w:val="32"/>
          <w:szCs w:val="32"/>
          <w:highlight w:val="none"/>
        </w:rPr>
        <w:t>，推动消费升级。</w:t>
      </w:r>
      <w:r>
        <w:rPr>
          <w:rFonts w:hint="eastAsia" w:ascii="仿宋_GB2312" w:hAnsi="仿宋_GB2312" w:eastAsia="仿宋_GB2312" w:cs="仿宋_GB2312"/>
          <w:b w:val="0"/>
          <w:bCs w:val="0"/>
          <w:sz w:val="32"/>
          <w:szCs w:val="32"/>
          <w:highlight w:val="none"/>
          <w:u w:val="none" w:color="auto"/>
          <w:lang w:val="en-US" w:eastAsia="zh-CN"/>
        </w:rPr>
        <w:t>强化消费者权益保护，</w:t>
      </w:r>
      <w:r>
        <w:rPr>
          <w:rFonts w:hint="eastAsia" w:ascii="Times New Roman" w:hAnsi="Times New Roman" w:eastAsia="仿宋_GB2312" w:cs="方正仿宋_GBK"/>
          <w:b w:val="0"/>
          <w:bCs w:val="0"/>
          <w:color w:val="auto"/>
          <w:sz w:val="32"/>
          <w:szCs w:val="32"/>
          <w:highlight w:val="none"/>
        </w:rPr>
        <w:t>加强消费领域信用体系建设，健全消费争议多元化解机制，依法打击虚假广告、网络敲诈、恶意投诉索赔等违法行为，营造放心消费环境。</w:t>
      </w:r>
      <w:r>
        <w:rPr>
          <w:rFonts w:hint="eastAsia" w:ascii="Times New Roman" w:hAnsi="Times New Roman" w:eastAsia="仿宋_GB2312" w:cs="方正仿宋_GBK"/>
          <w:b w:val="0"/>
          <w:bCs w:val="0"/>
          <w:color w:val="auto"/>
          <w:sz w:val="32"/>
          <w:szCs w:val="32"/>
          <w:highlight w:val="none"/>
          <w:lang w:val="en-US" w:eastAsia="zh-CN"/>
        </w:rPr>
        <w:t>落实带薪错峰休假，扩大节假日消费。</w:t>
      </w:r>
    </w:p>
    <w:p w14:paraId="0E9E29AF">
      <w:pPr>
        <w:keepNext w:val="0"/>
        <w:keepLines w:val="0"/>
        <w:pageBreakBefore w:val="0"/>
        <w:widowControl/>
        <w:numPr>
          <w:ilvl w:val="0"/>
          <w:numId w:val="8"/>
        </w:numPr>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u w:val="none"/>
          <w:lang w:val="en-US" w:eastAsia="zh-CN"/>
        </w:rPr>
      </w:pPr>
      <w:bookmarkStart w:id="691" w:name="_Toc8287"/>
      <w:bookmarkStart w:id="692" w:name="_Toc2455"/>
      <w:bookmarkStart w:id="693" w:name="_Toc17533"/>
      <w:bookmarkStart w:id="694" w:name="_Toc20588"/>
      <w:bookmarkStart w:id="695" w:name="_Toc28356"/>
      <w:bookmarkStart w:id="696" w:name="_Toc19559"/>
      <w:bookmarkStart w:id="697" w:name="_Toc15915"/>
      <w:bookmarkStart w:id="698" w:name="_Toc30316"/>
      <w:bookmarkStart w:id="699" w:name="_Toc28732"/>
      <w:bookmarkStart w:id="700" w:name="_Toc2783"/>
      <w:bookmarkStart w:id="701" w:name="_Toc13666"/>
      <w:bookmarkStart w:id="702" w:name="_Toc14160"/>
      <w:bookmarkStart w:id="703" w:name="_Toc13682"/>
      <w:bookmarkStart w:id="704" w:name="_Toc13736"/>
      <w:bookmarkStart w:id="705" w:name="_Toc27234"/>
      <w:bookmarkStart w:id="706" w:name="_Toc1638"/>
      <w:bookmarkStart w:id="707" w:name="_Toc1854"/>
      <w:bookmarkStart w:id="708" w:name="_Toc7666"/>
      <w:bookmarkStart w:id="709" w:name="_Toc29083"/>
      <w:bookmarkStart w:id="710" w:name="_Toc16853"/>
      <w:bookmarkStart w:id="711" w:name="_Toc120"/>
      <w:bookmarkStart w:id="712" w:name="_Toc10672"/>
      <w:bookmarkStart w:id="713" w:name="_Toc26530"/>
      <w:bookmarkStart w:id="714" w:name="_Toc17530"/>
      <w:bookmarkStart w:id="715" w:name="_Toc18969"/>
      <w:bookmarkStart w:id="716" w:name="_Toc12702"/>
      <w:bookmarkStart w:id="717" w:name="_Toc372"/>
      <w:r>
        <w:rPr>
          <w:rFonts w:hint="eastAsia" w:ascii="楷体_GB2312" w:hAnsi="楷体_GB2312" w:eastAsia="楷体_GB2312" w:cs="楷体_GB2312"/>
          <w:b w:val="0"/>
          <w:bCs w:val="0"/>
          <w:color w:val="auto"/>
          <w:sz w:val="32"/>
          <w:szCs w:val="40"/>
          <w:highlight w:val="none"/>
          <w:u w:val="none"/>
          <w:lang w:val="en-US" w:eastAsia="zh-CN"/>
        </w:rPr>
        <w:t>深入推进向北开放与向海图强</w:t>
      </w:r>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p>
    <w:p w14:paraId="57DE0E6F">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color w:val="auto"/>
          <w:highlight w:val="none"/>
        </w:rPr>
        <w:t>深度融入</w:t>
      </w:r>
      <w:r>
        <w:rPr>
          <w:rFonts w:hint="eastAsia" w:eastAsia="仿宋_GB2312" w:cs="方正仿宋_GBK"/>
          <w:b w:val="0"/>
          <w:bCs w:val="0"/>
          <w:color w:val="auto"/>
          <w:highlight w:val="none"/>
          <w:lang w:val="en-US" w:eastAsia="zh-CN"/>
        </w:rPr>
        <w:t>高质量</w:t>
      </w:r>
      <w:r>
        <w:rPr>
          <w:rFonts w:hint="eastAsia" w:ascii="Times New Roman" w:hAnsi="Times New Roman" w:eastAsia="仿宋_GB2312" w:cs="方正仿宋_GBK"/>
          <w:b w:val="0"/>
          <w:bCs w:val="0"/>
          <w:color w:val="auto"/>
          <w:highlight w:val="none"/>
        </w:rPr>
        <w:t>共建“一带一路”和“中蒙俄经济走廊”建设，强化与京津冀、</w:t>
      </w:r>
      <w:r>
        <w:rPr>
          <w:rFonts w:hint="eastAsia" w:ascii="Times New Roman" w:hAnsi="Times New Roman" w:eastAsia="仿宋_GB2312" w:cs="方正仿宋_GBK"/>
          <w:b w:val="0"/>
          <w:bCs w:val="0"/>
          <w:color w:val="auto"/>
          <w:highlight w:val="none"/>
          <w:lang w:val="en-US" w:eastAsia="zh-CN"/>
        </w:rPr>
        <w:t>环渤海和东北</w:t>
      </w:r>
      <w:r>
        <w:rPr>
          <w:rFonts w:hint="eastAsia" w:ascii="Times New Roman" w:hAnsi="Times New Roman" w:eastAsia="仿宋_GB2312" w:cs="方正仿宋_GBK"/>
          <w:b w:val="0"/>
          <w:bCs w:val="0"/>
          <w:color w:val="auto"/>
          <w:highlight w:val="none"/>
        </w:rPr>
        <w:t>地区协同发展，</w:t>
      </w:r>
      <w:r>
        <w:rPr>
          <w:rFonts w:hint="eastAsia" w:ascii="Times New Roman" w:hAnsi="Times New Roman" w:eastAsia="仿宋_GB2312" w:cs="方正仿宋_GBK"/>
          <w:b w:val="0"/>
          <w:bCs w:val="0"/>
          <w:color w:val="auto"/>
          <w:highlight w:val="none"/>
          <w:lang w:val="en-US" w:eastAsia="zh-CN"/>
        </w:rPr>
        <w:t>建立健全区域间战略互动合作机制，加强区域经济合作，努力在自治区建设我国向北开放重要桥头堡中更好发挥腹地支撑作用</w:t>
      </w:r>
      <w:r>
        <w:rPr>
          <w:rFonts w:hint="eastAsia" w:eastAsia="仿宋_GB2312" w:cs="方正仿宋_GBK"/>
          <w:b w:val="0"/>
          <w:bCs w:val="0"/>
          <w:color w:val="auto"/>
          <w:highlight w:val="none"/>
          <w:lang w:val="en-US" w:eastAsia="zh-CN"/>
        </w:rPr>
        <w:t>。</w:t>
      </w:r>
    </w:p>
    <w:p w14:paraId="4E9504D2">
      <w:pPr>
        <w:pStyle w:val="43"/>
        <w:keepNext w:val="0"/>
        <w:keepLines w:val="0"/>
        <w:pageBreakBefore w:val="0"/>
        <w:widowControl/>
        <w:shd w:val="clear" w:color="auto" w:fill="auto"/>
        <w:kinsoku/>
        <w:wordWrap/>
        <w:overflowPunct/>
        <w:topLinePunct w:val="0"/>
        <w:autoSpaceDE/>
        <w:autoSpaceDN/>
        <w:bidi w:val="0"/>
        <w:adjustRightInd/>
        <w:snapToGrid/>
        <w:spacing w:before="0" w:beforeLines="-2147483648" w:after="0" w:afterLines="-2147483648" w:line="540" w:lineRule="exact"/>
        <w:ind w:firstLine="643"/>
        <w:jc w:val="left"/>
        <w:textAlignment w:val="auto"/>
        <w:outlineLvl w:val="3"/>
        <w:rPr>
          <w:rFonts w:hint="eastAsia" w:ascii="Times New Roman" w:hAnsi="Times New Roman" w:eastAsia="仿宋_GB2312" w:cs="方正仿宋_GBK"/>
          <w:b w:val="0"/>
          <w:bCs w:val="0"/>
          <w:color w:val="auto"/>
          <w:highlight w:val="none"/>
          <w:lang w:val="en-US" w:eastAsia="zh-CN"/>
        </w:rPr>
      </w:pPr>
      <w:bookmarkStart w:id="718" w:name="_Toc402"/>
      <w:r>
        <w:rPr>
          <w:rFonts w:hint="eastAsia" w:ascii="Times New Roman" w:hAnsi="Times New Roman" w:eastAsia="仿宋_GB2312" w:cs="方正仿宋_GBK"/>
          <w:b w:val="0"/>
          <w:bCs w:val="0"/>
          <w:color w:val="auto"/>
          <w:sz w:val="32"/>
          <w:szCs w:val="32"/>
          <w:highlight w:val="none"/>
          <w:lang w:val="en-US" w:eastAsia="zh-CN"/>
        </w:rPr>
        <w:t>深入推进向北开放</w:t>
      </w:r>
      <w:bookmarkEnd w:id="718"/>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highlight w:val="none"/>
          <w:lang w:val="en-US" w:eastAsia="zh-CN"/>
        </w:rPr>
        <w:t>深度参与中蒙俄经济走廊建设，积极</w:t>
      </w:r>
      <w:r>
        <w:rPr>
          <w:rFonts w:hint="eastAsia" w:ascii="Times New Roman" w:hAnsi="Times New Roman" w:eastAsia="仿宋_GB2312" w:cs="方正仿宋_GBK"/>
          <w:b w:val="0"/>
          <w:bCs w:val="0"/>
          <w:color w:val="auto"/>
          <w:highlight w:val="none"/>
        </w:rPr>
        <w:t>参加</w:t>
      </w:r>
      <w:r>
        <w:rPr>
          <w:rFonts w:hint="eastAsia" w:ascii="Times New Roman" w:hAnsi="Times New Roman" w:eastAsia="仿宋_GB2312" w:cs="方正仿宋_GBK"/>
          <w:b w:val="0"/>
          <w:bCs w:val="0"/>
          <w:color w:val="auto"/>
          <w:highlight w:val="none"/>
          <w:lang w:eastAsia="zh-CN"/>
        </w:rPr>
        <w:t>广交会、消博会、中蒙博览会</w:t>
      </w:r>
      <w:r>
        <w:rPr>
          <w:rFonts w:hint="eastAsia" w:ascii="Times New Roman" w:hAnsi="Times New Roman" w:eastAsia="仿宋_GB2312" w:cs="方正仿宋_GBK"/>
          <w:b w:val="0"/>
          <w:bCs w:val="0"/>
          <w:color w:val="auto"/>
          <w:highlight w:val="none"/>
        </w:rPr>
        <w:t>等高层次会展活动，</w:t>
      </w:r>
      <w:r>
        <w:rPr>
          <w:rFonts w:hint="eastAsia" w:ascii="Times New Roman" w:hAnsi="Times New Roman" w:eastAsia="仿宋_GB2312" w:cs="方正仿宋_GBK"/>
          <w:b w:val="0"/>
          <w:bCs w:val="0"/>
          <w:color w:val="auto"/>
          <w:highlight w:val="none"/>
          <w:lang w:val="en-US" w:eastAsia="zh-CN"/>
        </w:rPr>
        <w:t>培育本地优势特色产品出口，支持猫砂、中药材、农产品等开拓国际市场，</w:t>
      </w:r>
      <w:r>
        <w:rPr>
          <w:rFonts w:hint="eastAsia" w:ascii="Times New Roman" w:hAnsi="Times New Roman" w:eastAsia="仿宋_GB2312" w:cs="方正仿宋_GBK"/>
          <w:b w:val="0"/>
          <w:bCs w:val="0"/>
          <w:color w:val="auto"/>
          <w:highlight w:val="none"/>
          <w:lang w:eastAsia="zh-CN"/>
        </w:rPr>
        <w:t>持续扩大外贸规模。</w:t>
      </w:r>
      <w:r>
        <w:rPr>
          <w:rFonts w:hint="eastAsia" w:ascii="Times New Roman" w:hAnsi="Times New Roman" w:eastAsia="仿宋_GB2312" w:cs="方正仿宋_GBK"/>
          <w:b w:val="0"/>
          <w:bCs w:val="0"/>
          <w:color w:val="auto"/>
          <w:highlight w:val="none"/>
        </w:rPr>
        <w:t>加强区内口岸协作</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深化与二连浩特、</w:t>
      </w:r>
      <w:r>
        <w:rPr>
          <w:rFonts w:hint="eastAsia" w:eastAsia="仿宋_GB2312" w:cs="方正仿宋_GBK"/>
          <w:b w:val="0"/>
          <w:bCs w:val="0"/>
          <w:color w:val="auto"/>
          <w:highlight w:val="none"/>
          <w:lang w:val="en-US" w:eastAsia="zh-CN"/>
        </w:rPr>
        <w:t>甘其毛都、珠恩嘎达布其、满洲里</w:t>
      </w:r>
      <w:r>
        <w:rPr>
          <w:rFonts w:hint="eastAsia" w:ascii="Times New Roman" w:hAnsi="Times New Roman" w:eastAsia="仿宋_GB2312" w:cs="方正仿宋_GBK"/>
          <w:b w:val="0"/>
          <w:bCs w:val="0"/>
          <w:color w:val="auto"/>
          <w:highlight w:val="none"/>
        </w:rPr>
        <w:t>等区内重点口岸的合作，建立“赤峰货源+口岸通道”的合作模式</w:t>
      </w:r>
      <w:r>
        <w:rPr>
          <w:rFonts w:hint="eastAsia" w:ascii="Times New Roman" w:hAnsi="Times New Roman" w:eastAsia="仿宋_GB2312" w:cs="方正仿宋_GBK"/>
          <w:b w:val="0"/>
          <w:bCs w:val="0"/>
          <w:color w:val="auto"/>
          <w:highlight w:val="none"/>
          <w:lang w:eastAsia="zh-CN"/>
        </w:rPr>
        <w:t>，扩大铜精矿、铁矿石等资源落地加工规模</w:t>
      </w:r>
      <w:r>
        <w:rPr>
          <w:rFonts w:hint="eastAsia" w:ascii="Times New Roman" w:hAnsi="Times New Roman" w:eastAsia="仿宋_GB2312" w:cs="方正仿宋_GBK"/>
          <w:b w:val="0"/>
          <w:bCs w:val="0"/>
          <w:color w:val="auto"/>
          <w:highlight w:val="none"/>
        </w:rPr>
        <w:t>。推动实现通关一体化、便利化，为赤峰企业利用口岸进出口提供更加便捷高效的服务。</w:t>
      </w:r>
      <w:r>
        <w:rPr>
          <w:rFonts w:hint="eastAsia" w:ascii="Times New Roman" w:hAnsi="Times New Roman" w:eastAsia="仿宋_GB2312" w:cs="方正仿宋_GBK"/>
          <w:b w:val="0"/>
          <w:bCs w:val="0"/>
          <w:color w:val="auto"/>
          <w:highlight w:val="none"/>
          <w:lang w:val="en-US" w:eastAsia="zh-CN"/>
        </w:rPr>
        <w:t>推动跨境电商</w:t>
      </w:r>
      <w:r>
        <w:rPr>
          <w:rFonts w:hint="eastAsia" w:eastAsia="仿宋_GB2312" w:cs="方正仿宋_GBK"/>
          <w:b w:val="0"/>
          <w:bCs w:val="0"/>
          <w:color w:val="auto"/>
          <w:highlight w:val="none"/>
          <w:lang w:val="en-US" w:eastAsia="zh-CN"/>
        </w:rPr>
        <w:t>综合实验区</w:t>
      </w:r>
      <w:r>
        <w:rPr>
          <w:rFonts w:hint="eastAsia" w:ascii="Times New Roman" w:hAnsi="Times New Roman" w:eastAsia="仿宋_GB2312" w:cs="方正仿宋_GBK"/>
          <w:b w:val="0"/>
          <w:bCs w:val="0"/>
          <w:color w:val="auto"/>
          <w:highlight w:val="none"/>
          <w:lang w:val="en-US" w:eastAsia="zh-CN"/>
        </w:rPr>
        <w:t>提档升级，打造</w:t>
      </w:r>
      <w:r>
        <w:rPr>
          <w:rFonts w:hint="eastAsia" w:eastAsia="仿宋_GB2312" w:cs="方正仿宋_GBK"/>
          <w:b w:val="0"/>
          <w:bCs w:val="0"/>
          <w:color w:val="auto"/>
          <w:highlight w:val="none"/>
          <w:lang w:val="en-US" w:eastAsia="zh-CN"/>
        </w:rPr>
        <w:t>赤峰</w:t>
      </w:r>
      <w:r>
        <w:rPr>
          <w:rFonts w:hint="eastAsia" w:ascii="Times New Roman" w:hAnsi="Times New Roman" w:eastAsia="仿宋_GB2312" w:cs="方正仿宋_GBK"/>
          <w:b w:val="0"/>
          <w:bCs w:val="0"/>
          <w:color w:val="auto"/>
          <w:highlight w:val="none"/>
          <w:lang w:val="en-US" w:eastAsia="zh-CN"/>
        </w:rPr>
        <w:t>跨境电商集散地。</w:t>
      </w:r>
    </w:p>
    <w:p w14:paraId="3809E3F4">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rPr>
      </w:pPr>
      <w:bookmarkStart w:id="719" w:name="_Toc19354"/>
      <w:r>
        <w:rPr>
          <w:rFonts w:hint="eastAsia" w:ascii="Times New Roman" w:hAnsi="Times New Roman" w:eastAsia="仿宋_GB2312" w:cs="方正仿宋_GBK"/>
          <w:b w:val="0"/>
          <w:bCs w:val="0"/>
          <w:color w:val="auto"/>
          <w:highlight w:val="none"/>
        </w:rPr>
        <w:t>大力</w:t>
      </w:r>
      <w:r>
        <w:rPr>
          <w:rFonts w:hint="eastAsia" w:ascii="Times New Roman" w:hAnsi="Times New Roman" w:eastAsia="仿宋_GB2312" w:cs="方正仿宋_GBK"/>
          <w:b w:val="0"/>
          <w:bCs w:val="0"/>
          <w:color w:val="auto"/>
          <w:sz w:val="32"/>
          <w:szCs w:val="32"/>
          <w:highlight w:val="none"/>
          <w:lang w:val="en-US" w:eastAsia="zh-CN"/>
        </w:rPr>
        <w:t>推进</w:t>
      </w:r>
      <w:r>
        <w:rPr>
          <w:rFonts w:hint="eastAsia" w:ascii="Times New Roman" w:hAnsi="Times New Roman" w:eastAsia="仿宋_GB2312" w:cs="方正仿宋_GBK"/>
          <w:b w:val="0"/>
          <w:bCs w:val="0"/>
          <w:color w:val="auto"/>
          <w:highlight w:val="none"/>
        </w:rPr>
        <w:t>向海图强</w:t>
      </w:r>
      <w:bookmarkEnd w:id="719"/>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加强</w:t>
      </w:r>
      <w:r>
        <w:rPr>
          <w:rFonts w:hint="eastAsia" w:ascii="Times New Roman" w:hAnsi="Times New Roman" w:eastAsia="仿宋_GB2312" w:cs="方正仿宋_GBK"/>
          <w:b w:val="0"/>
          <w:bCs w:val="0"/>
          <w:color w:val="auto"/>
          <w:highlight w:val="none"/>
        </w:rPr>
        <w:t>与锦州、天津和</w:t>
      </w:r>
      <w:r>
        <w:rPr>
          <w:rFonts w:hint="eastAsia" w:eastAsia="仿宋_GB2312" w:cs="方正仿宋_GBK"/>
          <w:b w:val="0"/>
          <w:bCs w:val="0"/>
          <w:color w:val="auto"/>
          <w:highlight w:val="none"/>
          <w:lang w:val="en-US" w:eastAsia="zh-CN"/>
        </w:rPr>
        <w:t>大连</w:t>
      </w:r>
      <w:r>
        <w:rPr>
          <w:rFonts w:hint="eastAsia" w:ascii="Times New Roman" w:hAnsi="Times New Roman" w:eastAsia="仿宋_GB2312" w:cs="方正仿宋_GBK"/>
          <w:b w:val="0"/>
          <w:bCs w:val="0"/>
          <w:color w:val="auto"/>
          <w:highlight w:val="none"/>
        </w:rPr>
        <w:t>等港口城市务实合作，有效对接环渤海经济圈，打通自治区外向型经济发展陆海联动大通道。</w:t>
      </w:r>
      <w:r>
        <w:rPr>
          <w:rFonts w:hint="eastAsia" w:ascii="Times New Roman" w:hAnsi="Times New Roman" w:eastAsia="仿宋_GB2312" w:cs="方正仿宋_GBK"/>
          <w:b w:val="0"/>
          <w:bCs w:val="0"/>
          <w:color w:val="auto"/>
          <w:highlight w:val="none"/>
          <w:lang w:val="en-US" w:eastAsia="zh-CN"/>
        </w:rPr>
        <w:t>畅通</w:t>
      </w:r>
      <w:r>
        <w:rPr>
          <w:rFonts w:hint="eastAsia" w:ascii="Times New Roman" w:hAnsi="Times New Roman" w:eastAsia="仿宋_GB2312" w:cs="方正仿宋_GBK"/>
          <w:b w:val="0"/>
          <w:bCs w:val="0"/>
          <w:color w:val="auto"/>
          <w:highlight w:val="none"/>
        </w:rPr>
        <w:t>与口岸地区联动，</w:t>
      </w:r>
      <w:r>
        <w:rPr>
          <w:rFonts w:hint="eastAsia" w:eastAsia="仿宋_GB2312" w:cs="方正仿宋_GBK"/>
          <w:b w:val="0"/>
          <w:bCs w:val="0"/>
          <w:color w:val="auto"/>
          <w:highlight w:val="none"/>
          <w:lang w:val="en-US" w:eastAsia="zh-CN"/>
        </w:rPr>
        <w:t>进一步提升</w:t>
      </w:r>
      <w:r>
        <w:rPr>
          <w:rFonts w:hint="eastAsia" w:ascii="Times New Roman" w:hAnsi="Times New Roman" w:eastAsia="仿宋_GB2312" w:cs="方正仿宋_GBK"/>
          <w:b w:val="0"/>
          <w:bCs w:val="0"/>
          <w:color w:val="auto"/>
          <w:highlight w:val="none"/>
        </w:rPr>
        <w:t>锦州港</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赤峰</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珠恩嘎达布其口岸</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蒙古国铁路出海大通道</w:t>
      </w:r>
      <w:r>
        <w:rPr>
          <w:rFonts w:hint="eastAsia" w:eastAsia="仿宋_GB2312" w:cs="方正仿宋_GBK"/>
          <w:b w:val="0"/>
          <w:bCs w:val="0"/>
          <w:color w:val="auto"/>
          <w:highlight w:val="none"/>
          <w:lang w:val="en-US" w:eastAsia="zh-CN"/>
        </w:rPr>
        <w:t>运输效能</w:t>
      </w:r>
      <w:r>
        <w:rPr>
          <w:rFonts w:hint="eastAsia" w:ascii="Times New Roman" w:hAnsi="Times New Roman" w:eastAsia="仿宋_GB2312" w:cs="方正仿宋_GBK"/>
          <w:b w:val="0"/>
          <w:bCs w:val="0"/>
          <w:color w:val="auto"/>
          <w:highlight w:val="none"/>
        </w:rPr>
        <w:t>，加快推动G4515大广高速公路赤峰至绥中联络线赤峰至凌源（蒙辽界）项目建设，进一步畅通对外通道。加快推进锡赤朝锦等对外连通大通道建设。</w:t>
      </w:r>
    </w:p>
    <w:p w14:paraId="35C02F7D">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rPr>
      </w:pPr>
      <w:bookmarkStart w:id="720" w:name="_Toc12840"/>
      <w:r>
        <w:rPr>
          <w:rFonts w:hint="eastAsia" w:ascii="Times New Roman" w:hAnsi="Times New Roman" w:eastAsia="仿宋_GB2312" w:cs="方正仿宋_GBK"/>
          <w:b w:val="0"/>
          <w:bCs w:val="0"/>
          <w:color w:val="auto"/>
          <w:sz w:val="32"/>
          <w:szCs w:val="32"/>
          <w:highlight w:val="none"/>
          <w:lang w:val="en-US" w:eastAsia="zh-CN"/>
        </w:rPr>
        <w:t>持续扩大对外开放力度</w:t>
      </w:r>
      <w:bookmarkEnd w:id="720"/>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highlight w:val="none"/>
        </w:rPr>
        <w:t>推动对外贸易创新发展</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优化出口商品结构，在稳定羊绒、</w:t>
      </w:r>
      <w:r>
        <w:rPr>
          <w:rFonts w:hint="eastAsia" w:ascii="Times New Roman" w:hAnsi="Times New Roman" w:eastAsia="仿宋_GB2312" w:cs="方正仿宋_GBK"/>
          <w:b w:val="0"/>
          <w:bCs w:val="0"/>
          <w:color w:val="auto"/>
          <w:highlight w:val="none"/>
          <w:lang w:val="en-US" w:eastAsia="zh-CN"/>
        </w:rPr>
        <w:t>杂粮杂豆</w:t>
      </w:r>
      <w:r>
        <w:rPr>
          <w:rFonts w:hint="eastAsia" w:ascii="Times New Roman" w:hAnsi="Times New Roman" w:eastAsia="仿宋_GB2312" w:cs="方正仿宋_GBK"/>
          <w:b w:val="0"/>
          <w:bCs w:val="0"/>
          <w:color w:val="auto"/>
          <w:highlight w:val="none"/>
        </w:rPr>
        <w:t>、</w:t>
      </w:r>
      <w:r>
        <w:rPr>
          <w:rFonts w:hint="eastAsia" w:ascii="Times New Roman" w:hAnsi="Times New Roman" w:eastAsia="仿宋_GB2312" w:cs="方正仿宋_GBK"/>
          <w:b w:val="0"/>
          <w:bCs w:val="0"/>
          <w:color w:val="auto"/>
          <w:highlight w:val="none"/>
          <w:lang w:val="en-US" w:eastAsia="zh-CN"/>
        </w:rPr>
        <w:t>冶金化工</w:t>
      </w:r>
      <w:r>
        <w:rPr>
          <w:rFonts w:hint="eastAsia" w:ascii="Times New Roman" w:hAnsi="Times New Roman" w:eastAsia="仿宋_GB2312" w:cs="方正仿宋_GBK"/>
          <w:b w:val="0"/>
          <w:bCs w:val="0"/>
          <w:color w:val="auto"/>
          <w:highlight w:val="none"/>
        </w:rPr>
        <w:t>等传统产品出口的同时，大力推动新材料、高端农畜产品、生物医药制品、装备</w:t>
      </w:r>
      <w:r>
        <w:rPr>
          <w:rFonts w:hint="eastAsia" w:ascii="Times New Roman" w:hAnsi="Times New Roman" w:eastAsia="仿宋_GB2312" w:cs="方正仿宋_GBK"/>
          <w:b w:val="0"/>
          <w:bCs w:val="0"/>
          <w:color w:val="auto"/>
          <w:highlight w:val="none"/>
          <w:lang w:val="en-US" w:eastAsia="zh-CN"/>
        </w:rPr>
        <w:t>制造</w:t>
      </w:r>
      <w:r>
        <w:rPr>
          <w:rFonts w:hint="eastAsia" w:ascii="Times New Roman" w:hAnsi="Times New Roman" w:eastAsia="仿宋_GB2312" w:cs="方正仿宋_GBK"/>
          <w:b w:val="0"/>
          <w:bCs w:val="0"/>
          <w:color w:val="auto"/>
          <w:highlight w:val="none"/>
        </w:rPr>
        <w:t>等高附加值产品出口。积极扩大先进技术、关键设备、重要能源资源性产品进口。</w:t>
      </w:r>
      <w:r>
        <w:rPr>
          <w:rFonts w:hint="eastAsia" w:eastAsia="仿宋_GB2312" w:cs="方正仿宋_GBK"/>
          <w:b w:val="0"/>
          <w:bCs w:val="0"/>
          <w:color w:val="auto"/>
          <w:highlight w:val="none"/>
          <w:lang w:val="en-US" w:eastAsia="zh-CN"/>
        </w:rPr>
        <w:t>推行</w:t>
      </w:r>
      <w:r>
        <w:rPr>
          <w:rFonts w:hint="eastAsia" w:ascii="Times New Roman" w:hAnsi="Times New Roman" w:eastAsia="仿宋_GB2312" w:cs="方正仿宋_GBK"/>
          <w:b w:val="0"/>
          <w:bCs w:val="0"/>
          <w:color w:val="auto"/>
          <w:highlight w:val="none"/>
          <w:lang w:val="en-US" w:eastAsia="zh-CN"/>
        </w:rPr>
        <w:t>“跨境电商+产业带”模式，</w:t>
      </w:r>
      <w:r>
        <w:rPr>
          <w:rFonts w:hint="eastAsia" w:eastAsia="仿宋_GB2312" w:cs="方正仿宋_GBK"/>
          <w:b w:val="0"/>
          <w:bCs w:val="0"/>
          <w:color w:val="auto"/>
          <w:highlight w:val="none"/>
          <w:lang w:val="en-US" w:eastAsia="zh-CN"/>
        </w:rPr>
        <w:t>推动</w:t>
      </w:r>
      <w:r>
        <w:rPr>
          <w:rFonts w:hint="eastAsia" w:ascii="Times New Roman" w:hAnsi="Times New Roman" w:eastAsia="仿宋_GB2312" w:cs="方正仿宋_GBK"/>
          <w:b w:val="0"/>
          <w:bCs w:val="0"/>
          <w:color w:val="auto"/>
          <w:highlight w:val="none"/>
          <w:lang w:val="en-US" w:eastAsia="zh-CN"/>
        </w:rPr>
        <w:t>羊绒、猫砂等特色商品</w:t>
      </w:r>
      <w:r>
        <w:rPr>
          <w:rFonts w:hint="eastAsia" w:eastAsia="仿宋_GB2312" w:cs="方正仿宋_GBK"/>
          <w:b w:val="0"/>
          <w:bCs w:val="0"/>
          <w:color w:val="auto"/>
          <w:highlight w:val="none"/>
          <w:lang w:val="en-US" w:eastAsia="zh-CN"/>
        </w:rPr>
        <w:t>产品出口</w:t>
      </w:r>
      <w:r>
        <w:rPr>
          <w:rFonts w:hint="eastAsia" w:ascii="Times New Roman" w:hAnsi="Times New Roman" w:eastAsia="仿宋_GB2312" w:cs="方正仿宋_GBK"/>
          <w:b w:val="0"/>
          <w:bCs w:val="0"/>
          <w:color w:val="auto"/>
          <w:highlight w:val="none"/>
          <w:lang w:val="en-US" w:eastAsia="zh-CN"/>
        </w:rPr>
        <w:t>，不断推动传统外贸企业转型</w:t>
      </w:r>
      <w:r>
        <w:rPr>
          <w:rFonts w:hint="eastAsia" w:ascii="Times New Roman" w:hAnsi="Times New Roman" w:eastAsia="仿宋_GB2312" w:cs="方正仿宋_GBK"/>
          <w:b w:val="0"/>
          <w:bCs w:val="0"/>
          <w:color w:val="auto"/>
          <w:highlight w:val="none"/>
        </w:rPr>
        <w:t>。大力发展服务贸易</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培育一批外贸综合服务企业，为中小微企业提供通关、物流、退税、融资、信保等一站式服务。提高利用外资质量水平。围绕重点产业链，瞄准世界500强、行业领军企业，开展精准招商，引导外资投向新能源、新材料、高端制造、现代服务业等领域。鼓励现有外资企业增资扩股，充分利用各类平台开展外资招引工作，针对重点外资项目实施全流程跟踪督办机制，推进内外资一体化招引。</w:t>
      </w:r>
    </w:p>
    <w:p w14:paraId="6AF0E5B3">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eastAsia="仿宋_GB2312" w:cs="方正仿宋_GBK"/>
          <w:b w:val="0"/>
          <w:bCs w:val="0"/>
          <w:color w:val="auto"/>
          <w:highlight w:val="none"/>
          <w:lang w:val="en-US" w:eastAsia="zh-CN"/>
        </w:rPr>
      </w:pPr>
      <w:bookmarkStart w:id="721" w:name="_Toc32577"/>
      <w:r>
        <w:rPr>
          <w:rFonts w:hint="eastAsia" w:ascii="Times New Roman" w:hAnsi="Times New Roman" w:eastAsia="仿宋_GB2312" w:cs="方正仿宋_GBK"/>
          <w:b w:val="0"/>
          <w:bCs w:val="0"/>
          <w:color w:val="auto"/>
          <w:sz w:val="32"/>
          <w:szCs w:val="32"/>
          <w:highlight w:val="none"/>
          <w:lang w:val="en-US" w:eastAsia="zh-CN"/>
        </w:rPr>
        <w:t>搭建高能级开放平台</w:t>
      </w:r>
      <w:bookmarkEnd w:id="721"/>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highlight w:val="none"/>
        </w:rPr>
        <w:t>着力提升现有平台功能，构建多层次、宽领域的开放平台体系。</w:t>
      </w:r>
      <w:r>
        <w:rPr>
          <w:rFonts w:hint="eastAsia" w:ascii="Times New Roman" w:hAnsi="Times New Roman" w:eastAsia="仿宋_GB2312" w:cs="方正仿宋_GBK"/>
          <w:b w:val="0"/>
          <w:bCs w:val="0"/>
          <w:color w:val="auto"/>
          <w:highlight w:val="none"/>
          <w:lang w:val="en-US" w:eastAsia="zh-CN"/>
        </w:rPr>
        <w:t>推动跨境电子商务综合试验区提档升级，优化跨境电商产业园功能建设，持续完善智能化卡口辅助系统、数据专线及监管设施等软硬件基础，培育物流、货代、外贸综合服务等服务型企业。培育和发展跨境电商产业集群，依托赤峰跨境电商综试区，创新“9610直邮+TIR跨境直达”双通道模式，加强与赤峰海关及满洲里口岸的协作，提升通关效率。</w:t>
      </w:r>
      <w:r>
        <w:rPr>
          <w:rFonts w:hint="eastAsia" w:ascii="Times New Roman" w:hAnsi="Times New Roman" w:eastAsia="仿宋_GB2312" w:cs="方正仿宋_GBK"/>
          <w:b w:val="0"/>
          <w:bCs w:val="0"/>
          <w:color w:val="auto"/>
          <w:highlight w:val="none"/>
        </w:rPr>
        <w:t>提升赤峰国际陆港能级</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发展国际集装箱运输、国际冷链物流。提升赤峰保税物流中心（B型）运营水平，拓展保税仓储、国际分拨配送、流通性简单加工和增值服务、转口贸易等功能。</w:t>
      </w:r>
      <w:r>
        <w:rPr>
          <w:rFonts w:hint="eastAsia" w:ascii="Times New Roman" w:hAnsi="Times New Roman" w:eastAsia="仿宋_GB2312" w:cs="方正仿宋_GBK"/>
          <w:b w:val="0"/>
          <w:bCs w:val="0"/>
          <w:color w:val="auto"/>
          <w:highlight w:val="none"/>
          <w:lang w:val="en-US" w:eastAsia="zh-CN"/>
        </w:rPr>
        <w:t>推进申建赤峰综合保税区</w:t>
      </w:r>
      <w:r>
        <w:rPr>
          <w:rFonts w:hint="eastAsia" w:eastAsia="仿宋_GB2312" w:cs="方正仿宋_GBK"/>
          <w:b w:val="0"/>
          <w:bCs w:val="0"/>
          <w:color w:val="auto"/>
          <w:highlight w:val="none"/>
          <w:lang w:val="en-US" w:eastAsia="zh-CN"/>
        </w:rPr>
        <w:t>。</w:t>
      </w:r>
    </w:p>
    <w:p w14:paraId="1BD7CF2D">
      <w:pPr>
        <w:keepNext w:val="0"/>
        <w:keepLines w:val="0"/>
        <w:pageBreakBefore w:val="0"/>
        <w:widowControl/>
        <w:numPr>
          <w:ilvl w:val="0"/>
          <w:numId w:val="8"/>
        </w:numPr>
        <w:shd w:val="clear" w:color="auto" w:fill="auto"/>
        <w:kinsoku/>
        <w:wordWrap/>
        <w:topLinePunct w:val="0"/>
        <w:autoSpaceDE/>
        <w:autoSpaceDN/>
        <w:bidi w:val="0"/>
        <w:adjustRightIn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u w:val="none"/>
          <w:lang w:val="en-US" w:eastAsia="zh-CN"/>
        </w:rPr>
      </w:pPr>
      <w:bookmarkStart w:id="722" w:name="_Toc8179"/>
      <w:bookmarkStart w:id="723" w:name="_Toc5734"/>
      <w:bookmarkStart w:id="724" w:name="_Toc21373"/>
      <w:bookmarkStart w:id="725" w:name="_Toc31517"/>
      <w:bookmarkStart w:id="726" w:name="_Toc2571"/>
      <w:bookmarkStart w:id="727" w:name="_Toc5989"/>
      <w:r>
        <w:rPr>
          <w:rFonts w:hint="eastAsia" w:ascii="楷体_GB2312" w:hAnsi="楷体_GB2312" w:eastAsia="楷体_GB2312" w:cs="楷体_GB2312"/>
          <w:b w:val="0"/>
          <w:bCs w:val="0"/>
          <w:color w:val="auto"/>
          <w:sz w:val="32"/>
          <w:szCs w:val="40"/>
          <w:highlight w:val="none"/>
          <w:u w:val="none"/>
          <w:lang w:val="en-US" w:eastAsia="zh-CN"/>
        </w:rPr>
        <w:t>持续深化区域合作与协调发展</w:t>
      </w:r>
      <w:bookmarkEnd w:id="722"/>
      <w:bookmarkEnd w:id="723"/>
      <w:bookmarkEnd w:id="724"/>
      <w:bookmarkEnd w:id="725"/>
      <w:bookmarkEnd w:id="726"/>
      <w:bookmarkEnd w:id="727"/>
    </w:p>
    <w:p w14:paraId="347552B8">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color w:val="auto"/>
          <w:highlight w:val="none"/>
        </w:rPr>
        <w:t>以更加开放的姿态，主动融入和服务国家区域重大战略，在更大范围、更宽领域、更深层次上</w:t>
      </w:r>
      <w:r>
        <w:rPr>
          <w:rFonts w:hint="eastAsia" w:eastAsia="仿宋_GB2312" w:cs="方正仿宋_GBK"/>
          <w:b w:val="0"/>
          <w:bCs w:val="0"/>
          <w:color w:val="auto"/>
          <w:highlight w:val="none"/>
          <w:lang w:val="en-US" w:eastAsia="zh-CN"/>
        </w:rPr>
        <w:t>深化</w:t>
      </w:r>
      <w:r>
        <w:rPr>
          <w:rFonts w:hint="eastAsia" w:ascii="Times New Roman" w:hAnsi="Times New Roman" w:eastAsia="仿宋_GB2312" w:cs="方正仿宋_GBK"/>
          <w:b w:val="0"/>
          <w:bCs w:val="0"/>
          <w:color w:val="auto"/>
          <w:highlight w:val="none"/>
        </w:rPr>
        <w:t>区域合作，实现互利共赢。</w:t>
      </w:r>
    </w:p>
    <w:p w14:paraId="4F31AD3D">
      <w:pPr>
        <w:pStyle w:val="43"/>
        <w:keepNext w:val="0"/>
        <w:keepLines w:val="0"/>
        <w:pageBreakBefore w:val="0"/>
        <w:shd w:val="clear" w:color="auto" w:fill="auto"/>
        <w:kinsoku/>
        <w:wordWrap/>
        <w:topLinePunct w:val="0"/>
        <w:autoSpaceDE/>
        <w:autoSpaceDN/>
        <w:bidi w:val="0"/>
        <w:adjustRightInd/>
        <w:spacing w:line="540" w:lineRule="exact"/>
        <w:textAlignment w:val="auto"/>
        <w:outlineLvl w:val="3"/>
        <w:rPr>
          <w:rFonts w:hint="eastAsia" w:ascii="Times New Roman" w:hAnsi="Times New Roman" w:eastAsia="仿宋_GB2312" w:cs="方正仿宋_GBK"/>
          <w:b w:val="0"/>
          <w:bCs w:val="0"/>
          <w:color w:val="auto"/>
          <w:highlight w:val="none"/>
          <w:lang w:val="en-US" w:eastAsia="zh-CN"/>
        </w:rPr>
      </w:pPr>
      <w:r>
        <w:rPr>
          <w:rFonts w:hint="eastAsia" w:ascii="Times New Roman" w:hAnsi="Times New Roman" w:eastAsia="仿宋_GB2312" w:cs="方正仿宋_GBK"/>
          <w:b w:val="0"/>
          <w:bCs w:val="0"/>
          <w:color w:val="auto"/>
          <w:highlight w:val="none"/>
          <w:lang w:val="en-US" w:eastAsia="zh-CN"/>
        </w:rPr>
        <w:t>深</w:t>
      </w:r>
      <w:r>
        <w:rPr>
          <w:rFonts w:hint="eastAsia" w:eastAsia="仿宋_GB2312" w:cs="方正仿宋_GBK"/>
          <w:b w:val="0"/>
          <w:bCs w:val="0"/>
          <w:color w:val="auto"/>
          <w:highlight w:val="none"/>
          <w:lang w:val="en-US" w:eastAsia="zh-CN"/>
        </w:rPr>
        <w:t>入对接</w:t>
      </w:r>
      <w:r>
        <w:rPr>
          <w:rFonts w:hint="eastAsia" w:ascii="Times New Roman" w:hAnsi="Times New Roman" w:eastAsia="仿宋_GB2312" w:cs="方正仿宋_GBK"/>
          <w:b w:val="0"/>
          <w:bCs w:val="0"/>
          <w:color w:val="auto"/>
          <w:highlight w:val="none"/>
          <w:lang w:val="en-US" w:eastAsia="zh-CN"/>
        </w:rPr>
        <w:t>国家重大区域战略</w:t>
      </w:r>
      <w:r>
        <w:rPr>
          <w:rFonts w:hint="eastAsia" w:eastAsia="仿宋_GB2312" w:cs="方正仿宋_GBK"/>
          <w:b w:val="0"/>
          <w:bCs w:val="0"/>
          <w:color w:val="auto"/>
          <w:highlight w:val="none"/>
          <w:lang w:val="en-US" w:eastAsia="zh-CN"/>
        </w:rPr>
        <w:t>。深度</w:t>
      </w:r>
      <w:r>
        <w:rPr>
          <w:rFonts w:hint="eastAsia" w:ascii="Times New Roman" w:hAnsi="Times New Roman" w:eastAsia="仿宋_GB2312" w:cs="方正仿宋_GBK"/>
          <w:b w:val="0"/>
          <w:bCs w:val="0"/>
          <w:color w:val="auto"/>
          <w:highlight w:val="none"/>
        </w:rPr>
        <w:t>融入京津冀协同发展</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聚焦有色冶金、新能源、装备制造、生物医药、智能算力、农畜产品加工、文化旅游等产业，深挖产业配套能力，努力引进更多京津冀企业、</w:t>
      </w:r>
      <w:r>
        <w:rPr>
          <w:rFonts w:hint="eastAsia" w:ascii="Times New Roman" w:hAnsi="Times New Roman" w:eastAsia="仿宋_GB2312" w:cs="方正仿宋_GBK"/>
          <w:b w:val="0"/>
          <w:bCs w:val="0"/>
          <w:color w:val="auto"/>
          <w:highlight w:val="none"/>
          <w:lang w:val="en-US" w:eastAsia="zh-CN"/>
        </w:rPr>
        <w:t>吸引更多京津冀</w:t>
      </w:r>
      <w:r>
        <w:rPr>
          <w:rFonts w:hint="eastAsia" w:ascii="Times New Roman" w:hAnsi="Times New Roman" w:eastAsia="仿宋_GB2312" w:cs="方正仿宋_GBK"/>
          <w:b w:val="0"/>
          <w:bCs w:val="0"/>
          <w:color w:val="auto"/>
          <w:highlight w:val="none"/>
        </w:rPr>
        <w:t>消费</w:t>
      </w:r>
      <w:r>
        <w:rPr>
          <w:rFonts w:hint="eastAsia" w:ascii="Times New Roman" w:hAnsi="Times New Roman" w:eastAsia="仿宋_GB2312" w:cs="方正仿宋_GBK"/>
          <w:b w:val="0"/>
          <w:bCs w:val="0"/>
          <w:color w:val="auto"/>
          <w:highlight w:val="none"/>
          <w:lang w:val="en-US" w:eastAsia="zh-CN"/>
        </w:rPr>
        <w:t>外溢</w:t>
      </w:r>
      <w:r>
        <w:rPr>
          <w:rFonts w:hint="eastAsia" w:ascii="Times New Roman" w:hAnsi="Times New Roman" w:eastAsia="仿宋_GB2312" w:cs="方正仿宋_GBK"/>
          <w:b w:val="0"/>
          <w:bCs w:val="0"/>
          <w:color w:val="auto"/>
          <w:highlight w:val="none"/>
        </w:rPr>
        <w:t>。拓展京蒙全方位合作，加快京蒙科创产业园实体化投用</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完善京蒙对口帮扶与区域合作机制，推动新一轮京蒙协作全方位务实开展。突出抓好服务京津冀地区清洁能源保障基地建设，全力打通“绿电进京”通道。推动各类高品质农畜产品进入京津冀市场。做大做强特色文旅休闲产业，加快建设面向京津冀地区的特色文化旅游目的地和休闲康养首选地。</w:t>
      </w:r>
      <w:r>
        <w:rPr>
          <w:rFonts w:hint="eastAsia" w:ascii="Times New Roman" w:hAnsi="Times New Roman" w:eastAsia="仿宋_GB2312" w:cs="方正仿宋_GBK"/>
          <w:b w:val="0"/>
          <w:bCs w:val="0"/>
          <w:color w:val="auto"/>
          <w:highlight w:val="none"/>
          <w:lang w:val="en-US" w:eastAsia="zh-CN"/>
        </w:rPr>
        <w:t>积极融入东北全面振兴，以产业发展为纽带，</w:t>
      </w:r>
      <w:r>
        <w:rPr>
          <w:rFonts w:hint="eastAsia" w:eastAsia="仿宋_GB2312" w:cs="方正仿宋_GBK"/>
          <w:b w:val="0"/>
          <w:bCs w:val="0"/>
          <w:color w:val="auto"/>
          <w:highlight w:val="none"/>
          <w:lang w:val="en-US" w:eastAsia="zh-CN"/>
        </w:rPr>
        <w:t>依托锂矿、清洁能源等资源优势和</w:t>
      </w:r>
      <w:r>
        <w:rPr>
          <w:rFonts w:hint="eastAsia" w:ascii="Times New Roman" w:hAnsi="Times New Roman" w:eastAsia="仿宋_GB2312" w:cs="方正仿宋_GBK"/>
          <w:b w:val="0"/>
          <w:bCs w:val="0"/>
          <w:color w:val="auto"/>
          <w:highlight w:val="none"/>
          <w:lang w:val="en-US" w:eastAsia="zh-CN"/>
        </w:rPr>
        <w:t>冶金、铝基等</w:t>
      </w:r>
      <w:r>
        <w:rPr>
          <w:rFonts w:hint="eastAsia" w:eastAsia="仿宋_GB2312" w:cs="方正仿宋_GBK"/>
          <w:b w:val="0"/>
          <w:bCs w:val="0"/>
          <w:color w:val="auto"/>
          <w:highlight w:val="none"/>
          <w:lang w:val="en-US" w:eastAsia="zh-CN"/>
        </w:rPr>
        <w:t>产业</w:t>
      </w:r>
      <w:r>
        <w:rPr>
          <w:rFonts w:hint="eastAsia" w:ascii="Times New Roman" w:hAnsi="Times New Roman" w:eastAsia="仿宋_GB2312" w:cs="方正仿宋_GBK"/>
          <w:b w:val="0"/>
          <w:bCs w:val="0"/>
          <w:color w:val="auto"/>
          <w:highlight w:val="none"/>
          <w:lang w:val="en-US" w:eastAsia="zh-CN"/>
        </w:rPr>
        <w:t>优势，推动与吉林省、辽宁省在汽车产业、绿电外送等领域深度合作。发挥冰雪资源优势，深化与东北地区在冰雪旅游方面合作。用足用好政策支持谱写赤峰西部大开发新篇章，推动西部大开发各项政策落实落地，切实把产业、税收、投资等各项政策红利变成赤峰市</w:t>
      </w:r>
      <w:r>
        <w:rPr>
          <w:rFonts w:hint="eastAsia" w:eastAsia="仿宋_GB2312" w:cs="方正仿宋_GBK"/>
          <w:b w:val="0"/>
          <w:bCs w:val="0"/>
          <w:color w:val="auto"/>
          <w:highlight w:val="none"/>
          <w:lang w:val="en-US" w:eastAsia="zh-CN"/>
        </w:rPr>
        <w:t>发展红利</w:t>
      </w:r>
      <w:r>
        <w:rPr>
          <w:rFonts w:hint="eastAsia" w:ascii="Times New Roman" w:hAnsi="Times New Roman" w:eastAsia="仿宋_GB2312" w:cs="方正仿宋_GBK"/>
          <w:b w:val="0"/>
          <w:bCs w:val="0"/>
          <w:color w:val="auto"/>
          <w:highlight w:val="none"/>
          <w:lang w:val="en-US" w:eastAsia="zh-CN"/>
        </w:rPr>
        <w:t>，助推产业转型升级和高质量发展。</w:t>
      </w:r>
    </w:p>
    <w:p w14:paraId="35EAC02A">
      <w:pPr>
        <w:pStyle w:val="43"/>
        <w:keepNext w:val="0"/>
        <w:keepLines w:val="0"/>
        <w:pageBreakBefore w:val="0"/>
        <w:shd w:val="clear" w:color="auto" w:fill="auto"/>
        <w:kinsoku/>
        <w:wordWrap/>
        <w:topLinePunct w:val="0"/>
        <w:autoSpaceDE/>
        <w:autoSpaceDN/>
        <w:bidi w:val="0"/>
        <w:adjustRightInd/>
        <w:spacing w:line="540" w:lineRule="exact"/>
        <w:textAlignment w:val="auto"/>
        <w:outlineLvl w:val="3"/>
        <w:rPr>
          <w:b w:val="0"/>
          <w:bCs w:val="0"/>
          <w:spacing w:val="-6"/>
          <w:highlight w:val="none"/>
        </w:rPr>
      </w:pPr>
      <w:r>
        <w:rPr>
          <w:rFonts w:hint="eastAsia" w:ascii="Times New Roman" w:hAnsi="Times New Roman" w:eastAsia="仿宋_GB2312" w:cs="方正仿宋_GBK"/>
          <w:b w:val="0"/>
          <w:bCs w:val="0"/>
          <w:color w:val="auto"/>
          <w:highlight w:val="none"/>
          <w:lang w:val="en-US" w:eastAsia="zh-CN"/>
        </w:rPr>
        <w:t>推动形成区域协作共赢格局</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lang w:eastAsia="zh-CN"/>
        </w:rPr>
        <w:t>推动市际毗邻地区联动发展，深化与周边城市合作交流，加强与锡盟、通辽、朝阳、承德等毗邻地区的协作，共同推进水源涵养、防风固沙等重要生态功能区建设，构筑北方生态安全屏障。用好包头对口帮扶协作机制，聚焦产业、科技、人才、公共服务等重点领域精准发力，重点在绿色农畜产品加工、生物制造、文旅融合等领域开展协作，共建合作园区与科创飞地，推动科技资源开放共享与成果转化；深化干部互派、人才共育、教育医疗合作，强化劳务协作与就业岗位对接；共同建立定期会商机制，构建优势互补、共建共享的协同发展格局。高水平承接产业梯度转移，紧密对接京津冀、环渤海、长三角、粤港澳等重点产业转出地区，积极引进新能源、新材料、生物医药、数字经济、装备制造等产业项目。</w:t>
      </w:r>
    </w:p>
    <w:p w14:paraId="03BFCEAC">
      <w:pPr>
        <w:keepNext w:val="0"/>
        <w:keepLines w:val="0"/>
        <w:pageBreakBefore w:val="0"/>
        <w:widowControl/>
        <w:numPr>
          <w:ilvl w:val="0"/>
          <w:numId w:val="2"/>
        </w:numPr>
        <w:kinsoku/>
        <w:wordWrap/>
        <w:overflowPunct/>
        <w:topLinePunct w:val="0"/>
        <w:autoSpaceDE/>
        <w:autoSpaceDN/>
        <w:bidi w:val="0"/>
        <w:adjustRightInd/>
        <w:snapToGrid/>
        <w:spacing w:before="157" w:beforeLines="50" w:after="157" w:afterLines="50" w:line="540" w:lineRule="exact"/>
        <w:jc w:val="center"/>
        <w:textAlignment w:val="auto"/>
        <w:outlineLvl w:val="1"/>
        <w:rPr>
          <w:rFonts w:hint="eastAsia" w:ascii="黑体" w:hAnsi="黑体" w:eastAsia="黑体" w:cs="黑体"/>
          <w:b w:val="0"/>
          <w:bCs w:val="0"/>
          <w:sz w:val="32"/>
          <w:szCs w:val="32"/>
          <w:highlight w:val="none"/>
          <w:u w:val="none"/>
          <w:lang w:eastAsia="zh-CN"/>
        </w:rPr>
      </w:pPr>
      <w:bookmarkStart w:id="728" w:name="_Toc27960"/>
      <w:bookmarkStart w:id="729" w:name="_Toc2069"/>
      <w:bookmarkStart w:id="730" w:name="_Toc5913"/>
      <w:bookmarkStart w:id="731" w:name="_Toc27772"/>
      <w:bookmarkStart w:id="732" w:name="_Toc27063"/>
      <w:bookmarkStart w:id="733" w:name="_Toc19447"/>
      <w:bookmarkStart w:id="734" w:name="_Toc29279"/>
      <w:bookmarkStart w:id="735" w:name="_Toc2907"/>
      <w:bookmarkStart w:id="736" w:name="_Toc11232"/>
      <w:bookmarkStart w:id="737" w:name="_Toc20527"/>
      <w:bookmarkStart w:id="738" w:name="_Toc31188"/>
      <w:bookmarkStart w:id="739" w:name="_Toc27891"/>
      <w:bookmarkStart w:id="740" w:name="_Toc31253"/>
      <w:bookmarkStart w:id="741" w:name="_Toc3515"/>
      <w:r>
        <w:rPr>
          <w:rFonts w:hint="eastAsia" w:ascii="黑体" w:hAnsi="黑体" w:eastAsia="黑体" w:cs="黑体"/>
          <w:b w:val="0"/>
          <w:bCs w:val="0"/>
          <w:sz w:val="32"/>
          <w:szCs w:val="32"/>
          <w:highlight w:val="none"/>
          <w:u w:val="none"/>
          <w:lang w:val="en-US" w:eastAsia="zh-CN"/>
        </w:rPr>
        <w:t>实施创新驱动发展战略</w:t>
      </w:r>
      <w:r>
        <w:rPr>
          <w:rFonts w:hint="eastAsia" w:ascii="黑体" w:hAnsi="黑体" w:eastAsia="黑体" w:cs="黑体"/>
          <w:b w:val="0"/>
          <w:bCs w:val="0"/>
          <w:sz w:val="32"/>
          <w:szCs w:val="32"/>
          <w:highlight w:val="none"/>
          <w:u w:val="none"/>
          <w:lang w:eastAsia="zh-CN"/>
        </w:rPr>
        <w:t>，</w:t>
      </w:r>
      <w:r>
        <w:rPr>
          <w:rFonts w:hint="eastAsia" w:ascii="黑体" w:hAnsi="黑体" w:eastAsia="黑体" w:cs="黑体"/>
          <w:b w:val="0"/>
          <w:bCs w:val="0"/>
          <w:sz w:val="32"/>
          <w:szCs w:val="32"/>
          <w:highlight w:val="none"/>
          <w:u w:val="none"/>
          <w:lang w:val="en-US" w:eastAsia="zh-CN"/>
        </w:rPr>
        <w:t>因地制宜发展新质生产力</w:t>
      </w:r>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p>
    <w:p w14:paraId="55E82C5B">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sz w:val="32"/>
          <w:szCs w:val="32"/>
          <w:highlight w:val="none"/>
        </w:rPr>
      </w:pPr>
      <w:r>
        <w:rPr>
          <w:rFonts w:hint="eastAsia" w:ascii="Times New Roman" w:hAnsi="Times New Roman" w:eastAsia="仿宋_GB2312" w:cs="方正仿宋_GBK"/>
          <w:b w:val="0"/>
          <w:bCs w:val="0"/>
          <w:color w:val="auto"/>
          <w:sz w:val="32"/>
          <w:szCs w:val="32"/>
          <w:highlight w:val="none"/>
        </w:rPr>
        <w:t>坚持因地制宜、先立后破、分类施策，</w:t>
      </w:r>
      <w:r>
        <w:rPr>
          <w:rFonts w:hint="eastAsia" w:ascii="Times New Roman" w:hAnsi="Times New Roman" w:eastAsia="仿宋_GB2312" w:cs="方正仿宋_GBK"/>
          <w:b w:val="0"/>
          <w:bCs w:val="0"/>
          <w:color w:val="auto"/>
          <w:sz w:val="32"/>
          <w:szCs w:val="32"/>
          <w:highlight w:val="none"/>
          <w:lang w:val="en-US" w:eastAsia="zh-CN"/>
        </w:rPr>
        <w:t>着眼特色产业和科技创新优势突出的领域，瞄准发展急需突破的重大瓶颈，加强技术创新，一体推进科技创新、人才培养，塑造发展新动能新优势。</w:t>
      </w:r>
    </w:p>
    <w:p w14:paraId="70FDA27E">
      <w:pPr>
        <w:keepNext w:val="0"/>
        <w:keepLines w:val="0"/>
        <w:pageBreakBefore w:val="0"/>
        <w:widowControl/>
        <w:numPr>
          <w:ilvl w:val="0"/>
          <w:numId w:val="9"/>
        </w:numPr>
        <w:kinsoku/>
        <w:wordWrap/>
        <w:topLinePunct w:val="0"/>
        <w:autoSpaceDE/>
        <w:autoSpaceDN/>
        <w:bidi w:val="0"/>
        <w:adjustRightIn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u w:val="none"/>
          <w:lang w:val="en-US" w:eastAsia="zh-CN"/>
        </w:rPr>
      </w:pPr>
      <w:bookmarkStart w:id="742" w:name="_Toc28213"/>
      <w:bookmarkStart w:id="743" w:name="_Toc5305"/>
      <w:bookmarkStart w:id="744" w:name="_Toc11185"/>
      <w:bookmarkStart w:id="745" w:name="_Toc8987"/>
      <w:bookmarkStart w:id="746" w:name="_Toc4124"/>
      <w:bookmarkStart w:id="747" w:name="_Toc17405"/>
      <w:bookmarkStart w:id="748" w:name="_Toc2608"/>
      <w:bookmarkStart w:id="749" w:name="_Toc21928"/>
      <w:bookmarkStart w:id="750" w:name="_Toc19883"/>
      <w:bookmarkStart w:id="751" w:name="_Toc20165"/>
      <w:bookmarkStart w:id="752" w:name="_Toc16606"/>
      <w:bookmarkStart w:id="753" w:name="_Toc7824"/>
      <w:bookmarkStart w:id="754" w:name="_Toc28330"/>
      <w:bookmarkStart w:id="755" w:name="_Toc25321"/>
      <w:r>
        <w:rPr>
          <w:rFonts w:hint="eastAsia" w:ascii="楷体_GB2312" w:hAnsi="楷体_GB2312" w:eastAsia="楷体_GB2312" w:cs="楷体_GB2312"/>
          <w:b w:val="0"/>
          <w:bCs w:val="0"/>
          <w:color w:val="auto"/>
          <w:sz w:val="32"/>
          <w:szCs w:val="40"/>
          <w:highlight w:val="none"/>
          <w:u w:val="none"/>
          <w:lang w:val="en-US" w:eastAsia="zh-CN"/>
        </w:rPr>
        <w:t>加强科技创新能力建设</w:t>
      </w:r>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p>
    <w:p w14:paraId="33635320">
      <w:pPr>
        <w:keepNext w:val="0"/>
        <w:keepLines w:val="0"/>
        <w:pageBreakBefore w:val="0"/>
        <w:widowControl/>
        <w:shd w:val="clear" w:color="auto" w:fill="auto"/>
        <w:kinsoku/>
        <w:wordWrap/>
        <w:topLinePunct w:val="0"/>
        <w:autoSpaceDE/>
        <w:autoSpaceDN/>
        <w:bidi w:val="0"/>
        <w:adjustRightInd/>
        <w:spacing w:line="540" w:lineRule="exact"/>
        <w:ind w:firstLine="624" w:firstLineChars="200"/>
        <w:textAlignment w:val="auto"/>
        <w:rPr>
          <w:rFonts w:hint="default" w:ascii="Times New Roman" w:hAnsi="Times New Roman" w:eastAsia="仿宋_GB2312" w:cs="方正仿宋_GBK"/>
          <w:b w:val="0"/>
          <w:bCs w:val="0"/>
          <w:color w:val="auto"/>
          <w:sz w:val="32"/>
          <w:szCs w:val="32"/>
          <w:highlight w:val="none"/>
          <w:lang w:val="en-US" w:eastAsia="zh-CN"/>
        </w:rPr>
      </w:pPr>
      <w:r>
        <w:rPr>
          <w:rFonts w:hint="eastAsia" w:ascii="Times New Roman" w:hAnsi="Times New Roman" w:eastAsia="仿宋_GB2312" w:cs="方正仿宋_GBK"/>
          <w:b w:val="0"/>
          <w:bCs w:val="0"/>
          <w:color w:val="auto"/>
          <w:sz w:val="32"/>
          <w:szCs w:val="32"/>
          <w:highlight w:val="none"/>
        </w:rPr>
        <w:t>深入实施创新驱动发展战略，</w:t>
      </w:r>
      <w:r>
        <w:rPr>
          <w:rFonts w:hint="eastAsia" w:ascii="Times New Roman" w:hAnsi="Times New Roman" w:eastAsia="仿宋_GB2312" w:cs="方正仿宋_GBK"/>
          <w:b w:val="0"/>
          <w:bCs w:val="0"/>
          <w:color w:val="auto"/>
          <w:sz w:val="32"/>
          <w:szCs w:val="32"/>
          <w:highlight w:val="none"/>
          <w:lang w:val="en-US" w:eastAsia="zh-CN"/>
        </w:rPr>
        <w:t>加强知识产权保护，</w:t>
      </w:r>
      <w:r>
        <w:rPr>
          <w:rFonts w:hint="eastAsia" w:ascii="Times New Roman" w:hAnsi="Times New Roman" w:eastAsia="仿宋_GB2312" w:cs="方正仿宋_GBK"/>
          <w:b w:val="0"/>
          <w:bCs w:val="0"/>
          <w:color w:val="auto"/>
          <w:sz w:val="32"/>
          <w:szCs w:val="32"/>
          <w:highlight w:val="none"/>
        </w:rPr>
        <w:t>强化科技创新策源能力，推动产业链、创新链、人才链深度融合，打造蒙东地区科技创新高地</w:t>
      </w:r>
      <w:r>
        <w:rPr>
          <w:rFonts w:hint="eastAsia" w:ascii="Times New Roman" w:hAnsi="Times New Roman" w:eastAsia="仿宋_GB2312" w:cs="方正仿宋_GBK"/>
          <w:b w:val="0"/>
          <w:bCs w:val="0"/>
          <w:color w:val="auto"/>
          <w:sz w:val="32"/>
          <w:szCs w:val="32"/>
          <w:highlight w:val="none"/>
          <w:lang w:val="en-US" w:eastAsia="zh-CN"/>
        </w:rPr>
        <w:t>。</w:t>
      </w:r>
    </w:p>
    <w:p w14:paraId="228939B7">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sz w:val="32"/>
          <w:szCs w:val="32"/>
          <w:highlight w:val="none"/>
        </w:rPr>
      </w:pPr>
      <w:bookmarkStart w:id="756" w:name="_Toc9417"/>
      <w:r>
        <w:rPr>
          <w:rFonts w:hint="eastAsia" w:ascii="Times New Roman" w:hAnsi="Times New Roman" w:eastAsia="仿宋_GB2312" w:cs="方正仿宋_GBK"/>
          <w:b w:val="0"/>
          <w:bCs w:val="0"/>
          <w:color w:val="auto"/>
          <w:sz w:val="32"/>
          <w:szCs w:val="32"/>
          <w:highlight w:val="none"/>
          <w:lang w:val="en-US" w:eastAsia="zh-CN"/>
        </w:rPr>
        <w:t>提升科技创新能力</w:t>
      </w:r>
      <w:bookmarkEnd w:id="756"/>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sz w:val="32"/>
          <w:szCs w:val="32"/>
          <w:highlight w:val="none"/>
        </w:rPr>
        <w:t>坚持需求导向和问题导向，围绕产业链部署创新链，围绕创新链布局产业链，增加高质量科技成果供给。</w:t>
      </w:r>
      <w:r>
        <w:rPr>
          <w:rFonts w:hint="eastAsia" w:ascii="Times New Roman" w:hAnsi="Times New Roman" w:eastAsia="仿宋_GB2312" w:cs="方正仿宋_GBK"/>
          <w:b w:val="0"/>
          <w:bCs w:val="0"/>
          <w:color w:val="auto"/>
          <w:sz w:val="32"/>
          <w:szCs w:val="32"/>
          <w:highlight w:val="none"/>
          <w:lang w:val="en-US" w:eastAsia="zh-CN"/>
        </w:rPr>
        <w:t>建设</w:t>
      </w:r>
      <w:r>
        <w:rPr>
          <w:rFonts w:hint="eastAsia" w:ascii="Times New Roman" w:hAnsi="Times New Roman" w:eastAsia="仿宋_GB2312" w:cs="方正仿宋_GBK"/>
          <w:b w:val="0"/>
          <w:bCs w:val="0"/>
          <w:color w:val="auto"/>
          <w:sz w:val="32"/>
          <w:szCs w:val="32"/>
          <w:highlight w:val="none"/>
        </w:rPr>
        <w:t>高水平科技创新平台</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围绕有色金属、新能源、新材料、现代农牧业、</w:t>
      </w:r>
      <w:r>
        <w:rPr>
          <w:rFonts w:hint="eastAsia" w:ascii="Times New Roman" w:hAnsi="Times New Roman" w:eastAsia="仿宋_GB2312" w:cs="方正仿宋_GBK"/>
          <w:b w:val="0"/>
          <w:bCs w:val="0"/>
          <w:color w:val="auto"/>
          <w:sz w:val="32"/>
          <w:szCs w:val="32"/>
          <w:highlight w:val="none"/>
          <w:lang w:eastAsia="zh-CN"/>
        </w:rPr>
        <w:t>生物育种、</w:t>
      </w:r>
      <w:r>
        <w:rPr>
          <w:rFonts w:hint="eastAsia" w:ascii="Times New Roman" w:hAnsi="Times New Roman" w:eastAsia="仿宋_GB2312" w:cs="方正仿宋_GBK"/>
          <w:b w:val="0"/>
          <w:bCs w:val="0"/>
          <w:color w:val="auto"/>
          <w:sz w:val="32"/>
          <w:szCs w:val="32"/>
          <w:highlight w:val="none"/>
        </w:rPr>
        <w:t>生物医药等优势特色</w:t>
      </w:r>
      <w:r>
        <w:rPr>
          <w:rFonts w:hint="eastAsia" w:ascii="Times New Roman" w:hAnsi="Times New Roman" w:eastAsia="仿宋_GB2312" w:cs="方正仿宋_GBK"/>
          <w:b w:val="0"/>
          <w:bCs w:val="0"/>
          <w:color w:val="auto"/>
          <w:sz w:val="32"/>
          <w:szCs w:val="32"/>
          <w:highlight w:val="none"/>
          <w:lang w:val="en-US" w:eastAsia="zh-CN"/>
        </w:rPr>
        <w:t>产业</w:t>
      </w:r>
      <w:r>
        <w:rPr>
          <w:rFonts w:hint="eastAsia" w:ascii="Times New Roman" w:hAnsi="Times New Roman" w:eastAsia="仿宋_GB2312" w:cs="方正仿宋_GBK"/>
          <w:b w:val="0"/>
          <w:bCs w:val="0"/>
          <w:color w:val="auto"/>
          <w:sz w:val="32"/>
          <w:szCs w:val="32"/>
          <w:highlight w:val="none"/>
        </w:rPr>
        <w:t>，积极培育和建设一批自治区级重点实验室、技术创新中心</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抓住赤峰大学</w:t>
      </w:r>
      <w:r>
        <w:rPr>
          <w:rFonts w:hint="eastAsia" w:ascii="Times New Roman" w:hAnsi="Times New Roman" w:eastAsia="仿宋_GB2312" w:cs="方正仿宋_GBK"/>
          <w:b w:val="0"/>
          <w:bCs w:val="0"/>
          <w:color w:val="auto"/>
          <w:sz w:val="32"/>
          <w:szCs w:val="32"/>
          <w:highlight w:val="none"/>
          <w:lang w:val="en-US" w:eastAsia="zh-CN"/>
        </w:rPr>
        <w:t>建设的</w:t>
      </w:r>
      <w:r>
        <w:rPr>
          <w:rFonts w:hint="eastAsia" w:ascii="Times New Roman" w:hAnsi="Times New Roman" w:eastAsia="仿宋_GB2312" w:cs="方正仿宋_GBK"/>
          <w:b w:val="0"/>
          <w:bCs w:val="0"/>
          <w:color w:val="auto"/>
          <w:sz w:val="32"/>
          <w:szCs w:val="32"/>
          <w:highlight w:val="none"/>
        </w:rPr>
        <w:t>历史机遇，</w:t>
      </w:r>
      <w:r>
        <w:rPr>
          <w:rFonts w:hint="eastAsia" w:ascii="Times New Roman" w:hAnsi="Times New Roman" w:eastAsia="仿宋_GB2312" w:cs="方正仿宋_GBK"/>
          <w:b w:val="0"/>
          <w:bCs w:val="0"/>
          <w:color w:val="auto"/>
          <w:sz w:val="32"/>
          <w:szCs w:val="32"/>
          <w:highlight w:val="none"/>
          <w:lang w:val="en-US" w:eastAsia="zh-CN"/>
        </w:rPr>
        <w:t>发挥“蒙科聚”赤峰分中心功能，加强赤峰产业创新研究院建设。加强与国家重点实验室合作。</w:t>
      </w:r>
      <w:r>
        <w:rPr>
          <w:rFonts w:hint="eastAsia" w:ascii="Times New Roman" w:hAnsi="Times New Roman" w:eastAsia="仿宋_GB2312" w:cs="方正仿宋_GBK"/>
          <w:b w:val="0"/>
          <w:bCs w:val="0"/>
          <w:color w:val="auto"/>
          <w:sz w:val="32"/>
          <w:szCs w:val="32"/>
          <w:highlight w:val="none"/>
        </w:rPr>
        <w:t>强化产业关键技术攻关</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支持企业联合高校、科研院所组建创新联合体，开展行业共性关键技术研发和成果转化。建立完善市级科技计划项目体系，集中力量攻克一批制约产业发展的“卡脖子”技术和共性关键技术，重点突破有色金属清洁冶炼与精深加工、</w:t>
      </w:r>
      <w:r>
        <w:rPr>
          <w:rFonts w:hint="eastAsia" w:ascii="Times New Roman" w:hAnsi="Times New Roman" w:eastAsia="仿宋_GB2312" w:cs="方正仿宋_GBK"/>
          <w:b w:val="0"/>
          <w:bCs w:val="0"/>
          <w:color w:val="auto"/>
          <w:sz w:val="32"/>
          <w:szCs w:val="32"/>
          <w:highlight w:val="none"/>
          <w:lang w:eastAsia="zh-CN"/>
        </w:rPr>
        <w:t>新能源研发、</w:t>
      </w:r>
      <w:r>
        <w:rPr>
          <w:rFonts w:hint="eastAsia" w:ascii="Times New Roman" w:hAnsi="Times New Roman" w:eastAsia="仿宋_GB2312" w:cs="方正仿宋_GBK"/>
          <w:b w:val="0"/>
          <w:bCs w:val="0"/>
          <w:color w:val="auto"/>
          <w:sz w:val="32"/>
          <w:szCs w:val="32"/>
          <w:highlight w:val="none"/>
        </w:rPr>
        <w:t>氢能制储运用等</w:t>
      </w:r>
      <w:r>
        <w:rPr>
          <w:rFonts w:hint="eastAsia" w:ascii="Times New Roman" w:hAnsi="Times New Roman" w:eastAsia="仿宋_GB2312" w:cs="方正仿宋_GBK"/>
          <w:b w:val="0"/>
          <w:bCs w:val="0"/>
          <w:color w:val="auto"/>
          <w:sz w:val="32"/>
          <w:szCs w:val="32"/>
          <w:highlight w:val="none"/>
          <w:lang w:val="en-US" w:eastAsia="zh-CN"/>
        </w:rPr>
        <w:t>工业领域</w:t>
      </w:r>
      <w:r>
        <w:rPr>
          <w:rFonts w:hint="eastAsia" w:ascii="Times New Roman" w:hAnsi="Times New Roman" w:eastAsia="仿宋_GB2312" w:cs="方正仿宋_GBK"/>
          <w:b w:val="0"/>
          <w:bCs w:val="0"/>
          <w:color w:val="auto"/>
          <w:sz w:val="32"/>
          <w:szCs w:val="32"/>
          <w:highlight w:val="none"/>
        </w:rPr>
        <w:t>关键技术</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加强优质</w:t>
      </w:r>
      <w:r>
        <w:rPr>
          <w:rFonts w:hint="eastAsia" w:ascii="Times New Roman" w:hAnsi="Times New Roman" w:eastAsia="仿宋_GB2312" w:cs="方正仿宋_GBK"/>
          <w:b w:val="0"/>
          <w:bCs w:val="0"/>
          <w:color w:val="auto"/>
          <w:sz w:val="32"/>
          <w:szCs w:val="32"/>
          <w:highlight w:val="none"/>
          <w:lang w:eastAsia="zh-CN"/>
        </w:rPr>
        <w:t>高抗</w:t>
      </w:r>
      <w:r>
        <w:rPr>
          <w:rFonts w:hint="eastAsia" w:ascii="Times New Roman" w:hAnsi="Times New Roman" w:eastAsia="仿宋_GB2312" w:cs="方正仿宋_GBK"/>
          <w:b w:val="0"/>
          <w:bCs w:val="0"/>
          <w:color w:val="auto"/>
          <w:sz w:val="32"/>
          <w:szCs w:val="32"/>
          <w:highlight w:val="none"/>
        </w:rPr>
        <w:t>新品种选育、动物疫病防控、农畜产品精深加工与质量安全控制、智慧农业、农业节水等</w:t>
      </w:r>
      <w:r>
        <w:rPr>
          <w:rFonts w:hint="eastAsia" w:ascii="Times New Roman" w:hAnsi="Times New Roman" w:eastAsia="仿宋_GB2312" w:cs="方正仿宋_GBK"/>
          <w:b w:val="0"/>
          <w:bCs w:val="0"/>
          <w:color w:val="auto"/>
          <w:sz w:val="32"/>
          <w:szCs w:val="32"/>
          <w:highlight w:val="none"/>
          <w:lang w:val="en-US" w:eastAsia="zh-CN"/>
        </w:rPr>
        <w:t>农业</w:t>
      </w:r>
      <w:r>
        <w:rPr>
          <w:rFonts w:hint="eastAsia" w:ascii="Times New Roman" w:hAnsi="Times New Roman" w:eastAsia="仿宋_GB2312" w:cs="方正仿宋_GBK"/>
          <w:b w:val="0"/>
          <w:bCs w:val="0"/>
          <w:color w:val="auto"/>
          <w:sz w:val="32"/>
          <w:szCs w:val="32"/>
          <w:highlight w:val="none"/>
        </w:rPr>
        <w:t>技术研发</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lang w:val="en-US" w:eastAsia="zh-CN"/>
        </w:rPr>
        <w:t>开展</w:t>
      </w:r>
      <w:r>
        <w:rPr>
          <w:rFonts w:hint="eastAsia" w:ascii="Times New Roman" w:hAnsi="Times New Roman" w:eastAsia="仿宋_GB2312" w:cs="方正仿宋_GBK"/>
          <w:b w:val="0"/>
          <w:bCs w:val="0"/>
          <w:color w:val="auto"/>
          <w:sz w:val="32"/>
          <w:szCs w:val="32"/>
          <w:highlight w:val="none"/>
        </w:rPr>
        <w:t>荒漠化综合治理、水污染防治、大宗固废资源化利用等</w:t>
      </w:r>
      <w:r>
        <w:rPr>
          <w:rFonts w:hint="eastAsia" w:ascii="Times New Roman" w:hAnsi="Times New Roman" w:eastAsia="仿宋_GB2312" w:cs="方正仿宋_GBK"/>
          <w:b w:val="0"/>
          <w:bCs w:val="0"/>
          <w:color w:val="auto"/>
          <w:sz w:val="32"/>
          <w:szCs w:val="32"/>
          <w:highlight w:val="none"/>
          <w:lang w:val="en-US" w:eastAsia="zh-CN"/>
        </w:rPr>
        <w:t>生态环境</w:t>
      </w:r>
      <w:r>
        <w:rPr>
          <w:rFonts w:hint="eastAsia" w:ascii="Times New Roman" w:hAnsi="Times New Roman" w:eastAsia="仿宋_GB2312" w:cs="方正仿宋_GBK"/>
          <w:b w:val="0"/>
          <w:bCs w:val="0"/>
          <w:color w:val="auto"/>
          <w:sz w:val="32"/>
          <w:szCs w:val="32"/>
          <w:highlight w:val="none"/>
        </w:rPr>
        <w:t>技术</w:t>
      </w:r>
      <w:r>
        <w:rPr>
          <w:rFonts w:hint="eastAsia" w:ascii="Times New Roman" w:hAnsi="Times New Roman" w:eastAsia="仿宋_GB2312" w:cs="方正仿宋_GBK"/>
          <w:b w:val="0"/>
          <w:bCs w:val="0"/>
          <w:color w:val="auto"/>
          <w:sz w:val="32"/>
          <w:szCs w:val="32"/>
          <w:highlight w:val="none"/>
          <w:lang w:val="en-US" w:eastAsia="zh-CN"/>
        </w:rPr>
        <w:t>攻关</w:t>
      </w:r>
      <w:r>
        <w:rPr>
          <w:rFonts w:hint="eastAsia" w:ascii="Times New Roman" w:hAnsi="Times New Roman" w:eastAsia="仿宋_GB2312" w:cs="方正仿宋_GBK"/>
          <w:b w:val="0"/>
          <w:bCs w:val="0"/>
          <w:color w:val="auto"/>
          <w:sz w:val="32"/>
          <w:szCs w:val="32"/>
          <w:highlight w:val="none"/>
        </w:rPr>
        <w:t>。</w:t>
      </w:r>
    </w:p>
    <w:p w14:paraId="1BEF050D">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spacing w:val="-6"/>
          <w:sz w:val="32"/>
          <w:szCs w:val="32"/>
          <w:highlight w:val="none"/>
          <w:lang w:val="en-US" w:eastAsia="zh-CN"/>
        </w:rPr>
      </w:pPr>
      <w:bookmarkStart w:id="757" w:name="_Toc13095"/>
      <w:r>
        <w:rPr>
          <w:rFonts w:hint="eastAsia" w:ascii="Times New Roman" w:hAnsi="Times New Roman" w:eastAsia="仿宋_GB2312" w:cs="方正仿宋_GBK"/>
          <w:b w:val="0"/>
          <w:bCs w:val="0"/>
          <w:color w:val="auto"/>
          <w:sz w:val="32"/>
          <w:szCs w:val="32"/>
          <w:highlight w:val="none"/>
          <w:lang w:val="en-US" w:eastAsia="zh-CN"/>
        </w:rPr>
        <w:t>培育壮大创新主体</w:t>
      </w:r>
      <w:bookmarkEnd w:id="757"/>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
          <w:b w:val="0"/>
          <w:bCs w:val="0"/>
          <w:sz w:val="32"/>
          <w:highlight w:val="none"/>
          <w:lang w:val="en-US" w:eastAsia="zh-CN"/>
        </w:rPr>
        <w:t>强化企业创新主体地位，</w:t>
      </w:r>
      <w:r>
        <w:rPr>
          <w:rFonts w:hint="eastAsia" w:ascii="Times New Roman" w:hAnsi="Times New Roman" w:eastAsia="仿宋" w:cs="Times New Roman"/>
          <w:b w:val="0"/>
          <w:bCs w:val="0"/>
          <w:color w:val="auto"/>
          <w:sz w:val="32"/>
          <w:szCs w:val="22"/>
          <w:highlight w:val="none"/>
        </w:rPr>
        <w:t>完善科技企业梯次培育机制</w:t>
      </w:r>
      <w:r>
        <w:rPr>
          <w:rFonts w:hint="eastAsia" w:ascii="Times New Roman" w:hAnsi="Times New Roman" w:eastAsia="仿宋" w:cs="Times New Roman"/>
          <w:b w:val="0"/>
          <w:bCs w:val="0"/>
          <w:color w:val="auto"/>
          <w:sz w:val="32"/>
          <w:szCs w:val="22"/>
          <w:highlight w:val="none"/>
          <w:lang w:eastAsia="zh-CN"/>
        </w:rPr>
        <w:t>，</w:t>
      </w:r>
      <w:r>
        <w:rPr>
          <w:rFonts w:hint="eastAsia" w:ascii="Times New Roman" w:hAnsi="Times New Roman" w:eastAsia="仿宋" w:cs="Times New Roman"/>
          <w:b w:val="0"/>
          <w:bCs w:val="0"/>
          <w:color w:val="auto"/>
          <w:sz w:val="32"/>
          <w:szCs w:val="22"/>
          <w:highlight w:val="none"/>
          <w:lang w:val="en-US" w:eastAsia="zh-CN"/>
        </w:rPr>
        <w:t>构建</w:t>
      </w:r>
      <w:r>
        <w:rPr>
          <w:rFonts w:hint="eastAsia" w:ascii="Times New Roman" w:hAnsi="Times New Roman" w:eastAsia="仿宋" w:cs="Times New Roman"/>
          <w:b w:val="0"/>
          <w:bCs w:val="0"/>
          <w:color w:val="auto"/>
          <w:sz w:val="32"/>
          <w:szCs w:val="22"/>
          <w:highlight w:val="none"/>
        </w:rPr>
        <w:t>“科技型</w:t>
      </w:r>
      <w:r>
        <w:rPr>
          <w:rFonts w:hint="eastAsia" w:ascii="Times New Roman" w:hAnsi="Times New Roman" w:eastAsia="仿宋_GB2312" w:cs="方正仿宋_GBK"/>
          <w:b w:val="0"/>
          <w:bCs w:val="0"/>
          <w:color w:val="auto"/>
          <w:sz w:val="32"/>
          <w:szCs w:val="32"/>
          <w:highlight w:val="none"/>
        </w:rPr>
        <w:t>中小企业</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高新技术企业</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科技</w:t>
      </w:r>
      <w:r>
        <w:rPr>
          <w:rFonts w:hint="eastAsia" w:ascii="Times New Roman" w:hAnsi="Times New Roman" w:eastAsia="仿宋_GB2312" w:cs="方正仿宋_GBK"/>
          <w:b w:val="0"/>
          <w:bCs w:val="0"/>
          <w:color w:val="auto"/>
          <w:sz w:val="32"/>
          <w:szCs w:val="32"/>
          <w:highlight w:val="none"/>
          <w:lang w:eastAsia="zh-CN"/>
        </w:rPr>
        <w:t>标杆</w:t>
      </w:r>
      <w:r>
        <w:rPr>
          <w:rFonts w:hint="eastAsia" w:ascii="Times New Roman" w:hAnsi="Times New Roman" w:eastAsia="仿宋_GB2312" w:cs="方正仿宋_GBK"/>
          <w:b w:val="0"/>
          <w:bCs w:val="0"/>
          <w:color w:val="auto"/>
          <w:sz w:val="32"/>
          <w:szCs w:val="32"/>
          <w:highlight w:val="none"/>
        </w:rPr>
        <w:t>企业”</w:t>
      </w:r>
      <w:r>
        <w:rPr>
          <w:rFonts w:hint="eastAsia" w:ascii="Times New Roman" w:hAnsi="Times New Roman" w:eastAsia="仿宋_GB2312" w:cs="方正仿宋_GBK"/>
          <w:b w:val="0"/>
          <w:bCs w:val="0"/>
          <w:color w:val="auto"/>
          <w:sz w:val="32"/>
          <w:szCs w:val="32"/>
          <w:highlight w:val="none"/>
          <w:lang w:val="en-US" w:eastAsia="zh-CN"/>
        </w:rPr>
        <w:t>培育体系。通过广泛挖掘、精准服务，推动更多中小微企业升级为科技型中小企业。加强政策引导与申报服务，提升科技企业整体质量与规模。遴选一批创新能力强、市场潜力大的高新技术企业予以重点</w:t>
      </w:r>
      <w:r>
        <w:rPr>
          <w:rFonts w:hint="eastAsia" w:ascii="Times New Roman" w:hAnsi="Times New Roman" w:eastAsia="仿宋_GB2312" w:cs="方正仿宋_GBK"/>
          <w:b w:val="0"/>
          <w:bCs w:val="0"/>
          <w:color w:val="auto"/>
          <w:spacing w:val="-6"/>
          <w:sz w:val="32"/>
          <w:szCs w:val="32"/>
          <w:highlight w:val="none"/>
          <w:lang w:val="en-US" w:eastAsia="zh-CN"/>
        </w:rPr>
        <w:t>培育，逐步发展成为具有生态主导力和核心竞争力的科技标杆企业。</w:t>
      </w:r>
    </w:p>
    <w:p w14:paraId="61301BFA">
      <w:pPr>
        <w:pStyle w:val="32"/>
        <w:keepNext w:val="0"/>
        <w:keepLines w:val="0"/>
        <w:pageBreakBefore w:val="0"/>
        <w:shd w:val="clear" w:color="auto" w:fill="auto"/>
        <w:kinsoku/>
        <w:wordWrap/>
        <w:topLinePunct w:val="0"/>
        <w:autoSpaceDE/>
        <w:autoSpaceDN/>
        <w:bidi w:val="0"/>
        <w:adjustRightInd/>
        <w:spacing w:line="540" w:lineRule="exact"/>
        <w:jc w:val="left"/>
        <w:textAlignment w:val="auto"/>
        <w:outlineLvl w:val="3"/>
        <w:rPr>
          <w:rFonts w:hint="eastAsia" w:ascii="Times New Roman" w:hAnsi="Times New Roman" w:eastAsia="仿宋_GB2312" w:cs="方正仿宋_GBK"/>
          <w:b w:val="0"/>
          <w:bCs w:val="0"/>
          <w:color w:val="auto"/>
          <w:sz w:val="32"/>
          <w:szCs w:val="32"/>
          <w:highlight w:val="none"/>
          <w:lang w:val="en-US" w:eastAsia="zh-CN"/>
        </w:rPr>
      </w:pPr>
      <w:bookmarkStart w:id="758" w:name="_Toc27131"/>
      <w:r>
        <w:rPr>
          <w:rFonts w:hint="eastAsia" w:ascii="Times New Roman" w:hAnsi="Times New Roman" w:eastAsia="仿宋_GB2312" w:cs="方正仿宋_GBK"/>
          <w:b w:val="0"/>
          <w:bCs w:val="0"/>
          <w:color w:val="auto"/>
          <w:sz w:val="32"/>
          <w:szCs w:val="32"/>
          <w:highlight w:val="none"/>
        </w:rPr>
        <w:t>促进成果转移转化</w:t>
      </w:r>
      <w:bookmarkEnd w:id="758"/>
      <w:r>
        <w:rPr>
          <w:rFonts w:hint="eastAsia"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lang w:val="en-US" w:eastAsia="zh-CN"/>
        </w:rPr>
        <w:t>加强政府、企业、高校、科研院所交流合作，推动创新链产业链资金链人才链深度融合、创新资源向企业集聚、科研成果向实体经济转化，促进产学研用深度融合。</w:t>
      </w:r>
      <w:r>
        <w:rPr>
          <w:rFonts w:hint="eastAsia" w:ascii="Times New Roman" w:hAnsi="Times New Roman" w:eastAsia="仿宋_GB2312" w:cs="方正仿宋_GBK"/>
          <w:b w:val="0"/>
          <w:bCs w:val="0"/>
          <w:color w:val="auto"/>
          <w:sz w:val="32"/>
          <w:szCs w:val="32"/>
          <w:highlight w:val="none"/>
        </w:rPr>
        <w:t>完善技术转移服务体系，汇集科技成果、</w:t>
      </w:r>
      <w:r>
        <w:rPr>
          <w:rFonts w:hint="eastAsia" w:ascii="Times New Roman" w:hAnsi="Times New Roman" w:eastAsia="仿宋_GB2312" w:cs="方正仿宋_GBK"/>
          <w:b w:val="0"/>
          <w:bCs w:val="0"/>
          <w:color w:val="auto"/>
          <w:sz w:val="32"/>
          <w:szCs w:val="32"/>
          <w:highlight w:val="none"/>
          <w:lang w:eastAsia="zh-CN"/>
        </w:rPr>
        <w:t>技术</w:t>
      </w:r>
      <w:r>
        <w:rPr>
          <w:rFonts w:hint="eastAsia" w:ascii="Times New Roman" w:hAnsi="Times New Roman" w:eastAsia="仿宋_GB2312" w:cs="方正仿宋_GBK"/>
          <w:b w:val="0"/>
          <w:bCs w:val="0"/>
          <w:color w:val="auto"/>
          <w:sz w:val="32"/>
          <w:szCs w:val="32"/>
          <w:highlight w:val="none"/>
        </w:rPr>
        <w:t>需求、专家人才、服务机构等信息，提供精准对接服务。鼓励高校、科研院所建立专业化技术转移服务机构，提高科技成果转化效率。大力发展科技服务业，培育引进一批高水平技术转移</w:t>
      </w:r>
      <w:r>
        <w:rPr>
          <w:rFonts w:hint="eastAsia" w:ascii="Times New Roman" w:hAnsi="Times New Roman" w:eastAsia="仿宋_GB2312" w:cs="方正仿宋_GBK"/>
          <w:b w:val="0"/>
          <w:bCs w:val="0"/>
          <w:color w:val="auto"/>
          <w:sz w:val="32"/>
          <w:szCs w:val="32"/>
          <w:highlight w:val="none"/>
          <w:lang w:val="en-US" w:eastAsia="zh-CN"/>
        </w:rPr>
        <w:t>服务</w:t>
      </w:r>
      <w:r>
        <w:rPr>
          <w:rFonts w:hint="eastAsia" w:ascii="Times New Roman" w:hAnsi="Times New Roman" w:eastAsia="仿宋_GB2312" w:cs="方正仿宋_GBK"/>
          <w:b w:val="0"/>
          <w:bCs w:val="0"/>
          <w:color w:val="auto"/>
          <w:sz w:val="32"/>
          <w:szCs w:val="32"/>
          <w:highlight w:val="none"/>
        </w:rPr>
        <w:t>机构、科技咨询机构、检验检测认证机构。支持重大科技成果在赤峰进行中试熟化和产业化应用。鼓励企业与高校、科研院所共建研发平台，联合开展技术攻关，</w:t>
      </w:r>
      <w:r>
        <w:rPr>
          <w:rFonts w:hint="eastAsia" w:ascii="Times New Roman" w:hAnsi="Times New Roman" w:eastAsia="仿宋_GB2312" w:cs="方正仿宋_GBK"/>
          <w:b w:val="0"/>
          <w:bCs w:val="0"/>
          <w:color w:val="auto"/>
          <w:sz w:val="32"/>
          <w:szCs w:val="32"/>
          <w:highlight w:val="none"/>
          <w:lang w:eastAsia="zh-CN"/>
        </w:rPr>
        <w:t>推动科研成果从“实验室”走向“生产线”</w:t>
      </w:r>
      <w:r>
        <w:rPr>
          <w:rFonts w:hint="eastAsia" w:ascii="Times New Roman" w:hAnsi="Times New Roman" w:eastAsia="仿宋_GB2312" w:cs="方正仿宋_GBK"/>
          <w:b w:val="0"/>
          <w:bCs w:val="0"/>
          <w:color w:val="auto"/>
          <w:sz w:val="32"/>
          <w:szCs w:val="32"/>
          <w:highlight w:val="none"/>
        </w:rPr>
        <w:t>。</w:t>
      </w:r>
      <w:r>
        <w:rPr>
          <w:rFonts w:hint="eastAsia" w:ascii="Times New Roman" w:hAnsi="Times New Roman" w:eastAsia="仿宋_GB2312" w:cs="方正仿宋_GBK"/>
          <w:b w:val="0"/>
          <w:bCs w:val="0"/>
          <w:color w:val="auto"/>
          <w:sz w:val="32"/>
          <w:szCs w:val="32"/>
          <w:highlight w:val="none"/>
          <w:lang w:val="en-US" w:eastAsia="zh-CN"/>
        </w:rPr>
        <w:t>创新科技成果转化机制，</w:t>
      </w:r>
      <w:r>
        <w:rPr>
          <w:rFonts w:hint="eastAsia" w:ascii="Times New Roman" w:hAnsi="Times New Roman" w:eastAsia="仿宋_GB2312" w:cs="方正仿宋_GBK"/>
          <w:b w:val="0"/>
          <w:bCs w:val="0"/>
          <w:color w:val="auto"/>
          <w:sz w:val="32"/>
          <w:szCs w:val="32"/>
          <w:highlight w:val="none"/>
        </w:rPr>
        <w:t>举办科技成果对接会</w:t>
      </w:r>
      <w:r>
        <w:rPr>
          <w:rFonts w:hint="eastAsia" w:ascii="Times New Roman" w:hAnsi="Times New Roman" w:eastAsia="仿宋_GB2312" w:cs="方正仿宋_GBK"/>
          <w:b w:val="0"/>
          <w:bCs w:val="0"/>
          <w:color w:val="auto"/>
          <w:sz w:val="32"/>
          <w:szCs w:val="32"/>
          <w:highlight w:val="none"/>
          <w:lang w:eastAsia="zh-CN"/>
        </w:rPr>
        <w:t>、发布</w:t>
      </w:r>
      <w:r>
        <w:rPr>
          <w:rFonts w:hint="eastAsia" w:ascii="Times New Roman" w:hAnsi="Times New Roman" w:eastAsia="仿宋_GB2312" w:cs="方正仿宋_GBK"/>
          <w:b w:val="0"/>
          <w:bCs w:val="0"/>
          <w:color w:val="auto"/>
          <w:sz w:val="32"/>
          <w:szCs w:val="32"/>
          <w:highlight w:val="none"/>
          <w:lang w:val="en-US" w:eastAsia="zh-CN"/>
        </w:rPr>
        <w:t>会</w:t>
      </w:r>
      <w:r>
        <w:rPr>
          <w:rFonts w:hint="eastAsia" w:ascii="Times New Roman" w:hAnsi="Times New Roman" w:eastAsia="仿宋_GB2312" w:cs="方正仿宋_GBK"/>
          <w:b w:val="0"/>
          <w:bCs w:val="0"/>
          <w:color w:val="auto"/>
          <w:sz w:val="32"/>
          <w:szCs w:val="32"/>
          <w:highlight w:val="none"/>
          <w:lang w:eastAsia="zh-CN"/>
        </w:rPr>
        <w:t>、路演</w:t>
      </w:r>
      <w:r>
        <w:rPr>
          <w:rFonts w:hint="eastAsia" w:ascii="Times New Roman" w:hAnsi="Times New Roman" w:eastAsia="仿宋_GB2312" w:cs="方正仿宋_GBK"/>
          <w:b w:val="0"/>
          <w:bCs w:val="0"/>
          <w:color w:val="auto"/>
          <w:sz w:val="32"/>
          <w:szCs w:val="32"/>
          <w:highlight w:val="none"/>
        </w:rPr>
        <w:t>等活动，打通科技成果转化的“最后一公里”</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lang w:val="en-US" w:eastAsia="zh-CN"/>
        </w:rPr>
        <w:t>稳步提升科技成果转化率。</w:t>
      </w:r>
    </w:p>
    <w:p w14:paraId="6891AF65">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sz w:val="32"/>
          <w:szCs w:val="32"/>
          <w:highlight w:val="none"/>
          <w:lang w:val="en-US" w:eastAsia="zh-CN"/>
        </w:rPr>
      </w:pPr>
      <w:bookmarkStart w:id="759" w:name="_Toc9765"/>
      <w:r>
        <w:rPr>
          <w:rFonts w:hint="eastAsia" w:ascii="Times New Roman" w:hAnsi="Times New Roman" w:eastAsia="仿宋_GB2312" w:cs="方正仿宋_GBK"/>
          <w:b w:val="0"/>
          <w:bCs w:val="0"/>
          <w:color w:val="auto"/>
          <w:sz w:val="32"/>
          <w:szCs w:val="32"/>
          <w:highlight w:val="none"/>
          <w:lang w:val="en-US" w:eastAsia="zh-CN"/>
        </w:rPr>
        <w:t>营造良好创新生态</w:t>
      </w:r>
      <w:bookmarkEnd w:id="759"/>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sz w:val="32"/>
          <w:szCs w:val="32"/>
          <w:highlight w:val="none"/>
        </w:rPr>
        <w:t>着力破除体制机制障碍，强化政策引导和环境营造，形成鼓励创新、崇尚科学、敢为人先的浓厚氛围。深化科技体制机制改革</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改进科技项目组织管理方式，赋予科研单位和科研人员更大自主权</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完善财政科技投入机制，建立以绩效为导向的科技资金配置模式。加快科技管理职能从重项目管理向重综合服务转变</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支持各旗县区根据产业特色建设专业化、市场化的科技服务机构</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弘扬创新文化</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宣传创新企业、创新人物和重大创新成果，营造敢于冒险、崇尚创新、追求卓越的社会风尚。深化人才发展体制机制改革，为人才“松绑减负”，保障和落实用人单位自主权。健全以创新能力、质量、实效、贡献为导向的人才评价体系，破除“四唯”倾向。</w:t>
      </w:r>
      <w:r>
        <w:rPr>
          <w:rFonts w:hint="eastAsia" w:ascii="Times New Roman" w:hAnsi="Times New Roman" w:eastAsia="仿宋_GB2312" w:cs="方正仿宋_GBK"/>
          <w:b w:val="0"/>
          <w:bCs w:val="0"/>
          <w:color w:val="auto"/>
          <w:sz w:val="32"/>
          <w:szCs w:val="32"/>
          <w:highlight w:val="none"/>
          <w:lang w:val="en-US" w:eastAsia="zh-CN"/>
        </w:rPr>
        <w:t>强化全民科普教育，提高全民科学素质。发挥科技金融服务效能，鼓励金融机构加大对科技型中小企业信用贷款投放力度，加快发展知识产权质押融资。推进科研领域“放管服”改革，推动市林科所、市农科所、赤峰大学开展职务科技成果赋权改革，试行先赋权后转化模式。</w:t>
      </w:r>
    </w:p>
    <w:p w14:paraId="404D464A">
      <w:pPr>
        <w:keepNext w:val="0"/>
        <w:keepLines w:val="0"/>
        <w:pageBreakBefore w:val="0"/>
        <w:widowControl/>
        <w:numPr>
          <w:ilvl w:val="0"/>
          <w:numId w:val="9"/>
        </w:numPr>
        <w:kinsoku/>
        <w:wordWrap/>
        <w:topLinePunct w:val="0"/>
        <w:autoSpaceDE/>
        <w:autoSpaceDN/>
        <w:bidi w:val="0"/>
        <w:adjustRightInd/>
        <w:spacing w:before="157" w:beforeLines="50" w:after="157" w:afterLines="50" w:line="540" w:lineRule="exact"/>
        <w:ind w:firstLine="0" w:firstLineChars="0"/>
        <w:jc w:val="center"/>
        <w:textAlignment w:val="auto"/>
        <w:outlineLvl w:val="2"/>
        <w:rPr>
          <w:rFonts w:hint="eastAsia" w:ascii="楷体_GB2312" w:hAnsi="楷体_GB2312" w:eastAsia="楷体_GB2312" w:cs="楷体_GB2312"/>
          <w:b w:val="0"/>
          <w:bCs w:val="0"/>
          <w:color w:val="auto"/>
          <w:sz w:val="32"/>
          <w:szCs w:val="40"/>
          <w:highlight w:val="none"/>
          <w:u w:val="none"/>
          <w:lang w:val="en-US" w:eastAsia="zh-CN"/>
        </w:rPr>
      </w:pPr>
      <w:bookmarkStart w:id="760" w:name="_Toc19248"/>
      <w:bookmarkStart w:id="761" w:name="_Toc2437"/>
      <w:bookmarkStart w:id="762" w:name="_Toc21209"/>
      <w:bookmarkStart w:id="763" w:name="_Toc16959"/>
      <w:bookmarkStart w:id="764" w:name="_Toc23913"/>
      <w:bookmarkStart w:id="765" w:name="_Toc22206"/>
      <w:bookmarkStart w:id="766" w:name="_Toc18085"/>
      <w:bookmarkStart w:id="767" w:name="_Toc12082"/>
      <w:bookmarkStart w:id="768" w:name="_Toc23642"/>
      <w:bookmarkStart w:id="769" w:name="_Toc2559"/>
      <w:bookmarkStart w:id="770" w:name="_Toc31852"/>
      <w:bookmarkStart w:id="771" w:name="_Toc27827"/>
      <w:bookmarkStart w:id="772" w:name="_Toc21889"/>
      <w:bookmarkStart w:id="773" w:name="_Toc29065"/>
      <w:r>
        <w:rPr>
          <w:rFonts w:hint="eastAsia" w:ascii="楷体_GB2312" w:hAnsi="楷体_GB2312" w:eastAsia="楷体_GB2312" w:cs="楷体_GB2312"/>
          <w:b w:val="0"/>
          <w:bCs w:val="0"/>
          <w:color w:val="auto"/>
          <w:sz w:val="32"/>
          <w:szCs w:val="40"/>
          <w:highlight w:val="none"/>
          <w:u w:val="none"/>
          <w:lang w:val="en-US" w:eastAsia="zh-CN"/>
        </w:rPr>
        <w:t>一体推进教育科技人才发展</w:t>
      </w:r>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p>
    <w:p w14:paraId="3EF9027E">
      <w:pPr>
        <w:keepNext w:val="0"/>
        <w:keepLines w:val="0"/>
        <w:pageBreakBefore w:val="0"/>
        <w:widowControl/>
        <w:kinsoku/>
        <w:wordWrap/>
        <w:topLinePunct w:val="0"/>
        <w:autoSpaceDE/>
        <w:autoSpaceDN/>
        <w:bidi w:val="0"/>
        <w:adjustRightInd/>
        <w:spacing w:line="540" w:lineRule="exact"/>
        <w:ind w:firstLine="624" w:firstLineChars="200"/>
        <w:textAlignment w:val="auto"/>
        <w:rPr>
          <w:rFonts w:hint="eastAsia" w:ascii="Times New Roman" w:hAnsi="Times New Roman" w:eastAsia="仿宋_GB2312" w:cs="方正仿宋_GBK"/>
          <w:b w:val="0"/>
          <w:bCs w:val="0"/>
          <w:color w:val="auto"/>
          <w:sz w:val="32"/>
          <w:szCs w:val="32"/>
          <w:highlight w:val="none"/>
          <w:lang w:val="en-US" w:eastAsia="zh-CN"/>
        </w:rPr>
      </w:pPr>
      <w:r>
        <w:rPr>
          <w:rFonts w:hint="eastAsia" w:ascii="Times New Roman" w:hAnsi="Times New Roman" w:eastAsia="仿宋_GB2312" w:cs="方正仿宋_GBK"/>
          <w:b w:val="0"/>
          <w:bCs w:val="0"/>
          <w:color w:val="auto"/>
          <w:sz w:val="32"/>
          <w:szCs w:val="32"/>
          <w:highlight w:val="none"/>
          <w:lang w:val="en-US" w:eastAsia="zh-CN"/>
        </w:rPr>
        <w:t>大力实施人才强市战略，实施更加积极、开放、有效的人才政策，深化人才发展体制机制改革，着力破解人才发展难题，进一步激发人才创新创造活力。</w:t>
      </w:r>
    </w:p>
    <w:p w14:paraId="4899DC0A">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sz w:val="32"/>
          <w:szCs w:val="32"/>
          <w:highlight w:val="none"/>
          <w:lang w:val="en-US" w:eastAsia="zh-CN"/>
        </w:rPr>
      </w:pPr>
      <w:bookmarkStart w:id="774" w:name="_Toc4917"/>
      <w:r>
        <w:rPr>
          <w:rFonts w:hint="eastAsia" w:ascii="Times New Roman" w:hAnsi="Times New Roman" w:eastAsia="仿宋_GB2312" w:cs="方正仿宋_GBK"/>
          <w:b w:val="0"/>
          <w:bCs w:val="0"/>
          <w:color w:val="auto"/>
          <w:sz w:val="32"/>
          <w:szCs w:val="32"/>
          <w:highlight w:val="none"/>
          <w:lang w:val="en-US" w:eastAsia="zh-CN"/>
        </w:rPr>
        <w:t>优化人才分类培养引育</w:t>
      </w:r>
      <w:bookmarkEnd w:id="774"/>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sz w:val="32"/>
          <w:szCs w:val="32"/>
          <w:highlight w:val="none"/>
        </w:rPr>
        <w:t>健全人才引进政策体系，加大人才引进保障力度，打造区域性人才高地。</w:t>
      </w:r>
      <w:r>
        <w:rPr>
          <w:rFonts w:hint="eastAsia" w:ascii="仿宋_GB2312" w:hAnsi="仿宋_GB2312" w:eastAsia="仿宋_GB2312" w:cs="仿宋_GB2312"/>
          <w:b w:val="0"/>
          <w:bCs w:val="0"/>
          <w:sz w:val="32"/>
          <w:szCs w:val="32"/>
          <w:highlight w:val="none"/>
          <w:u w:val="none" w:color="auto"/>
          <w:lang w:val="en-US" w:eastAsia="zh-CN"/>
        </w:rPr>
        <w:t>推进“英才兴蒙”、“玉龙英才”、产业人才集聚攻坚等重点人才工程，</w:t>
      </w:r>
      <w:r>
        <w:rPr>
          <w:rFonts w:hint="eastAsia" w:ascii="Times New Roman" w:hAnsi="Times New Roman" w:eastAsia="仿宋_GB2312" w:cs="方正仿宋_GBK"/>
          <w:b w:val="0"/>
          <w:bCs w:val="0"/>
          <w:color w:val="auto"/>
          <w:sz w:val="32"/>
          <w:szCs w:val="32"/>
          <w:highlight w:val="none"/>
          <w:lang w:val="en-US"/>
        </w:rPr>
        <w:t>推行校园专项</w:t>
      </w:r>
      <w:r>
        <w:rPr>
          <w:rFonts w:hint="eastAsia" w:ascii="Times New Roman" w:hAnsi="Times New Roman" w:eastAsia="仿宋_GB2312" w:cs="方正仿宋_GBK"/>
          <w:b w:val="0"/>
          <w:bCs w:val="0"/>
          <w:color w:val="auto"/>
          <w:sz w:val="32"/>
          <w:szCs w:val="32"/>
          <w:highlight w:val="none"/>
          <w:lang w:val="en-US" w:eastAsia="zh-CN"/>
        </w:rPr>
        <w:t>引才</w:t>
      </w:r>
      <w:r>
        <w:rPr>
          <w:rFonts w:hint="eastAsia" w:ascii="Times New Roman" w:hAnsi="Times New Roman" w:eastAsia="仿宋_GB2312" w:cs="方正仿宋_GBK"/>
          <w:b w:val="0"/>
          <w:bCs w:val="0"/>
          <w:color w:val="auto"/>
          <w:sz w:val="32"/>
          <w:szCs w:val="32"/>
          <w:highlight w:val="none"/>
          <w:lang w:val="en-US"/>
        </w:rPr>
        <w:t>、“绿色通道</w:t>
      </w:r>
      <w:r>
        <w:rPr>
          <w:rFonts w:hint="eastAsia" w:ascii="Times New Roman" w:hAnsi="Times New Roman"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sz w:val="32"/>
          <w:szCs w:val="32"/>
          <w:highlight w:val="none"/>
          <w:lang w:val="en-US"/>
        </w:rPr>
        <w:t>事业编企业用”等人才引进模式。加大高层次人才引进力度</w:t>
      </w:r>
      <w:r>
        <w:rPr>
          <w:rFonts w:hint="eastAsia" w:ascii="Times New Roman" w:hAnsi="Times New Roman"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sz w:val="32"/>
          <w:szCs w:val="32"/>
          <w:highlight w:val="none"/>
          <w:lang w:val="en-US"/>
        </w:rPr>
        <w:t>深化高层次创新人才团队合作。</w:t>
      </w:r>
      <w:r>
        <w:rPr>
          <w:rFonts w:hint="eastAsia" w:ascii="Times New Roman" w:hAnsi="Times New Roman" w:eastAsia="仿宋_GB2312" w:cs="方正仿宋_GBK"/>
          <w:b w:val="0"/>
          <w:bCs w:val="0"/>
          <w:color w:val="auto"/>
          <w:sz w:val="32"/>
          <w:szCs w:val="32"/>
          <w:highlight w:val="none"/>
          <w:lang w:val="en-US" w:eastAsia="zh-CN"/>
        </w:rPr>
        <w:t>加强对外人才交流合作，推进柔性引才，探索实施“人才飞地”模式，用好在外“赤子”资源，</w:t>
      </w:r>
      <w:r>
        <w:rPr>
          <w:rFonts w:hint="eastAsia" w:ascii="Times New Roman" w:hAnsi="Times New Roman" w:eastAsia="仿宋_GB2312" w:cs="方正仿宋_GBK"/>
          <w:b w:val="0"/>
          <w:bCs w:val="0"/>
          <w:color w:val="auto"/>
          <w:sz w:val="32"/>
          <w:szCs w:val="32"/>
          <w:highlight w:val="none"/>
          <w:lang w:val="en-US"/>
        </w:rPr>
        <w:t>巩固“赤峰籍院士家乡行”活动成果</w:t>
      </w:r>
      <w:r>
        <w:rPr>
          <w:rFonts w:hint="eastAsia" w:ascii="Times New Roman" w:hAnsi="Times New Roman"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sz w:val="32"/>
          <w:szCs w:val="32"/>
          <w:highlight w:val="none"/>
          <w:lang w:val="en-US"/>
        </w:rPr>
        <w:t>着力推进蒙东人才科创园建设，全力推动高能级人才平台载体建设。加快培育本土科技服务队伍</w:t>
      </w:r>
      <w:r>
        <w:rPr>
          <w:rFonts w:hint="eastAsia" w:ascii="Times New Roman" w:hAnsi="Times New Roman"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sz w:val="32"/>
          <w:szCs w:val="32"/>
          <w:highlight w:val="none"/>
          <w:lang w:val="en-US"/>
        </w:rPr>
        <w:t>健全科技服务队伍管理机制，组建“科学家+技术经纪人+企业家”团队，建立技术经纪人协会，选派科技特派员下基层服务，推动</w:t>
      </w:r>
      <w:r>
        <w:rPr>
          <w:rFonts w:hint="eastAsia" w:ascii="Times New Roman" w:hAnsi="Times New Roman" w:eastAsia="仿宋_GB2312" w:cs="方正仿宋_GBK"/>
          <w:b w:val="0"/>
          <w:bCs w:val="0"/>
          <w:color w:val="auto"/>
          <w:sz w:val="32"/>
          <w:szCs w:val="32"/>
          <w:highlight w:val="none"/>
          <w:lang w:val="en-US" w:eastAsia="zh-CN"/>
        </w:rPr>
        <w:t>赤峰大学</w:t>
      </w:r>
      <w:r>
        <w:rPr>
          <w:rFonts w:hint="eastAsia" w:ascii="Times New Roman" w:hAnsi="Times New Roman" w:eastAsia="仿宋_GB2312" w:cs="方正仿宋_GBK"/>
          <w:b w:val="0"/>
          <w:bCs w:val="0"/>
          <w:color w:val="auto"/>
          <w:sz w:val="32"/>
          <w:szCs w:val="32"/>
          <w:highlight w:val="none"/>
          <w:lang w:val="en-US"/>
        </w:rPr>
        <w:t>等高校创新“校地合作</w:t>
      </w:r>
      <w:r>
        <w:rPr>
          <w:rFonts w:hint="eastAsia" w:ascii="Times New Roman" w:hAnsi="Times New Roman"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sz w:val="32"/>
          <w:szCs w:val="32"/>
          <w:highlight w:val="none"/>
          <w:lang w:val="en-US"/>
        </w:rPr>
        <w:t>校企合作”模式。</w:t>
      </w:r>
    </w:p>
    <w:p w14:paraId="3C4E0147">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sz w:val="32"/>
          <w:szCs w:val="32"/>
          <w:highlight w:val="none"/>
          <w:lang w:val="en-US" w:eastAsia="zh-CN"/>
        </w:rPr>
      </w:pPr>
      <w:bookmarkStart w:id="775" w:name="_Toc5166"/>
      <w:r>
        <w:rPr>
          <w:rFonts w:hint="eastAsia" w:ascii="Times New Roman" w:hAnsi="Times New Roman" w:eastAsia="仿宋_GB2312" w:cs="方正仿宋_GBK"/>
          <w:b w:val="0"/>
          <w:bCs w:val="0"/>
          <w:color w:val="auto"/>
          <w:sz w:val="32"/>
          <w:szCs w:val="32"/>
          <w:highlight w:val="none"/>
          <w:lang w:val="en-US" w:eastAsia="zh-CN"/>
        </w:rPr>
        <w:t>畅通教育科技人才良性循环</w:t>
      </w:r>
      <w:bookmarkEnd w:id="775"/>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sz w:val="32"/>
          <w:szCs w:val="32"/>
          <w:highlight w:val="none"/>
          <w:lang w:val="en-US" w:eastAsia="zh-CN"/>
        </w:rPr>
        <w:t>深化产教融合、校企联合，推动高校、职业院校围绕产业所需优化学科专业设置，提高人才培养针对性和实用性。实施中青年科技人才、卓越工程师、大国工匠、高技能人才、青年创新创业人才培育计划，培养一批留得住、用得上的本土人才。完善留住青年人政策举措，深入实施《赤峰市推进人才强市的若干措施》，从优化人才培养供给、强化就业创业指导、健全求职体系、加强困难援助、完善政策支持等方面形成合力，争取更多青年人返赤留赤。落实好人才政策待遇，健全以创新能力、质量、实效、贡献为导向的科技人才评价体系，推动职务科技成果赋权改革，激发人才创新创造动力活力。完善人才服务保障机制，</w:t>
      </w:r>
      <w:r>
        <w:rPr>
          <w:rFonts w:hint="eastAsia" w:ascii="Times New Roman" w:hAnsi="Times New Roman" w:eastAsia="仿宋_GB2312" w:cs="方正仿宋_GBK"/>
          <w:b w:val="0"/>
          <w:bCs w:val="0"/>
          <w:color w:val="auto"/>
          <w:sz w:val="32"/>
          <w:szCs w:val="32"/>
          <w:highlight w:val="none"/>
          <w:lang w:val="en-US"/>
        </w:rPr>
        <w:t>主动对接自治区“一码通”人才服务体系，开通高层次人才子女入学、家属随迁、医疗保健等领域“绿色通道”</w:t>
      </w:r>
      <w:r>
        <w:rPr>
          <w:rFonts w:hint="eastAsia" w:ascii="Times New Roman" w:hAnsi="Times New Roman" w:eastAsia="仿宋_GB2312" w:cs="方正仿宋_GBK"/>
          <w:b w:val="0"/>
          <w:bCs w:val="0"/>
          <w:color w:val="auto"/>
          <w:sz w:val="32"/>
          <w:szCs w:val="32"/>
          <w:highlight w:val="none"/>
          <w:lang w:val="en-US" w:eastAsia="zh-CN"/>
        </w:rPr>
        <w:t>，构建全方位、多层次、立体化的人才服务体系，优化人才发展环境，加大对人才发展的投入力度，解决人才后顾之忧，让各类人才安心、安身、安业。</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9"/>
      </w:tblGrid>
      <w:tr w14:paraId="3A217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037A6112">
            <w:pPr>
              <w:keepNext w:val="0"/>
              <w:keepLines w:val="0"/>
              <w:pageBreakBefore w:val="0"/>
              <w:kinsoku/>
              <w:wordWrap/>
              <w:topLinePunct w:val="0"/>
              <w:autoSpaceDE/>
              <w:autoSpaceDN/>
              <w:bidi w:val="0"/>
              <w:adjustRightInd/>
              <w:spacing w:line="540" w:lineRule="exact"/>
              <w:ind w:firstLine="464" w:firstLineChars="200"/>
              <w:jc w:val="center"/>
              <w:textAlignment w:val="auto"/>
              <w:rPr>
                <w:rFonts w:ascii="Times New Roman" w:hAnsi="Times New Roman" w:eastAsia="方正仿宋_GBK" w:cs="Times New Roman"/>
                <w:b w:val="0"/>
                <w:bCs w:val="0"/>
                <w:sz w:val="24"/>
                <w:highlight w:val="none"/>
              </w:rPr>
            </w:pPr>
            <w:r>
              <w:rPr>
                <w:rFonts w:hint="eastAsia" w:ascii="Times New Roman" w:hAnsi="Times New Roman" w:eastAsia="仿宋_GB2312" w:cs="Times New Roman"/>
                <w:b w:val="0"/>
                <w:bCs w:val="0"/>
                <w:sz w:val="24"/>
                <w:highlight w:val="none"/>
              </w:rPr>
              <w:t>专栏</w:t>
            </w:r>
            <w:r>
              <w:rPr>
                <w:rFonts w:hint="eastAsia" w:ascii="Times New Roman" w:hAnsi="Times New Roman" w:eastAsia="仿宋_GB2312" w:cs="Times New Roman"/>
                <w:b w:val="0"/>
                <w:bCs w:val="0"/>
                <w:sz w:val="24"/>
                <w:highlight w:val="none"/>
                <w:lang w:val="en-US" w:eastAsia="zh-CN"/>
              </w:rPr>
              <w:t>14 科技创新</w:t>
            </w:r>
            <w:r>
              <w:rPr>
                <w:rFonts w:hint="eastAsia" w:ascii="Times New Roman" w:hAnsi="Times New Roman" w:eastAsia="仿宋_GB2312" w:cs="Times New Roman"/>
                <w:b w:val="0"/>
                <w:bCs w:val="0"/>
                <w:sz w:val="24"/>
                <w:highlight w:val="none"/>
              </w:rPr>
              <w:t>重大工程</w:t>
            </w:r>
          </w:p>
        </w:tc>
      </w:tr>
      <w:tr w14:paraId="15B0A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0A37B22D">
            <w:pPr>
              <w:keepNext w:val="0"/>
              <w:keepLines w:val="0"/>
              <w:pageBreakBefore w:val="0"/>
              <w:kinsoku/>
              <w:wordWrap/>
              <w:topLinePunct w:val="0"/>
              <w:autoSpaceDE/>
              <w:autoSpaceDN/>
              <w:bidi w:val="0"/>
              <w:adjustRightInd/>
              <w:spacing w:line="540" w:lineRule="exact"/>
              <w:ind w:firstLine="404" w:firstLineChars="200"/>
              <w:textAlignment w:val="auto"/>
              <w:rPr>
                <w:rFonts w:hint="eastAsia" w:ascii="Times New Roman" w:hAnsi="Times New Roman" w:eastAsia="仿宋_GB2312"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创新平台建设重点工程：加强赤峰市产业创新研究院、京蒙科创产业园、“蒙科聚”赤峰分中心、赤峰市大学科技园及其他专业创新平台载体建设，支持杂粮育种、肉鸭育种、医药化工、口腔颅颌面疾病研究等现有自治区级重点实验室提升效能，推动瑞阳化工、天奇制药创建自治区级技术创新中心，建立高校和企业、高等教育与区域创新发展深度融合的科研组织模式和人才培养模式，强化科技创新成果和拔尖创新人才的高质量供给，聚焦新能源、新材料、新型化工等领域培育建设市级技术创新中心、重点实验室、科普基地。</w:t>
            </w:r>
          </w:p>
          <w:p w14:paraId="5BE342F2">
            <w:pPr>
              <w:keepNext w:val="0"/>
              <w:keepLines w:val="0"/>
              <w:pageBreakBefore w:val="0"/>
              <w:kinsoku/>
              <w:wordWrap/>
              <w:topLinePunct w:val="0"/>
              <w:autoSpaceDE/>
              <w:autoSpaceDN/>
              <w:bidi w:val="0"/>
              <w:adjustRightInd/>
              <w:spacing w:line="540" w:lineRule="exact"/>
              <w:ind w:firstLine="404" w:firstLineChars="200"/>
              <w:textAlignment w:val="auto"/>
              <w:rPr>
                <w:rFonts w:hint="default" w:ascii="Times New Roman" w:hAnsi="Times New Roman" w:eastAsia="方正仿宋_GBK"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关键核心技术攻关重点工程：在工业、农牧业、社会发展等领域开展关键技术攻关，力求解决一批制约产业发展、提升民生福祉的技术问题。工业领域，开展大规模风光储绿电制氢氨醇关键技术攻关；支持开展冶炼烟尘尾渣资源化利用、炼锌主系统除砷工艺、铝丝材材料轻化、性能强化等技术研究；农牧业领域，重点围绕罕山白绒山羊和白羽肉鸭等畜禽的育种、繁育及智慧养殖开展关键技术攻关，持续发掘玉米、谷子、绿豆等优势作物优质种质资源，开展新品种选育和配套栽培技术研究；社会发展领域，依托国家区域医疗中心和口腔颅颌面疾病研究自治区级重点实验室，开展重大疾病防控和精准诊疗技术攻关，鼓励医药企业以临床用药需求为导向，强化新品研发生产和药品生产工艺研究。生态环境领域，开展森林草原湿地生态修复、荒漠化治理和防沙治沙等技术研究和应用。</w:t>
            </w:r>
          </w:p>
        </w:tc>
      </w:tr>
    </w:tbl>
    <w:p w14:paraId="7A2739FC">
      <w:pPr>
        <w:keepNext w:val="0"/>
        <w:keepLines w:val="0"/>
        <w:pageBreakBefore w:val="0"/>
        <w:kinsoku/>
        <w:wordWrap/>
        <w:topLinePunct w:val="0"/>
        <w:autoSpaceDE/>
        <w:autoSpaceDN/>
        <w:bidi w:val="0"/>
        <w:adjustRightInd/>
        <w:spacing w:line="540" w:lineRule="exact"/>
        <w:textAlignment w:val="auto"/>
        <w:rPr>
          <w:rFonts w:hint="default" w:ascii="Times New Roman" w:hAnsi="Times New Roman" w:eastAsia="等线" w:cs="Times New Roman"/>
          <w:b w:val="0"/>
          <w:bCs w:val="0"/>
          <w:sz w:val="21"/>
          <w:szCs w:val="22"/>
          <w:highlight w:val="none"/>
        </w:rPr>
      </w:pPr>
    </w:p>
    <w:p w14:paraId="2DB81CB2">
      <w:pPr>
        <w:keepNext w:val="0"/>
        <w:keepLines w:val="0"/>
        <w:pageBreakBefore w:val="0"/>
        <w:widowControl/>
        <w:numPr>
          <w:ilvl w:val="0"/>
          <w:numId w:val="2"/>
        </w:numPr>
        <w:kinsoku/>
        <w:wordWrap/>
        <w:overflowPunct/>
        <w:topLinePunct w:val="0"/>
        <w:autoSpaceDE/>
        <w:autoSpaceDN/>
        <w:bidi w:val="0"/>
        <w:adjustRightInd/>
        <w:snapToGrid/>
        <w:spacing w:before="157" w:beforeLines="50" w:after="157" w:afterLines="50" w:line="540" w:lineRule="exact"/>
        <w:jc w:val="center"/>
        <w:textAlignment w:val="auto"/>
        <w:outlineLvl w:val="1"/>
        <w:rPr>
          <w:rFonts w:hint="eastAsia" w:ascii="黑体" w:hAnsi="黑体" w:eastAsia="黑体" w:cs="黑体"/>
          <w:b w:val="0"/>
          <w:bCs w:val="0"/>
          <w:sz w:val="32"/>
          <w:szCs w:val="32"/>
          <w:highlight w:val="none"/>
          <w:u w:val="none"/>
          <w:lang w:eastAsia="zh-CN"/>
        </w:rPr>
      </w:pPr>
      <w:bookmarkStart w:id="776" w:name="_Toc11000"/>
      <w:bookmarkStart w:id="777" w:name="_Toc10000"/>
      <w:bookmarkStart w:id="778" w:name="_Toc17654"/>
      <w:bookmarkStart w:id="779" w:name="_Toc29403"/>
      <w:bookmarkStart w:id="780" w:name="_Toc9080"/>
      <w:bookmarkStart w:id="781" w:name="_Toc22608"/>
      <w:bookmarkStart w:id="782" w:name="_Toc28843"/>
      <w:bookmarkStart w:id="783" w:name="_Toc32195"/>
      <w:bookmarkStart w:id="784" w:name="_Toc15970"/>
      <w:bookmarkStart w:id="785" w:name="_Toc3253"/>
      <w:bookmarkStart w:id="786" w:name="_Toc11224"/>
      <w:bookmarkStart w:id="787" w:name="_Toc27713"/>
      <w:bookmarkStart w:id="788" w:name="_Toc13752"/>
      <w:bookmarkStart w:id="789" w:name="_Toc188"/>
      <w:r>
        <w:rPr>
          <w:rFonts w:hint="eastAsia" w:ascii="黑体" w:hAnsi="黑体" w:eastAsia="黑体" w:cs="黑体"/>
          <w:b w:val="0"/>
          <w:bCs w:val="0"/>
          <w:sz w:val="32"/>
          <w:szCs w:val="32"/>
          <w:highlight w:val="none"/>
          <w:u w:val="none"/>
          <w:lang w:val="en-US" w:eastAsia="zh-CN"/>
        </w:rPr>
        <w:t>深化</w:t>
      </w:r>
      <w:r>
        <w:rPr>
          <w:rFonts w:hint="eastAsia" w:ascii="黑体" w:hAnsi="黑体" w:eastAsia="黑体" w:cs="黑体"/>
          <w:b w:val="0"/>
          <w:bCs w:val="0"/>
          <w:sz w:val="32"/>
          <w:szCs w:val="32"/>
          <w:highlight w:val="none"/>
          <w:u w:val="none"/>
          <w:lang w:eastAsia="zh-CN"/>
        </w:rPr>
        <w:t>重点领域改革，</w:t>
      </w:r>
      <w:r>
        <w:rPr>
          <w:rFonts w:hint="eastAsia" w:ascii="黑体" w:hAnsi="黑体" w:eastAsia="黑体" w:cs="黑体"/>
          <w:b w:val="0"/>
          <w:bCs w:val="0"/>
          <w:sz w:val="32"/>
          <w:szCs w:val="32"/>
          <w:highlight w:val="none"/>
          <w:u w:val="none"/>
          <w:lang w:val="en-US" w:eastAsia="zh-CN"/>
        </w:rPr>
        <w:t>激发发展</w:t>
      </w:r>
      <w:r>
        <w:rPr>
          <w:rFonts w:hint="eastAsia" w:ascii="黑体" w:hAnsi="黑体" w:eastAsia="黑体" w:cs="黑体"/>
          <w:b w:val="0"/>
          <w:bCs w:val="0"/>
          <w:sz w:val="32"/>
          <w:szCs w:val="32"/>
          <w:highlight w:val="none"/>
          <w:u w:val="none"/>
          <w:lang w:eastAsia="zh-CN"/>
        </w:rPr>
        <w:t>内生动力</w:t>
      </w:r>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p>
    <w:p w14:paraId="239083B0">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color w:val="auto"/>
          <w:highlight w:val="none"/>
        </w:rPr>
        <w:t>紧密围绕党的二十届三中全会关于进一步全面深化改革、推进中国式现代化的战略部署，</w:t>
      </w:r>
      <w:r>
        <w:rPr>
          <w:rFonts w:hint="eastAsia" w:ascii="Times New Roman" w:hAnsi="Times New Roman" w:eastAsia="仿宋_GB2312" w:cs="方正仿宋_GBK"/>
          <w:b w:val="0"/>
          <w:bCs w:val="0"/>
          <w:color w:val="auto"/>
          <w:highlight w:val="none"/>
          <w:lang w:val="en-US" w:eastAsia="zh-CN"/>
        </w:rPr>
        <w:t>推动改革举措系统集成、协同高效，</w:t>
      </w:r>
      <w:r>
        <w:rPr>
          <w:rFonts w:hint="eastAsia" w:ascii="Times New Roman" w:hAnsi="Times New Roman" w:eastAsia="仿宋_GB2312" w:cs="方正仿宋_GBK"/>
          <w:b w:val="0"/>
          <w:bCs w:val="0"/>
          <w:color w:val="auto"/>
          <w:highlight w:val="none"/>
        </w:rPr>
        <w:t>深化经济社会重点领域和关键环节改革，着力破解深层次体制机制障碍</w:t>
      </w:r>
      <w:r>
        <w:rPr>
          <w:rFonts w:hint="eastAsia" w:ascii="Times New Roman" w:hAnsi="Times New Roman" w:eastAsia="仿宋_GB2312" w:cs="方正仿宋_GBK"/>
          <w:b w:val="0"/>
          <w:bCs w:val="0"/>
          <w:color w:val="auto"/>
          <w:highlight w:val="none"/>
          <w:lang w:val="en-US" w:eastAsia="zh-CN"/>
        </w:rPr>
        <w:t>，加快构建同高质量发展相适应的制度体系。</w:t>
      </w:r>
    </w:p>
    <w:p w14:paraId="7F8A7480">
      <w:pPr>
        <w:keepNext w:val="0"/>
        <w:keepLines w:val="0"/>
        <w:pageBreakBefore w:val="0"/>
        <w:widowControl/>
        <w:numPr>
          <w:ilvl w:val="0"/>
          <w:numId w:val="10"/>
        </w:numPr>
        <w:kinsoku/>
        <w:wordWrap/>
        <w:overflowPunct/>
        <w:topLinePunct w:val="0"/>
        <w:autoSpaceDE/>
        <w:autoSpaceDN/>
        <w:bidi w:val="0"/>
        <w:adjustRightInd/>
        <w:snapToGrid/>
        <w:spacing w:before="157" w:beforeLines="50" w:after="157" w:afterLines="50" w:line="540" w:lineRule="exact"/>
        <w:ind w:firstLine="0" w:firstLineChars="0"/>
        <w:jc w:val="center"/>
        <w:textAlignment w:val="auto"/>
        <w:outlineLvl w:val="2"/>
        <w:rPr>
          <w:rFonts w:hint="eastAsia" w:ascii="楷体_GB2312" w:hAnsi="楷体_GB2312" w:eastAsia="楷体_GB2312" w:cs="楷体_GB2312"/>
          <w:b w:val="0"/>
          <w:bCs w:val="0"/>
          <w:color w:val="auto"/>
          <w:sz w:val="32"/>
          <w:szCs w:val="40"/>
          <w:highlight w:val="none"/>
          <w:u w:val="none" w:color="auto"/>
          <w:lang w:val="en-US" w:eastAsia="zh-CN"/>
        </w:rPr>
      </w:pPr>
      <w:bookmarkStart w:id="790" w:name="_Toc12852"/>
      <w:bookmarkStart w:id="791" w:name="_Toc9005"/>
      <w:bookmarkStart w:id="792" w:name="_Toc25699"/>
      <w:bookmarkStart w:id="793" w:name="_Toc19604"/>
      <w:bookmarkStart w:id="794" w:name="_Toc19571"/>
      <w:bookmarkStart w:id="795" w:name="_Toc12094"/>
      <w:bookmarkStart w:id="796" w:name="_Toc10326"/>
      <w:bookmarkStart w:id="797" w:name="_Toc6280"/>
      <w:bookmarkStart w:id="798" w:name="_Toc31074"/>
      <w:bookmarkStart w:id="799" w:name="_Toc9412"/>
      <w:bookmarkStart w:id="800" w:name="_Toc25951"/>
      <w:bookmarkStart w:id="801" w:name="_Toc4556"/>
      <w:bookmarkStart w:id="802" w:name="_Toc30168"/>
      <w:bookmarkStart w:id="803" w:name="_Toc27290"/>
      <w:r>
        <w:rPr>
          <w:rFonts w:hint="eastAsia" w:ascii="楷体_GB2312" w:hAnsi="楷体_GB2312" w:eastAsia="楷体_GB2312" w:cs="楷体_GB2312"/>
          <w:b w:val="0"/>
          <w:bCs w:val="0"/>
          <w:color w:val="auto"/>
          <w:sz w:val="32"/>
          <w:szCs w:val="40"/>
          <w:highlight w:val="none"/>
          <w:u w:val="none" w:color="auto"/>
          <w:lang w:val="en-US" w:eastAsia="zh-CN"/>
        </w:rPr>
        <w:t>完善要素市场化配置体制机制</w:t>
      </w:r>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p>
    <w:p w14:paraId="1E1EBD53">
      <w:pPr>
        <w:keepNext w:val="0"/>
        <w:keepLines w:val="0"/>
        <w:pageBreakBefore w:val="0"/>
        <w:widowControl/>
        <w:kinsoku/>
        <w:wordWrap/>
        <w:topLinePunct w:val="0"/>
        <w:autoSpaceDE/>
        <w:autoSpaceDN/>
        <w:bidi w:val="0"/>
        <w:adjustRightInd/>
        <w:spacing w:line="540" w:lineRule="exact"/>
        <w:ind w:firstLine="624" w:firstLineChars="200"/>
        <w:textAlignment w:val="auto"/>
        <w:rPr>
          <w:rFonts w:hint="eastAsia" w:ascii="Times New Roman" w:hAnsi="Times New Roman" w:eastAsia="仿宋_GB2312" w:cs="方正仿宋_GBK"/>
          <w:b w:val="0"/>
          <w:bCs w:val="0"/>
          <w:color w:val="auto"/>
          <w:sz w:val="32"/>
          <w:szCs w:val="32"/>
          <w:highlight w:val="none"/>
          <w:lang w:val="en-US" w:eastAsia="zh-CN"/>
        </w:rPr>
      </w:pPr>
      <w:r>
        <w:rPr>
          <w:rFonts w:hint="eastAsia" w:ascii="仿宋_GB2312" w:hAnsi="仿宋_GB2312" w:eastAsia="仿宋_GB2312" w:cs="仿宋_GB2312"/>
          <w:b w:val="0"/>
          <w:bCs w:val="0"/>
          <w:sz w:val="32"/>
          <w:szCs w:val="32"/>
          <w:highlight w:val="none"/>
          <w:u w:val="none" w:color="auto"/>
          <w:lang w:val="en-US" w:eastAsia="zh-CN"/>
        </w:rPr>
        <w:t>积极推进要素市场化配置改革，完善要素市场制度和规则，着力破除阻碍要素自由流动和高效配置的体制机制障碍，推动要素质量逐步提高、生产要素畅通流动、各类资源高效配置、市场潜力充分释放，建设</w:t>
      </w:r>
      <w:r>
        <w:rPr>
          <w:rFonts w:hint="eastAsia" w:ascii="Times New Roman" w:hAnsi="Times New Roman" w:eastAsia="仿宋_GB2312" w:cs="方正仿宋_GBK"/>
          <w:b w:val="0"/>
          <w:bCs w:val="0"/>
          <w:color w:val="auto"/>
          <w:sz w:val="32"/>
          <w:szCs w:val="32"/>
          <w:highlight w:val="none"/>
          <w:lang w:val="en-US" w:eastAsia="zh-CN"/>
        </w:rPr>
        <w:t>高标准市场体系。</w:t>
      </w:r>
    </w:p>
    <w:p w14:paraId="351A541B">
      <w:pPr>
        <w:keepNext w:val="0"/>
        <w:keepLines w:val="0"/>
        <w:pageBreakBefore w:val="0"/>
        <w:widowControl/>
        <w:kinsoku/>
        <w:wordWrap/>
        <w:topLinePunct w:val="0"/>
        <w:autoSpaceDE/>
        <w:autoSpaceDN/>
        <w:bidi w:val="0"/>
        <w:adjustRightInd/>
        <w:spacing w:line="540" w:lineRule="exact"/>
        <w:ind w:firstLine="624" w:firstLineChars="200"/>
        <w:textAlignment w:val="auto"/>
        <w:rPr>
          <w:rFonts w:hint="eastAsia" w:ascii="Times New Roman" w:hAnsi="Times New Roman" w:eastAsia="仿宋_GB2312" w:cs="方正仿宋_GBK"/>
          <w:b w:val="0"/>
          <w:bCs w:val="0"/>
          <w:color w:val="auto"/>
          <w:sz w:val="32"/>
          <w:szCs w:val="32"/>
          <w:highlight w:val="none"/>
          <w:lang w:val="en-US" w:eastAsia="zh-CN"/>
        </w:rPr>
      </w:pPr>
      <w:r>
        <w:rPr>
          <w:rFonts w:hint="eastAsia" w:ascii="Times New Roman" w:hAnsi="Times New Roman" w:eastAsia="仿宋_GB2312" w:cs="方正仿宋_GBK"/>
          <w:b w:val="0"/>
          <w:bCs w:val="0"/>
          <w:color w:val="auto"/>
          <w:sz w:val="32"/>
          <w:szCs w:val="32"/>
          <w:highlight w:val="none"/>
          <w:lang w:val="en-US" w:eastAsia="zh-CN"/>
        </w:rPr>
        <w:t>推进土地要素集约高效配置。严格落实国土</w:t>
      </w:r>
      <w:r>
        <w:rPr>
          <w:rFonts w:hint="eastAsia" w:ascii="仿宋_GB2312" w:hAnsi="仿宋_GB2312" w:eastAsia="仿宋_GB2312" w:cs="仿宋_GB2312"/>
          <w:b w:val="0"/>
          <w:bCs w:val="0"/>
          <w:sz w:val="32"/>
          <w:szCs w:val="32"/>
          <w:highlight w:val="none"/>
          <w:u w:val="none" w:color="auto"/>
          <w:lang w:val="en-US" w:eastAsia="zh-CN"/>
        </w:rPr>
        <w:t>空间规划及三条控制线管控要求，开展土地整治工作，依法依规优化各类空间规模、结构、布局。深化产业用地市场化改革，鼓励采用长期租赁、先租后让、弹性年期供应等方式供应工业用地。盘活存量土地和低效建设用地，结合城市更新，推动以市场化方式盘活低效建设用地和闲置耕地。探索以市场化方式推进存量土地开发建设。健全城乡统一的建设用地市场，在坚决守住土地公有制性质不改变、耕地红线不突破、农民利益不受损三条底线的前提下，探索盘活利用闲置农房的</w:t>
      </w:r>
      <w:r>
        <w:rPr>
          <w:rFonts w:hint="eastAsia" w:ascii="Times New Roman" w:hAnsi="Times New Roman" w:eastAsia="仿宋_GB2312" w:cs="方正仿宋_GBK"/>
          <w:b w:val="0"/>
          <w:bCs w:val="0"/>
          <w:color w:val="auto"/>
          <w:sz w:val="32"/>
          <w:szCs w:val="32"/>
          <w:highlight w:val="none"/>
          <w:lang w:val="en-US" w:eastAsia="zh-CN"/>
        </w:rPr>
        <w:t>有效路径，完善闲置农房盘活利用政策。</w:t>
      </w:r>
    </w:p>
    <w:p w14:paraId="2D8E3586">
      <w:pPr>
        <w:keepNext w:val="0"/>
        <w:keepLines w:val="0"/>
        <w:pageBreakBefore w:val="0"/>
        <w:widowControl/>
        <w:kinsoku/>
        <w:wordWrap/>
        <w:topLinePunct w:val="0"/>
        <w:autoSpaceDE/>
        <w:autoSpaceDN/>
        <w:bidi w:val="0"/>
        <w:adjustRightInd/>
        <w:spacing w:line="540" w:lineRule="exact"/>
        <w:ind w:firstLine="624" w:firstLineChars="200"/>
        <w:textAlignment w:val="auto"/>
        <w:rPr>
          <w:rFonts w:hint="eastAsia" w:ascii="Times New Roman" w:hAnsi="Times New Roman" w:eastAsia="仿宋_GB2312" w:cs="方正仿宋_GBK"/>
          <w:b w:val="0"/>
          <w:bCs w:val="0"/>
          <w:color w:val="auto"/>
          <w:sz w:val="32"/>
          <w:szCs w:val="32"/>
          <w:highlight w:val="none"/>
          <w:lang w:val="en-US" w:eastAsia="zh-CN"/>
        </w:rPr>
      </w:pPr>
      <w:r>
        <w:rPr>
          <w:rFonts w:hint="eastAsia" w:ascii="Times New Roman" w:hAnsi="Times New Roman" w:eastAsia="仿宋_GB2312" w:cs="方正仿宋_GBK"/>
          <w:b w:val="0"/>
          <w:bCs w:val="0"/>
          <w:color w:val="auto"/>
          <w:sz w:val="32"/>
          <w:szCs w:val="32"/>
          <w:highlight w:val="none"/>
          <w:lang w:val="en-US" w:eastAsia="zh-CN"/>
        </w:rPr>
        <w:t>探索建立数据要素流通规则。完善公共数据开放共享机制，推动政务数据共享、公共数据开放和授权运营、安</w:t>
      </w:r>
      <w:r>
        <w:rPr>
          <w:rFonts w:hint="eastAsia" w:ascii="仿宋_GB2312" w:hAnsi="仿宋_GB2312" w:eastAsia="仿宋_GB2312" w:cs="仿宋_GB2312"/>
          <w:b w:val="0"/>
          <w:bCs w:val="0"/>
          <w:sz w:val="32"/>
          <w:szCs w:val="32"/>
          <w:highlight w:val="none"/>
          <w:u w:val="none" w:color="auto"/>
          <w:lang w:val="en-US" w:eastAsia="zh-CN"/>
        </w:rPr>
        <w:t>全保障管理。推进企业登记监管、卫生健康、气象等高价值数据集向社会开放。拓展数据开发应用场景，培育数字经济新产业、新业态、新模式，支持构建农业、工业、交通运输、教育、安防、城市管理、公共资源交易等领域规范化数据开发利用场景。实施应用场景“十百千工程”，推进一批以工业互联网、第五代移动通信（5G）、自动驾驶、智能城市感知、超高清视频应用等为重点的行业场景应用。加强</w:t>
      </w:r>
      <w:r>
        <w:rPr>
          <w:rFonts w:hint="eastAsia" w:ascii="Times New Roman" w:hAnsi="Times New Roman" w:eastAsia="仿宋_GB2312" w:cs="方正仿宋_GBK"/>
          <w:b w:val="0"/>
          <w:bCs w:val="0"/>
          <w:color w:val="auto"/>
          <w:sz w:val="32"/>
          <w:szCs w:val="32"/>
          <w:highlight w:val="none"/>
          <w:lang w:val="en-US" w:eastAsia="zh-CN"/>
        </w:rPr>
        <w:t>数据安全保护，统筹发展和安全，推动数据流通和融合应用。</w:t>
      </w:r>
    </w:p>
    <w:p w14:paraId="5AB24623">
      <w:pPr>
        <w:keepNext w:val="0"/>
        <w:keepLines w:val="0"/>
        <w:pageBreakBefore w:val="0"/>
        <w:widowControl/>
        <w:kinsoku/>
        <w:wordWrap/>
        <w:topLinePunct w:val="0"/>
        <w:autoSpaceDE/>
        <w:autoSpaceDN/>
        <w:bidi w:val="0"/>
        <w:adjustRightInd/>
        <w:spacing w:line="540" w:lineRule="exact"/>
        <w:ind w:firstLine="624" w:firstLineChars="200"/>
        <w:textAlignment w:val="auto"/>
        <w:rPr>
          <w:rFonts w:hint="eastAsia" w:ascii="仿宋_GB2312" w:hAnsi="仿宋_GB2312" w:eastAsia="仿宋_GB2312" w:cs="仿宋_GB2312"/>
          <w:b w:val="0"/>
          <w:bCs w:val="0"/>
          <w:sz w:val="32"/>
          <w:szCs w:val="32"/>
          <w:highlight w:val="none"/>
          <w:u w:val="none" w:color="auto"/>
          <w:lang w:val="en-US" w:eastAsia="zh-CN"/>
        </w:rPr>
      </w:pPr>
      <w:r>
        <w:rPr>
          <w:rFonts w:hint="eastAsia" w:ascii="Times New Roman" w:hAnsi="Times New Roman" w:eastAsia="仿宋_GB2312" w:cs="方正仿宋_GBK"/>
          <w:b w:val="0"/>
          <w:bCs w:val="0"/>
          <w:color w:val="auto"/>
          <w:sz w:val="32"/>
          <w:szCs w:val="32"/>
          <w:highlight w:val="none"/>
          <w:lang w:val="en-US" w:eastAsia="zh-CN"/>
        </w:rPr>
        <w:t>强化资本要素服务实体经济。增加</w:t>
      </w:r>
      <w:r>
        <w:rPr>
          <w:rFonts w:hint="eastAsia" w:ascii="仿宋_GB2312" w:hAnsi="仿宋_GB2312" w:eastAsia="仿宋_GB2312" w:cs="仿宋_GB2312"/>
          <w:b w:val="0"/>
          <w:bCs w:val="0"/>
          <w:sz w:val="32"/>
          <w:szCs w:val="32"/>
          <w:highlight w:val="none"/>
          <w:u w:val="none" w:color="auto"/>
          <w:lang w:val="en-US" w:eastAsia="zh-CN"/>
        </w:rPr>
        <w:t>金融服务有效供给，加强重大产业项目与金融机构对接，探索银行机构与外部股权投资机构深化合作。加强政府性融资担保体系建设，提升担保机构融资担保功能。探索设立产业发展基金。对接多层次资本市场，开展资本市场业务培训，培育和支持企业上市。支持符合条件的企业发行公司信用类债券。</w:t>
      </w:r>
    </w:p>
    <w:p w14:paraId="3EBD5CE8">
      <w:pPr>
        <w:pStyle w:val="43"/>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24" w:firstLineChars="200"/>
        <w:textAlignment w:val="auto"/>
        <w:outlineLvl w:val="3"/>
        <w:rPr>
          <w:rFonts w:hint="eastAsia" w:ascii="仿宋_GB2312" w:hAnsi="仿宋_GB2312" w:eastAsia="仿宋_GB2312" w:cs="仿宋_GB2312"/>
          <w:b w:val="0"/>
          <w:bCs w:val="0"/>
          <w:sz w:val="32"/>
          <w:szCs w:val="32"/>
          <w:highlight w:val="none"/>
          <w:u w:val="none" w:color="auto"/>
          <w:lang w:val="en-US" w:eastAsia="zh-CN"/>
        </w:rPr>
      </w:pPr>
      <w:r>
        <w:rPr>
          <w:rFonts w:hint="eastAsia" w:eastAsia="仿宋_GB2312" w:cs="方正仿宋_GBK"/>
          <w:b w:val="0"/>
          <w:bCs w:val="0"/>
          <w:color w:val="auto"/>
          <w:sz w:val="32"/>
          <w:szCs w:val="32"/>
          <w:highlight w:val="none"/>
          <w:u w:val="none"/>
          <w:lang w:val="en-US" w:eastAsia="zh-CN"/>
        </w:rPr>
        <w:t>全面</w:t>
      </w:r>
      <w:r>
        <w:rPr>
          <w:rFonts w:hint="eastAsia" w:ascii="Times New Roman" w:hAnsi="Times New Roman" w:eastAsia="仿宋_GB2312" w:cs="方正仿宋_GBK"/>
          <w:b w:val="0"/>
          <w:bCs w:val="0"/>
          <w:color w:val="auto"/>
          <w:sz w:val="32"/>
          <w:szCs w:val="32"/>
          <w:highlight w:val="none"/>
          <w:u w:val="none"/>
          <w:lang w:val="en-US" w:eastAsia="zh-CN"/>
        </w:rPr>
        <w:t>提高要素协同配置效率</w:t>
      </w:r>
      <w:r>
        <w:rPr>
          <w:rFonts w:hint="eastAsia" w:eastAsia="仿宋_GB2312" w:cs="方正仿宋_GBK"/>
          <w:b w:val="0"/>
          <w:bCs w:val="0"/>
          <w:color w:val="auto"/>
          <w:sz w:val="32"/>
          <w:szCs w:val="32"/>
          <w:highlight w:val="none"/>
          <w:u w:val="none"/>
          <w:lang w:val="en-US" w:eastAsia="zh-CN"/>
        </w:rPr>
        <w:t>。</w:t>
      </w:r>
      <w:r>
        <w:rPr>
          <w:rFonts w:hint="eastAsia" w:ascii="仿宋_GB2312" w:hAnsi="仿宋_GB2312" w:eastAsia="仿宋_GB2312" w:cs="仿宋_GB2312"/>
          <w:b w:val="0"/>
          <w:bCs w:val="0"/>
          <w:sz w:val="32"/>
          <w:szCs w:val="32"/>
          <w:highlight w:val="none"/>
          <w:u w:val="none" w:color="auto"/>
          <w:lang w:val="en-US" w:eastAsia="zh-CN"/>
        </w:rPr>
        <w:t>完善要素市场化交易平台，提</w:t>
      </w:r>
      <w:r>
        <w:rPr>
          <w:rFonts w:hint="eastAsia" w:ascii="仿宋_GB2312" w:hAnsi="仿宋_GB2312" w:eastAsia="仿宋_GB2312" w:cs="仿宋_GB2312"/>
          <w:b w:val="0"/>
          <w:bCs w:val="0"/>
          <w:kern w:val="2"/>
          <w:sz w:val="32"/>
          <w:szCs w:val="32"/>
          <w:highlight w:val="none"/>
          <w:u w:val="none" w:color="auto"/>
          <w:lang w:val="en-US" w:eastAsia="zh-CN" w:bidi="ar-SA"/>
        </w:rPr>
        <w:t>升公共资源交易平台服务能力，推动适合以市场化方式配置的自然资源、资产股权、环境权等公共资源纳入统一平台体系。支持要素交易平台与各类金融机构、中介机构合作，鼓励探索非银行机构接入电子保函平台，形成涵盖产权界定、价格评估、流转交易、担保、保险等业务的综合服务体系。完善主要由市场供求关系决定要素价格机制，防止政府对价格形成的不当干预。健全劳动、资本、土地、知识、技术、管理、数据等生产要素由市场评价贡献、按贡献决定报酬的机制，实现资源配置效率最优化和效益最大化。</w:t>
      </w:r>
    </w:p>
    <w:p w14:paraId="21DF71C5">
      <w:pPr>
        <w:keepNext w:val="0"/>
        <w:keepLines w:val="0"/>
        <w:pageBreakBefore w:val="0"/>
        <w:widowControl/>
        <w:numPr>
          <w:ilvl w:val="0"/>
          <w:numId w:val="10"/>
        </w:numPr>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u w:val="none"/>
          <w:lang w:val="en-US" w:eastAsia="zh-CN"/>
        </w:rPr>
      </w:pPr>
      <w:bookmarkStart w:id="804" w:name="_Toc1782"/>
      <w:bookmarkStart w:id="805" w:name="_Toc30124"/>
      <w:bookmarkStart w:id="806" w:name="_Toc12773"/>
      <w:bookmarkStart w:id="807" w:name="_Toc12693"/>
      <w:bookmarkStart w:id="808" w:name="_Toc12293"/>
      <w:bookmarkStart w:id="809" w:name="_Toc29181"/>
      <w:bookmarkStart w:id="810" w:name="_Toc28502"/>
      <w:bookmarkStart w:id="811" w:name="_Toc32067"/>
      <w:bookmarkStart w:id="812" w:name="_Toc22589"/>
      <w:bookmarkStart w:id="813" w:name="_Toc19276"/>
      <w:bookmarkStart w:id="814" w:name="_Toc13607"/>
      <w:bookmarkStart w:id="815" w:name="_Toc13529"/>
      <w:bookmarkStart w:id="816" w:name="_Toc12707"/>
      <w:bookmarkStart w:id="817" w:name="_Toc26212"/>
      <w:r>
        <w:rPr>
          <w:rFonts w:hint="eastAsia" w:ascii="楷体_GB2312" w:hAnsi="楷体_GB2312" w:eastAsia="楷体_GB2312" w:cs="楷体_GB2312"/>
          <w:b w:val="0"/>
          <w:bCs w:val="0"/>
          <w:color w:val="auto"/>
          <w:sz w:val="32"/>
          <w:szCs w:val="40"/>
          <w:highlight w:val="none"/>
          <w:u w:val="none"/>
          <w:lang w:val="en-US" w:eastAsia="zh-CN"/>
        </w:rPr>
        <w:t>激发各类经营主体活力</w:t>
      </w:r>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p>
    <w:p w14:paraId="24DFB6E5">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color w:val="auto"/>
          <w:highlight w:val="none"/>
        </w:rPr>
        <w:t>坚持“两个毫不动摇”，</w:t>
      </w:r>
      <w:r>
        <w:rPr>
          <w:rFonts w:hint="eastAsia" w:ascii="Times New Roman" w:hAnsi="Times New Roman" w:eastAsia="仿宋_GB2312" w:cs="方正仿宋_GBK"/>
          <w:b w:val="0"/>
          <w:bCs w:val="0"/>
          <w:color w:val="auto"/>
          <w:highlight w:val="none"/>
          <w:lang w:val="en-US" w:eastAsia="zh-CN"/>
        </w:rPr>
        <w:t>促进各种所有制经济优势互补、协同发展</w:t>
      </w:r>
      <w:r>
        <w:rPr>
          <w:rFonts w:hint="eastAsia" w:ascii="Times New Roman" w:hAnsi="Times New Roman" w:eastAsia="仿宋_GB2312" w:cs="方正仿宋_GBK"/>
          <w:b w:val="0"/>
          <w:bCs w:val="0"/>
          <w:color w:val="auto"/>
          <w:highlight w:val="none"/>
        </w:rPr>
        <w:t>，形成大企业“顶天立地”、中小企业“铺天盖地”、个体工商户“枝繁叶茂”的生动局面。</w:t>
      </w:r>
    </w:p>
    <w:p w14:paraId="437F5B83">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rPr>
      </w:pPr>
      <w:bookmarkStart w:id="818" w:name="_Toc28296"/>
      <w:r>
        <w:rPr>
          <w:rFonts w:hint="eastAsia" w:ascii="Times New Roman" w:hAnsi="Times New Roman" w:eastAsia="仿宋_GB2312" w:cs="方正仿宋_GBK"/>
          <w:b w:val="0"/>
          <w:bCs w:val="0"/>
          <w:color w:val="auto"/>
          <w:highlight w:val="none"/>
          <w:lang w:val="en-US" w:eastAsia="zh-CN"/>
        </w:rPr>
        <w:t>增强</w:t>
      </w:r>
      <w:r>
        <w:rPr>
          <w:rFonts w:hint="eastAsia" w:ascii="Times New Roman" w:hAnsi="Times New Roman" w:eastAsia="仿宋_GB2312" w:cs="方正仿宋_GBK"/>
          <w:b w:val="0"/>
          <w:bCs w:val="0"/>
          <w:color w:val="auto"/>
          <w:highlight w:val="none"/>
        </w:rPr>
        <w:t>国资国企</w:t>
      </w:r>
      <w:r>
        <w:rPr>
          <w:rFonts w:hint="eastAsia" w:ascii="Times New Roman" w:hAnsi="Times New Roman" w:eastAsia="仿宋_GB2312" w:cs="方正仿宋_GBK"/>
          <w:b w:val="0"/>
          <w:bCs w:val="0"/>
          <w:color w:val="auto"/>
          <w:highlight w:val="none"/>
          <w:lang w:val="en-US" w:eastAsia="zh-CN"/>
        </w:rPr>
        <w:t>竞争优势</w:t>
      </w:r>
      <w:bookmarkEnd w:id="818"/>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rPr>
        <w:t>以提高核心竞争力和增强核心功能为重点，深入推进国企重组整合，推动资源向主业集中、向优势企业集中，打造一批具有较强竞争力的国有龙头企业。积极稳妥深化混合所有制改革，完善公司治理，建立现代企业制度。健全市场化经营机制，全面推行经理层成员任期制和契约化管理，完善市场化选人用人机制和具有市场竞争力的薪酬分配机制。转变监管职能，健全以管资本为主的国有资产监管体制。</w:t>
      </w:r>
      <w:r>
        <w:rPr>
          <w:rFonts w:hint="eastAsia" w:ascii="Times New Roman" w:hAnsi="Times New Roman" w:eastAsia="仿宋_GB2312" w:cs="方正仿宋_GBK"/>
          <w:b w:val="0"/>
          <w:bCs w:val="0"/>
          <w:color w:val="auto"/>
          <w:highlight w:val="none"/>
          <w:lang w:val="en-US" w:eastAsia="zh-CN"/>
        </w:rPr>
        <w:t>强化国有企业重大风险防控体系建设，坚决守住国有资本保值增值的底线。</w:t>
      </w:r>
      <w:r>
        <w:rPr>
          <w:rFonts w:hint="eastAsia" w:ascii="Times New Roman" w:hAnsi="Times New Roman" w:eastAsia="仿宋_GB2312" w:cs="方正仿宋_GBK"/>
          <w:b w:val="0"/>
          <w:bCs w:val="0"/>
          <w:color w:val="auto"/>
          <w:highlight w:val="none"/>
        </w:rPr>
        <w:t>推动国有企业更好履行经济责任、政治责任和社会责任，在服务全市发展中发挥更大作用。</w:t>
      </w:r>
    </w:p>
    <w:p w14:paraId="67D70C4C">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rPr>
      </w:pPr>
      <w:bookmarkStart w:id="819" w:name="_Toc5199"/>
      <w:r>
        <w:rPr>
          <w:rFonts w:hint="eastAsia" w:ascii="Times New Roman" w:hAnsi="Times New Roman" w:eastAsia="仿宋_GB2312" w:cs="方正仿宋_GBK"/>
          <w:b w:val="0"/>
          <w:bCs w:val="0"/>
          <w:color w:val="auto"/>
          <w:highlight w:val="none"/>
        </w:rPr>
        <w:t>促进民营经济</w:t>
      </w:r>
      <w:r>
        <w:rPr>
          <w:rFonts w:hint="eastAsia" w:ascii="Times New Roman" w:hAnsi="Times New Roman" w:eastAsia="仿宋_GB2312" w:cs="方正仿宋_GBK"/>
          <w:b w:val="0"/>
          <w:bCs w:val="0"/>
          <w:color w:val="auto"/>
          <w:highlight w:val="none"/>
          <w:lang w:val="en-US" w:eastAsia="zh-CN"/>
        </w:rPr>
        <w:t>高质量发展</w:t>
      </w:r>
      <w:bookmarkEnd w:id="819"/>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rPr>
        <w:t>全面贯彻落实国家、自治区关于促进民营经济发展壮大的意见及各项政策措施，确保政策直达快享</w:t>
      </w:r>
      <w:r>
        <w:rPr>
          <w:rFonts w:hint="eastAsia" w:eastAsia="仿宋_GB2312" w:cs="方正仿宋_GBK"/>
          <w:b w:val="0"/>
          <w:bCs w:val="0"/>
          <w:color w:val="auto"/>
          <w:highlight w:val="none"/>
          <w:lang w:eastAsia="zh-CN"/>
        </w:rPr>
        <w:t>、</w:t>
      </w:r>
      <w:r>
        <w:rPr>
          <w:rFonts w:hint="eastAsia" w:eastAsia="仿宋_GB2312" w:cs="方正仿宋_GBK"/>
          <w:b w:val="0"/>
          <w:bCs w:val="0"/>
          <w:color w:val="auto"/>
          <w:highlight w:val="none"/>
          <w:lang w:val="en-US" w:eastAsia="zh-CN"/>
        </w:rPr>
        <w:t>应享尽享</w:t>
      </w:r>
      <w:r>
        <w:rPr>
          <w:rFonts w:hint="eastAsia" w:ascii="Times New Roman" w:hAnsi="Times New Roman" w:eastAsia="仿宋_GB2312" w:cs="方正仿宋_GBK"/>
          <w:b w:val="0"/>
          <w:bCs w:val="0"/>
          <w:color w:val="auto"/>
          <w:highlight w:val="none"/>
        </w:rPr>
        <w:t>。</w:t>
      </w:r>
      <w:r>
        <w:rPr>
          <w:rFonts w:hint="eastAsia" w:ascii="Times New Roman" w:hAnsi="Times New Roman" w:eastAsia="仿宋_GB2312" w:cs="方正仿宋_GBK"/>
          <w:b w:val="0"/>
          <w:bCs w:val="0"/>
          <w:color w:val="auto"/>
          <w:highlight w:val="none"/>
          <w:lang w:val="en-US" w:eastAsia="zh-CN"/>
        </w:rPr>
        <w:t>扎实做好民营经济统战工作</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lang w:val="en-US" w:eastAsia="zh-CN"/>
        </w:rPr>
        <w:t>推进</w:t>
      </w:r>
      <w:r>
        <w:rPr>
          <w:rFonts w:hint="eastAsia" w:eastAsia="仿宋_GB2312" w:cs="方正仿宋_GBK"/>
          <w:b w:val="0"/>
          <w:bCs w:val="0"/>
          <w:color w:val="auto"/>
          <w:highlight w:val="none"/>
          <w:lang w:val="en-US" w:eastAsia="zh-CN"/>
        </w:rPr>
        <w:t>经营主体</w:t>
      </w:r>
      <w:r>
        <w:rPr>
          <w:rFonts w:hint="eastAsia" w:ascii="Times New Roman" w:hAnsi="Times New Roman" w:eastAsia="仿宋_GB2312" w:cs="方正仿宋_GBK"/>
          <w:b w:val="0"/>
          <w:bCs w:val="0"/>
          <w:color w:val="auto"/>
          <w:highlight w:val="none"/>
          <w:lang w:val="en-US" w:eastAsia="zh-CN"/>
        </w:rPr>
        <w:t>升级，推动“个转企、小升规、规改股、股上市”，引导企业建立现代企业制度，促进大中小企业协同发展。</w:t>
      </w:r>
      <w:r>
        <w:rPr>
          <w:rFonts w:hint="eastAsia" w:ascii="Times New Roman" w:hAnsi="Times New Roman" w:eastAsia="仿宋_GB2312" w:cs="方正仿宋_GBK"/>
          <w:b w:val="0"/>
          <w:bCs w:val="0"/>
          <w:color w:val="auto"/>
          <w:highlight w:val="none"/>
        </w:rPr>
        <w:t>对妨碍市场准入、要素平等获取等方面的行政规范性文件开展专项清理，破除在招标投标、政府采购、资质许可等方面对民营企业设置的隐性壁垒</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eastAsia="zh-CN"/>
        </w:rPr>
        <w:t>严厉打击违法设置招投标条件等行为</w:t>
      </w:r>
      <w:r>
        <w:rPr>
          <w:rFonts w:hint="eastAsia" w:ascii="Times New Roman" w:hAnsi="Times New Roman" w:eastAsia="仿宋_GB2312" w:cs="方正仿宋_GBK"/>
          <w:b w:val="0"/>
          <w:bCs w:val="0"/>
          <w:color w:val="auto"/>
          <w:highlight w:val="none"/>
        </w:rPr>
        <w:t>。完善支持中小微企</w:t>
      </w:r>
      <w:r>
        <w:rPr>
          <w:rFonts w:hint="eastAsia" w:ascii="Times New Roman" w:hAnsi="Times New Roman" w:eastAsia="仿宋_GB2312" w:cs="方正仿宋_GBK"/>
          <w:b w:val="0"/>
          <w:bCs w:val="0"/>
          <w:color w:val="auto"/>
          <w:highlight w:val="none"/>
          <w:lang w:eastAsia="zh-CN"/>
        </w:rPr>
        <w:t>业发</w:t>
      </w:r>
      <w:r>
        <w:rPr>
          <w:rFonts w:hint="eastAsia" w:ascii="Times New Roman" w:hAnsi="Times New Roman" w:eastAsia="仿宋_GB2312" w:cs="方正仿宋_GBK"/>
          <w:b w:val="0"/>
          <w:bCs w:val="0"/>
          <w:color w:val="auto"/>
          <w:highlight w:val="none"/>
        </w:rPr>
        <w:t>展的政策体系，加大纾困解难力度</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健全防范和化解拖欠中小企业账款长效机制。持续优化个体工商户发展的制度环境，降低经营成本，支持个体工商户转型升级为企业。依法保护民营企业产权和企业家权益，保障人身和财产安全。加强优秀企业家先进事迹和突出贡献的宣传报道，营造尊重企业家价值、鼓励企业家创新、发挥企业家作用的舆论氛围。大力弘扬企业家精神，引导企业家争做爱国敬业、守法经营、创业创新、回报社会的典范。</w:t>
      </w:r>
    </w:p>
    <w:p w14:paraId="03EAA331">
      <w:pPr>
        <w:keepNext w:val="0"/>
        <w:keepLines w:val="0"/>
        <w:pageBreakBefore w:val="0"/>
        <w:widowControl/>
        <w:numPr>
          <w:ilvl w:val="0"/>
          <w:numId w:val="10"/>
        </w:numPr>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u w:val="none"/>
          <w:lang w:val="en-US" w:eastAsia="zh-CN"/>
        </w:rPr>
      </w:pPr>
      <w:bookmarkStart w:id="820" w:name="_Toc27180"/>
      <w:bookmarkStart w:id="821" w:name="_Toc2991"/>
      <w:bookmarkStart w:id="822" w:name="_Toc27793"/>
      <w:bookmarkStart w:id="823" w:name="_Toc8045"/>
      <w:bookmarkStart w:id="824" w:name="_Toc3704"/>
      <w:bookmarkStart w:id="825" w:name="_Toc30542"/>
      <w:bookmarkStart w:id="826" w:name="_Toc32348"/>
      <w:bookmarkStart w:id="827" w:name="_Toc29232"/>
      <w:bookmarkStart w:id="828" w:name="_Toc18413"/>
      <w:bookmarkStart w:id="829" w:name="_Toc26319"/>
      <w:bookmarkStart w:id="830" w:name="_Toc11259"/>
      <w:bookmarkStart w:id="831" w:name="_Toc5684"/>
      <w:bookmarkStart w:id="832" w:name="_Toc27860"/>
      <w:bookmarkStart w:id="833" w:name="_Toc17826"/>
      <w:r>
        <w:rPr>
          <w:rFonts w:hint="eastAsia" w:ascii="楷体_GB2312" w:hAnsi="楷体_GB2312" w:eastAsia="楷体_GB2312" w:cs="楷体_GB2312"/>
          <w:b w:val="0"/>
          <w:bCs w:val="0"/>
          <w:color w:val="auto"/>
          <w:sz w:val="32"/>
          <w:szCs w:val="40"/>
          <w:highlight w:val="none"/>
          <w:u w:val="none"/>
          <w:lang w:val="en-US" w:eastAsia="zh-CN"/>
        </w:rPr>
        <w:t>打造市场化法治化国际化营商环境</w:t>
      </w:r>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p>
    <w:p w14:paraId="53B2D7B5">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color w:val="auto"/>
          <w:highlight w:val="none"/>
          <w:lang w:val="en-US" w:eastAsia="zh-CN"/>
        </w:rPr>
        <w:t>瞄准最高标准最高水平</w:t>
      </w:r>
      <w:r>
        <w:rPr>
          <w:rFonts w:hint="eastAsia" w:ascii="Times New Roman" w:hAnsi="Times New Roman" w:eastAsia="仿宋_GB2312" w:cs="方正仿宋_GBK"/>
          <w:b w:val="0"/>
          <w:bCs w:val="0"/>
          <w:color w:val="auto"/>
          <w:highlight w:val="none"/>
        </w:rPr>
        <w:t>，以市场化、法治化、国际化为导向，以</w:t>
      </w:r>
      <w:r>
        <w:rPr>
          <w:rFonts w:hint="eastAsia" w:eastAsia="仿宋_GB2312" w:cs="方正仿宋_GBK"/>
          <w:b w:val="0"/>
          <w:bCs w:val="0"/>
          <w:color w:val="auto"/>
          <w:highlight w:val="none"/>
          <w:lang w:eastAsia="zh-CN"/>
        </w:rPr>
        <w:t>经营主体</w:t>
      </w:r>
      <w:r>
        <w:rPr>
          <w:rFonts w:hint="eastAsia" w:ascii="Times New Roman" w:hAnsi="Times New Roman" w:eastAsia="仿宋_GB2312" w:cs="方正仿宋_GBK"/>
          <w:b w:val="0"/>
          <w:bCs w:val="0"/>
          <w:color w:val="auto"/>
          <w:highlight w:val="none"/>
        </w:rPr>
        <w:t>需求和满意度为衡量标准，打造流程优、效率高、服务好的营商环境，让一流营商环境成为赤峰的金字招牌。</w:t>
      </w:r>
    </w:p>
    <w:p w14:paraId="6C9B397B">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rPr>
      </w:pPr>
      <w:bookmarkStart w:id="834" w:name="_Toc4552"/>
      <w:r>
        <w:rPr>
          <w:rFonts w:hint="eastAsia" w:ascii="Times New Roman" w:hAnsi="Times New Roman" w:eastAsia="仿宋_GB2312" w:cs="方正仿宋_GBK"/>
          <w:b w:val="0"/>
          <w:bCs w:val="0"/>
          <w:color w:val="auto"/>
          <w:highlight w:val="none"/>
        </w:rPr>
        <w:t>建设公平有序的市场环境</w:t>
      </w:r>
      <w:bookmarkEnd w:id="834"/>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严格落实“全国一张清单”管理模式，加快推进高效规范、公平竞争、充分长效的统一大市场建设，清理废除妨碍统一市场和公平竞争的规定和做法，促进商品要素资源在更大范围内畅通流动，保障各类</w:t>
      </w:r>
      <w:r>
        <w:rPr>
          <w:rFonts w:hint="eastAsia" w:eastAsia="仿宋_GB2312" w:cs="方正仿宋_GBK"/>
          <w:b w:val="0"/>
          <w:bCs w:val="0"/>
          <w:color w:val="auto"/>
          <w:highlight w:val="none"/>
          <w:lang w:eastAsia="zh-CN"/>
        </w:rPr>
        <w:t>经营主体</w:t>
      </w:r>
      <w:r>
        <w:rPr>
          <w:rFonts w:hint="eastAsia" w:ascii="Times New Roman" w:hAnsi="Times New Roman" w:eastAsia="仿宋_GB2312" w:cs="方正仿宋_GBK"/>
          <w:b w:val="0"/>
          <w:bCs w:val="0"/>
          <w:color w:val="auto"/>
          <w:highlight w:val="none"/>
        </w:rPr>
        <w:t>平等准入。完善公共资源交易管理制度，保障各类</w:t>
      </w:r>
      <w:r>
        <w:rPr>
          <w:rFonts w:hint="eastAsia" w:eastAsia="仿宋_GB2312" w:cs="方正仿宋_GBK"/>
          <w:b w:val="0"/>
          <w:bCs w:val="0"/>
          <w:color w:val="auto"/>
          <w:highlight w:val="none"/>
          <w:lang w:eastAsia="zh-CN"/>
        </w:rPr>
        <w:t>经营主体</w:t>
      </w:r>
      <w:r>
        <w:rPr>
          <w:rFonts w:hint="eastAsia" w:ascii="Times New Roman" w:hAnsi="Times New Roman" w:eastAsia="仿宋_GB2312" w:cs="方正仿宋_GBK"/>
          <w:b w:val="0"/>
          <w:bCs w:val="0"/>
          <w:color w:val="auto"/>
          <w:highlight w:val="none"/>
        </w:rPr>
        <w:t>平等参与公共资源交易活动。规范公共资源交易平台建设，推动招标投标数字证书跨区域兼容互认共享，推进公共资源交易全流程电子化和全过程在线实时监管。建立知识产权协同保护与维权援助机制，强化行政保护与司法保护衔接，开展知识产权保护公益诉讼，依法打击冒用商标、制假售假等侵犯知识产权的行为。支持行业协会商会发展，依法规范行业协会商会的收费、评比、认证等行为。推进社会信用体系建设，</w:t>
      </w:r>
      <w:r>
        <w:rPr>
          <w:rFonts w:hint="eastAsia" w:ascii="Times New Roman" w:hAnsi="Times New Roman" w:eastAsia="仿宋_GB2312" w:cs="方正仿宋_GBK"/>
          <w:b w:val="0"/>
          <w:bCs w:val="0"/>
          <w:color w:val="auto"/>
          <w:highlight w:val="none"/>
          <w:lang w:val="en-US" w:eastAsia="zh-CN"/>
        </w:rPr>
        <w:t>推行“双随机、一公开”监管、跨部门综合监管、“互联网+监管”和包容审慎监管</w:t>
      </w:r>
      <w:r>
        <w:rPr>
          <w:rFonts w:hint="eastAsia" w:eastAsia="仿宋_GB2312" w:cs="方正仿宋_GBK"/>
          <w:b w:val="0"/>
          <w:bCs w:val="0"/>
          <w:color w:val="auto"/>
          <w:highlight w:val="none"/>
          <w:lang w:val="en-US" w:eastAsia="zh-CN"/>
        </w:rPr>
        <w:t>。严格落实国家</w:t>
      </w:r>
      <w:r>
        <w:rPr>
          <w:rFonts w:hint="eastAsia" w:ascii="Times New Roman" w:hAnsi="Times New Roman" w:eastAsia="仿宋_GB2312" w:cs="方正仿宋_GBK"/>
          <w:b w:val="0"/>
          <w:bCs w:val="0"/>
          <w:color w:val="auto"/>
          <w:highlight w:val="none"/>
        </w:rPr>
        <w:t>信用修复制度，加强信用修复引导</w:t>
      </w:r>
      <w:r>
        <w:rPr>
          <w:rFonts w:hint="eastAsia" w:eastAsia="仿宋_GB2312" w:cs="方正仿宋_GBK"/>
          <w:b w:val="0"/>
          <w:bCs w:val="0"/>
          <w:color w:val="auto"/>
          <w:highlight w:val="none"/>
          <w:lang w:val="en-US" w:eastAsia="zh-CN"/>
        </w:rPr>
        <w:t>和指导</w:t>
      </w:r>
      <w:r>
        <w:rPr>
          <w:rFonts w:hint="eastAsia" w:ascii="Times New Roman" w:hAnsi="Times New Roman" w:eastAsia="仿宋_GB2312" w:cs="方正仿宋_GBK"/>
          <w:b w:val="0"/>
          <w:bCs w:val="0"/>
          <w:color w:val="auto"/>
          <w:highlight w:val="none"/>
        </w:rPr>
        <w:t>，推进信用修复全程网办。</w:t>
      </w:r>
      <w:r>
        <w:rPr>
          <w:rFonts w:hint="eastAsia" w:eastAsia="仿宋_GB2312" w:cs="方正仿宋_GBK"/>
          <w:b w:val="0"/>
          <w:bCs w:val="0"/>
          <w:color w:val="auto"/>
          <w:highlight w:val="none"/>
          <w:lang w:val="en-US" w:eastAsia="zh-CN"/>
        </w:rPr>
        <w:t>进一步提高产品检验检测能力，加强基层基础执法能力建设，</w:t>
      </w:r>
      <w:r>
        <w:rPr>
          <w:rFonts w:hint="eastAsia" w:ascii="Times New Roman" w:hAnsi="Times New Roman" w:eastAsia="仿宋_GB2312" w:cs="方正仿宋_GBK"/>
          <w:b w:val="0"/>
          <w:bCs w:val="0"/>
          <w:color w:val="auto"/>
          <w:highlight w:val="none"/>
        </w:rPr>
        <w:t>促进</w:t>
      </w:r>
      <w:r>
        <w:rPr>
          <w:rFonts w:hint="eastAsia" w:eastAsia="仿宋_GB2312" w:cs="方正仿宋_GBK"/>
          <w:b w:val="0"/>
          <w:bCs w:val="0"/>
          <w:color w:val="auto"/>
          <w:highlight w:val="none"/>
          <w:lang w:eastAsia="zh-CN"/>
        </w:rPr>
        <w:t>经营主体</w:t>
      </w:r>
      <w:r>
        <w:rPr>
          <w:rFonts w:hint="eastAsia" w:ascii="Times New Roman" w:hAnsi="Times New Roman" w:eastAsia="仿宋_GB2312" w:cs="方正仿宋_GBK"/>
          <w:b w:val="0"/>
          <w:bCs w:val="0"/>
          <w:color w:val="auto"/>
          <w:highlight w:val="none"/>
        </w:rPr>
        <w:t>依法诚信经营，维护市场正常秩序。建立高效、便利、有序的</w:t>
      </w:r>
      <w:r>
        <w:rPr>
          <w:rFonts w:hint="eastAsia" w:eastAsia="仿宋_GB2312" w:cs="方正仿宋_GBK"/>
          <w:b w:val="0"/>
          <w:bCs w:val="0"/>
          <w:color w:val="auto"/>
          <w:highlight w:val="none"/>
          <w:lang w:eastAsia="zh-CN"/>
        </w:rPr>
        <w:t>经营主体</w:t>
      </w:r>
      <w:r>
        <w:rPr>
          <w:rFonts w:hint="eastAsia" w:ascii="Times New Roman" w:hAnsi="Times New Roman" w:eastAsia="仿宋_GB2312" w:cs="方正仿宋_GBK"/>
          <w:b w:val="0"/>
          <w:bCs w:val="0"/>
          <w:color w:val="auto"/>
          <w:highlight w:val="none"/>
        </w:rPr>
        <w:t>退出机制，强化</w:t>
      </w:r>
      <w:r>
        <w:rPr>
          <w:rFonts w:hint="eastAsia" w:eastAsia="仿宋_GB2312" w:cs="方正仿宋_GBK"/>
          <w:b w:val="0"/>
          <w:bCs w:val="0"/>
          <w:color w:val="auto"/>
          <w:highlight w:val="none"/>
          <w:lang w:eastAsia="zh-CN"/>
        </w:rPr>
        <w:t>经营主体</w:t>
      </w:r>
      <w:r>
        <w:rPr>
          <w:rFonts w:hint="eastAsia" w:ascii="Times New Roman" w:hAnsi="Times New Roman" w:eastAsia="仿宋_GB2312" w:cs="方正仿宋_GBK"/>
          <w:b w:val="0"/>
          <w:bCs w:val="0"/>
          <w:color w:val="auto"/>
          <w:highlight w:val="none"/>
        </w:rPr>
        <w:t>破产、变更、注销登记的有机衔接。</w:t>
      </w:r>
    </w:p>
    <w:p w14:paraId="111E998C">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rPr>
      </w:pPr>
      <w:bookmarkStart w:id="835" w:name="_Toc19060"/>
      <w:r>
        <w:rPr>
          <w:rFonts w:hint="eastAsia" w:ascii="Times New Roman" w:hAnsi="Times New Roman" w:eastAsia="仿宋_GB2312" w:cs="方正仿宋_GBK"/>
          <w:b w:val="0"/>
          <w:bCs w:val="0"/>
          <w:color w:val="auto"/>
          <w:highlight w:val="none"/>
        </w:rPr>
        <w:t>建设高效便捷的政务环境</w:t>
      </w:r>
      <w:bookmarkEnd w:id="835"/>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推动“蒙速办·赤诚办”政务服务再升级，推出一批“高效办成一件事”重点涉企事项，提升政务服务标准化、规范化、便利化水平。</w:t>
      </w:r>
      <w:r>
        <w:rPr>
          <w:rFonts w:hint="eastAsia" w:ascii="Times New Roman" w:hAnsi="Times New Roman" w:eastAsia="仿宋_GB2312" w:cs="方正仿宋_GBK"/>
          <w:b w:val="0"/>
          <w:bCs w:val="0"/>
          <w:color w:val="auto"/>
          <w:highlight w:val="none"/>
        </w:rPr>
        <w:t>持续深化行政审批制度改革，推动部门许可职能向一个科室集中、审批科室向政务服务大厅集中、审批事项向电子政务平台集中，加强政务服务综合性场所标准化建设</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推进政务服务体系一体化建设，完善基层便民服务中心和便民服务站点功能，加强基层政务服务力量建设，推动农村牧区政务服务事项就近办理。</w:t>
      </w:r>
      <w:r>
        <w:rPr>
          <w:rFonts w:hint="eastAsia" w:ascii="Times New Roman" w:hAnsi="Times New Roman" w:eastAsia="仿宋_GB2312" w:cs="方正仿宋_GBK"/>
          <w:b w:val="0"/>
          <w:bCs w:val="0"/>
          <w:color w:val="auto"/>
          <w:highlight w:val="none"/>
          <w:lang w:val="en-US" w:eastAsia="zh-CN"/>
        </w:rPr>
        <w:t>深化</w:t>
      </w:r>
      <w:r>
        <w:rPr>
          <w:rFonts w:hint="eastAsia" w:ascii="Times New Roman" w:hAnsi="Times New Roman" w:eastAsia="仿宋_GB2312" w:cs="方正仿宋_GBK"/>
          <w:b w:val="0"/>
          <w:bCs w:val="0"/>
          <w:color w:val="auto"/>
          <w:highlight w:val="none"/>
        </w:rPr>
        <w:t>“</w:t>
      </w:r>
      <w:r>
        <w:rPr>
          <w:rFonts w:hint="eastAsia" w:ascii="Times New Roman" w:hAnsi="Times New Roman" w:eastAsia="仿宋_GB2312" w:cs="方正仿宋_GBK"/>
          <w:b w:val="0"/>
          <w:bCs w:val="0"/>
          <w:color w:val="auto"/>
          <w:highlight w:val="none"/>
          <w:lang w:val="en-US" w:eastAsia="zh-CN"/>
        </w:rPr>
        <w:t>高效办成一件事</w:t>
      </w:r>
      <w:r>
        <w:rPr>
          <w:rFonts w:hint="eastAsia" w:ascii="Times New Roman" w:hAnsi="Times New Roman" w:eastAsia="仿宋_GB2312" w:cs="方正仿宋_GBK"/>
          <w:b w:val="0"/>
          <w:bCs w:val="0"/>
          <w:color w:val="auto"/>
          <w:highlight w:val="none"/>
        </w:rPr>
        <w:t>”改革，以推动政务服务事项“一网通办”为导向，科学合理确定政务数据共享属性，保障数据质量和安全，依法共享政务数据。推进电子证照、电子印章和电子签名的应用，实现在政务服务等领域互信互认</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推进政务诚信建设，提高决策透明度和科学化水平，履行向</w:t>
      </w:r>
      <w:r>
        <w:rPr>
          <w:rFonts w:hint="eastAsia" w:eastAsia="仿宋_GB2312" w:cs="方正仿宋_GBK"/>
          <w:b w:val="0"/>
          <w:bCs w:val="0"/>
          <w:color w:val="auto"/>
          <w:highlight w:val="none"/>
          <w:lang w:eastAsia="zh-CN"/>
        </w:rPr>
        <w:t>经营主体</w:t>
      </w:r>
      <w:r>
        <w:rPr>
          <w:rFonts w:hint="eastAsia" w:ascii="Times New Roman" w:hAnsi="Times New Roman" w:eastAsia="仿宋_GB2312" w:cs="方正仿宋_GBK"/>
          <w:b w:val="0"/>
          <w:bCs w:val="0"/>
          <w:color w:val="auto"/>
          <w:highlight w:val="none"/>
        </w:rPr>
        <w:t>依法作出的政策承诺以及依法订立的各类合同，防范化解政府失信风险，提升政府公信力。</w:t>
      </w:r>
      <w:r>
        <w:rPr>
          <w:rFonts w:hint="eastAsia" w:eastAsia="仿宋_GB2312" w:cs="方正仿宋_GBK"/>
          <w:b w:val="0"/>
          <w:bCs w:val="0"/>
          <w:color w:val="auto"/>
          <w:highlight w:val="none"/>
          <w:lang w:val="en-US" w:eastAsia="zh-CN"/>
        </w:rPr>
        <w:t>主动</w:t>
      </w:r>
      <w:r>
        <w:rPr>
          <w:rFonts w:hint="eastAsia" w:ascii="Times New Roman" w:hAnsi="Times New Roman" w:eastAsia="仿宋_GB2312" w:cs="方正仿宋_GBK"/>
          <w:b w:val="0"/>
          <w:bCs w:val="0"/>
          <w:color w:val="auto"/>
          <w:highlight w:val="none"/>
        </w:rPr>
        <w:t>落实国家、自治区制定出台的惠企政策，</w:t>
      </w:r>
      <w:r>
        <w:rPr>
          <w:rFonts w:hint="eastAsia" w:eastAsia="仿宋_GB2312" w:cs="方正仿宋_GBK"/>
          <w:b w:val="0"/>
          <w:bCs w:val="0"/>
          <w:color w:val="auto"/>
          <w:highlight w:val="none"/>
          <w:lang w:val="en-US" w:eastAsia="zh-CN"/>
        </w:rPr>
        <w:t>积极</w:t>
      </w:r>
      <w:r>
        <w:rPr>
          <w:rFonts w:hint="eastAsia" w:ascii="Times New Roman" w:hAnsi="Times New Roman" w:eastAsia="仿宋_GB2312" w:cs="方正仿宋_GBK"/>
          <w:b w:val="0"/>
          <w:bCs w:val="0"/>
          <w:color w:val="auto"/>
          <w:highlight w:val="none"/>
        </w:rPr>
        <w:t>协调解决政策落实中的问题，保证政策及时落实。建立畅通有效的政企沟通机制和常态化的</w:t>
      </w:r>
      <w:r>
        <w:rPr>
          <w:rFonts w:hint="eastAsia" w:eastAsia="仿宋_GB2312" w:cs="方正仿宋_GBK"/>
          <w:b w:val="0"/>
          <w:bCs w:val="0"/>
          <w:color w:val="auto"/>
          <w:highlight w:val="none"/>
          <w:lang w:eastAsia="zh-CN"/>
        </w:rPr>
        <w:t>经营主体</w:t>
      </w:r>
      <w:r>
        <w:rPr>
          <w:rFonts w:hint="eastAsia" w:ascii="Times New Roman" w:hAnsi="Times New Roman" w:eastAsia="仿宋_GB2312" w:cs="方正仿宋_GBK"/>
          <w:b w:val="0"/>
          <w:bCs w:val="0"/>
          <w:color w:val="auto"/>
          <w:highlight w:val="none"/>
        </w:rPr>
        <w:t>意见征集机制，及时回应</w:t>
      </w:r>
      <w:r>
        <w:rPr>
          <w:rFonts w:hint="eastAsia" w:eastAsia="仿宋_GB2312" w:cs="方正仿宋_GBK"/>
          <w:b w:val="0"/>
          <w:bCs w:val="0"/>
          <w:color w:val="auto"/>
          <w:highlight w:val="none"/>
          <w:lang w:eastAsia="zh-CN"/>
        </w:rPr>
        <w:t>经营主体</w:t>
      </w:r>
      <w:r>
        <w:rPr>
          <w:rFonts w:hint="eastAsia" w:ascii="Times New Roman" w:hAnsi="Times New Roman" w:eastAsia="仿宋_GB2312" w:cs="方正仿宋_GBK"/>
          <w:b w:val="0"/>
          <w:bCs w:val="0"/>
          <w:color w:val="auto"/>
          <w:highlight w:val="none"/>
        </w:rPr>
        <w:t>意见和诉求，依法帮助</w:t>
      </w:r>
      <w:r>
        <w:rPr>
          <w:rFonts w:hint="eastAsia" w:eastAsia="仿宋_GB2312" w:cs="方正仿宋_GBK"/>
          <w:b w:val="0"/>
          <w:bCs w:val="0"/>
          <w:color w:val="auto"/>
          <w:highlight w:val="none"/>
          <w:lang w:eastAsia="zh-CN"/>
        </w:rPr>
        <w:t>经营主体</w:t>
      </w:r>
      <w:r>
        <w:rPr>
          <w:rFonts w:hint="eastAsia" w:ascii="Times New Roman" w:hAnsi="Times New Roman" w:eastAsia="仿宋_GB2312" w:cs="方正仿宋_GBK"/>
          <w:b w:val="0"/>
          <w:bCs w:val="0"/>
          <w:color w:val="auto"/>
          <w:highlight w:val="none"/>
        </w:rPr>
        <w:t>解决生产经营中的困难和问题。改进营商环境诉求受理机制，加强系统智能化建设，完善监督考评制度，提升服务和监督质效。</w:t>
      </w:r>
    </w:p>
    <w:p w14:paraId="09BD1E9A">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rPr>
      </w:pPr>
      <w:bookmarkStart w:id="836" w:name="_Toc20643"/>
      <w:r>
        <w:rPr>
          <w:rFonts w:hint="eastAsia" w:ascii="Times New Roman" w:hAnsi="Times New Roman" w:eastAsia="仿宋_GB2312" w:cs="方正仿宋_GBK"/>
          <w:b w:val="0"/>
          <w:bCs w:val="0"/>
          <w:color w:val="auto"/>
          <w:highlight w:val="none"/>
        </w:rPr>
        <w:t>建设公正透明的法治环境</w:t>
      </w:r>
      <w:bookmarkEnd w:id="836"/>
      <w:r>
        <w:rPr>
          <w:rFonts w:hint="eastAsia" w:eastAsia="仿宋_GB2312" w:cs="方正仿宋_GBK"/>
          <w:b w:val="0"/>
          <w:bCs w:val="0"/>
          <w:color w:val="auto"/>
          <w:highlight w:val="none"/>
          <w:lang w:eastAsia="zh-CN"/>
        </w:rPr>
        <w:t>。</w:t>
      </w:r>
      <w:r>
        <w:rPr>
          <w:rFonts w:hint="eastAsia" w:ascii="仿宋_GB2312" w:hAnsi="仿宋_GB2312" w:eastAsia="仿宋_GB2312" w:cs="仿宋_GB2312"/>
          <w:b w:val="0"/>
          <w:bCs w:val="0"/>
          <w:sz w:val="32"/>
          <w:szCs w:val="32"/>
          <w:highlight w:val="none"/>
          <w:u w:val="none" w:color="auto"/>
          <w:lang w:val="en-US" w:eastAsia="zh-CN"/>
        </w:rPr>
        <w:t>严格执行《赤峰市优化营商环境条例》，严格规范公正文明执法，完善知识产权公共服务体系，依法保护各类经营主体产权和合法权益。</w:t>
      </w:r>
      <w:r>
        <w:rPr>
          <w:rFonts w:hint="eastAsia" w:ascii="Times New Roman" w:hAnsi="Times New Roman" w:eastAsia="仿宋_GB2312" w:cs="方正仿宋_GBK"/>
          <w:b w:val="0"/>
          <w:bCs w:val="0"/>
          <w:color w:val="auto"/>
          <w:highlight w:val="none"/>
        </w:rPr>
        <w:t>加强营商环境领域法规规章</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立改废释</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工作，增强政策稳定性和可预期性</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动态清理并公布涉企行政检查事项，规范涉企行政检查标准、程序、方式和行为，减少对</w:t>
      </w:r>
      <w:r>
        <w:rPr>
          <w:rFonts w:hint="eastAsia" w:eastAsia="仿宋_GB2312" w:cs="方正仿宋_GBK"/>
          <w:b w:val="0"/>
          <w:bCs w:val="0"/>
          <w:color w:val="auto"/>
          <w:highlight w:val="none"/>
          <w:lang w:eastAsia="zh-CN"/>
        </w:rPr>
        <w:t>经营主体</w:t>
      </w:r>
      <w:r>
        <w:rPr>
          <w:rFonts w:hint="eastAsia" w:ascii="Times New Roman" w:hAnsi="Times New Roman" w:eastAsia="仿宋_GB2312" w:cs="方正仿宋_GBK"/>
          <w:b w:val="0"/>
          <w:bCs w:val="0"/>
          <w:color w:val="auto"/>
          <w:highlight w:val="none"/>
        </w:rPr>
        <w:t>正常生产经营活动的干扰。依法建立市场管理容错制度，加强对执法人员的培训和管理，注重非强制性行政手段的运用，完善行政执法裁量权基准。健全完善调解、行政裁决、行政复议、诉讼等有机衔接、相互协调的多元化纠纷解决机制，为</w:t>
      </w:r>
      <w:r>
        <w:rPr>
          <w:rFonts w:hint="eastAsia" w:eastAsia="仿宋_GB2312" w:cs="方正仿宋_GBK"/>
          <w:b w:val="0"/>
          <w:bCs w:val="0"/>
          <w:color w:val="auto"/>
          <w:highlight w:val="none"/>
          <w:lang w:eastAsia="zh-CN"/>
        </w:rPr>
        <w:t>经营主体</w:t>
      </w:r>
      <w:r>
        <w:rPr>
          <w:rFonts w:hint="eastAsia" w:ascii="Times New Roman" w:hAnsi="Times New Roman" w:eastAsia="仿宋_GB2312" w:cs="方正仿宋_GBK"/>
          <w:b w:val="0"/>
          <w:bCs w:val="0"/>
          <w:color w:val="auto"/>
          <w:highlight w:val="none"/>
        </w:rPr>
        <w:t>提供高效、便捷的纠纷解决途径。畅通涉企诉讼绿色通道，深化繁简分流机制改革，强化民事、行政、刑事程序衔接，依托人民法院在线服务平台，推进全流程网上办案，为</w:t>
      </w:r>
      <w:r>
        <w:rPr>
          <w:rFonts w:hint="eastAsia" w:eastAsia="仿宋_GB2312" w:cs="方正仿宋_GBK"/>
          <w:b w:val="0"/>
          <w:bCs w:val="0"/>
          <w:color w:val="auto"/>
          <w:highlight w:val="none"/>
          <w:lang w:eastAsia="zh-CN"/>
        </w:rPr>
        <w:t>经营主体</w:t>
      </w:r>
      <w:r>
        <w:rPr>
          <w:rFonts w:hint="eastAsia" w:ascii="Times New Roman" w:hAnsi="Times New Roman" w:eastAsia="仿宋_GB2312" w:cs="方正仿宋_GBK"/>
          <w:b w:val="0"/>
          <w:bCs w:val="0"/>
          <w:color w:val="auto"/>
          <w:highlight w:val="none"/>
        </w:rPr>
        <w:t>提供智能、便捷和公正的诉讼服务。建立常态化的企业破产工作协调联动机制，统筹解决企业破产涉及的资产处置、职工和债权人权益保护等问题</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加强队伍建设，强化内部监督，落实司法责任制和错案追究制，严格公正司法，提高司法公信力。</w:t>
      </w:r>
    </w:p>
    <w:p w14:paraId="31CC45D3">
      <w:pPr>
        <w:keepNext w:val="0"/>
        <w:keepLines w:val="0"/>
        <w:pageBreakBefore w:val="0"/>
        <w:widowControl/>
        <w:numPr>
          <w:ilvl w:val="0"/>
          <w:numId w:val="2"/>
        </w:numPr>
        <w:kinsoku/>
        <w:wordWrap/>
        <w:overflowPunct/>
        <w:topLinePunct w:val="0"/>
        <w:autoSpaceDE/>
        <w:autoSpaceDN/>
        <w:bidi w:val="0"/>
        <w:adjustRightInd/>
        <w:snapToGrid/>
        <w:spacing w:before="157" w:beforeLines="50" w:after="157" w:afterLines="50" w:line="540" w:lineRule="exact"/>
        <w:jc w:val="center"/>
        <w:textAlignment w:val="auto"/>
        <w:outlineLvl w:val="1"/>
        <w:rPr>
          <w:rFonts w:hint="eastAsia" w:ascii="黑体" w:hAnsi="黑体" w:eastAsia="黑体" w:cs="黑体"/>
          <w:b w:val="0"/>
          <w:bCs w:val="0"/>
          <w:sz w:val="32"/>
          <w:szCs w:val="32"/>
          <w:highlight w:val="none"/>
          <w:u w:val="none"/>
          <w:lang w:eastAsia="zh-CN"/>
        </w:rPr>
      </w:pPr>
      <w:bookmarkStart w:id="837" w:name="_Toc28370"/>
      <w:bookmarkStart w:id="838" w:name="_Toc20468"/>
      <w:bookmarkStart w:id="839" w:name="_Toc5584"/>
      <w:bookmarkStart w:id="840" w:name="_Toc23218"/>
      <w:bookmarkStart w:id="841" w:name="_Toc27120"/>
      <w:bookmarkStart w:id="842" w:name="_Toc14675"/>
      <w:bookmarkStart w:id="843" w:name="_Toc11978"/>
      <w:bookmarkStart w:id="844" w:name="_Toc22062"/>
      <w:bookmarkStart w:id="845" w:name="_Toc14789"/>
      <w:bookmarkStart w:id="846" w:name="_Toc25910"/>
      <w:bookmarkStart w:id="847" w:name="_Toc22135"/>
      <w:bookmarkStart w:id="848" w:name="_Toc11540"/>
      <w:bookmarkStart w:id="849" w:name="_Toc24245"/>
      <w:bookmarkStart w:id="850" w:name="_Toc8693"/>
      <w:r>
        <w:rPr>
          <w:rFonts w:hint="eastAsia" w:ascii="黑体" w:hAnsi="黑体" w:eastAsia="黑体" w:cs="黑体"/>
          <w:b w:val="0"/>
          <w:bCs w:val="0"/>
          <w:sz w:val="32"/>
          <w:szCs w:val="32"/>
          <w:highlight w:val="none"/>
          <w:u w:val="none"/>
          <w:lang w:val="en-US" w:eastAsia="zh-CN"/>
        </w:rPr>
        <w:t>繁荣发展社会主义文化，建设文化强市</w:t>
      </w:r>
      <w:bookmarkEnd w:id="705"/>
      <w:bookmarkEnd w:id="706"/>
      <w:bookmarkEnd w:id="707"/>
      <w:bookmarkEnd w:id="708"/>
      <w:bookmarkEnd w:id="709"/>
      <w:bookmarkEnd w:id="710"/>
      <w:bookmarkEnd w:id="711"/>
      <w:bookmarkEnd w:id="712"/>
      <w:bookmarkEnd w:id="713"/>
      <w:bookmarkEnd w:id="714"/>
      <w:bookmarkEnd w:id="715"/>
      <w:bookmarkEnd w:id="716"/>
      <w:bookmarkEnd w:id="717"/>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p>
    <w:p w14:paraId="168C170E">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rPr>
          <w:rFonts w:hint="eastAsia" w:ascii="Times New Roman" w:hAnsi="Times New Roman" w:eastAsia="仿宋_GB2312" w:cs="方正仿宋_GBK"/>
          <w:b w:val="0"/>
          <w:bCs w:val="0"/>
          <w:highlight w:val="none"/>
          <w:lang w:val="en-US" w:eastAsia="zh-CN"/>
        </w:rPr>
      </w:pPr>
      <w:r>
        <w:rPr>
          <w:rFonts w:hint="eastAsia" w:eastAsia="仿宋_GB2312" w:cs="方正仿宋_GBK"/>
          <w:b w:val="0"/>
          <w:bCs w:val="0"/>
          <w:highlight w:val="none"/>
          <w:lang w:val="en-US" w:eastAsia="zh-CN"/>
        </w:rPr>
        <w:t>加强社会主义精神文明建设，</w:t>
      </w:r>
      <w:r>
        <w:rPr>
          <w:rFonts w:hint="eastAsia" w:ascii="Times New Roman" w:hAnsi="Times New Roman" w:eastAsia="仿宋_GB2312" w:cs="方正仿宋_GBK"/>
          <w:b w:val="0"/>
          <w:bCs w:val="0"/>
          <w:highlight w:val="none"/>
          <w:lang w:val="en-US" w:eastAsia="zh-CN"/>
        </w:rPr>
        <w:t>繁荣文化事业，发展文化产业，推动以文铸魂、以文化人、以文润城、以文兴业，为现代化赤峰建设提供强大思想引领力、精神凝聚力和价值感召力</w:t>
      </w:r>
      <w:r>
        <w:rPr>
          <w:rFonts w:hint="eastAsia" w:eastAsia="仿宋_GB2312" w:cs="方正仿宋_GBK"/>
          <w:b w:val="0"/>
          <w:bCs w:val="0"/>
          <w:highlight w:val="none"/>
          <w:lang w:val="en-US" w:eastAsia="zh-CN"/>
        </w:rPr>
        <w:t>。</w:t>
      </w:r>
    </w:p>
    <w:p w14:paraId="185DB807">
      <w:pPr>
        <w:keepNext w:val="0"/>
        <w:keepLines w:val="0"/>
        <w:pageBreakBefore w:val="0"/>
        <w:widowControl/>
        <w:numPr>
          <w:ilvl w:val="0"/>
          <w:numId w:val="11"/>
        </w:numPr>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u w:val="none"/>
          <w:lang w:val="en-US" w:eastAsia="zh-CN"/>
        </w:rPr>
      </w:pPr>
      <w:bookmarkStart w:id="851" w:name="_Toc8139"/>
      <w:bookmarkStart w:id="852" w:name="_Toc7956"/>
      <w:bookmarkStart w:id="853" w:name="_Toc18829"/>
      <w:bookmarkStart w:id="854" w:name="_Toc9244"/>
      <w:bookmarkStart w:id="855" w:name="_Toc27555"/>
      <w:bookmarkStart w:id="856" w:name="_Toc818"/>
      <w:bookmarkStart w:id="857" w:name="_Toc29025"/>
      <w:bookmarkStart w:id="858" w:name="_Toc19767"/>
      <w:bookmarkStart w:id="859" w:name="_Toc25284"/>
      <w:bookmarkStart w:id="860" w:name="_Toc7068"/>
      <w:bookmarkStart w:id="861" w:name="_Toc16453"/>
      <w:bookmarkStart w:id="862" w:name="_Toc24826"/>
      <w:bookmarkStart w:id="863" w:name="_Toc20176"/>
      <w:bookmarkStart w:id="864" w:name="_Toc30667"/>
      <w:bookmarkStart w:id="865" w:name="_Toc7494"/>
      <w:bookmarkStart w:id="866" w:name="_Toc14827"/>
      <w:bookmarkStart w:id="867" w:name="_Toc27945"/>
      <w:bookmarkStart w:id="868" w:name="_Toc21580"/>
      <w:bookmarkStart w:id="869" w:name="_Toc32135"/>
      <w:bookmarkStart w:id="870" w:name="_Toc2098"/>
      <w:bookmarkStart w:id="871" w:name="_Toc24250"/>
      <w:bookmarkStart w:id="872" w:name="_Toc8369"/>
      <w:bookmarkStart w:id="873" w:name="_Toc25823"/>
      <w:r>
        <w:rPr>
          <w:rFonts w:hint="eastAsia" w:ascii="楷体_GB2312" w:hAnsi="楷体_GB2312" w:eastAsia="楷体_GB2312" w:cs="楷体_GB2312"/>
          <w:b w:val="0"/>
          <w:bCs w:val="0"/>
          <w:color w:val="auto"/>
          <w:sz w:val="32"/>
          <w:szCs w:val="40"/>
          <w:highlight w:val="none"/>
          <w:u w:val="none"/>
          <w:lang w:val="en-US" w:eastAsia="zh-CN"/>
        </w:rPr>
        <w:t>弘扬和践行社会主义核心价值观</w:t>
      </w:r>
      <w:bookmarkEnd w:id="851"/>
      <w:bookmarkEnd w:id="852"/>
    </w:p>
    <w:p w14:paraId="6792D6DA">
      <w:pPr>
        <w:pStyle w:val="22"/>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firstLine="624" w:firstLineChars="200"/>
        <w:jc w:val="both"/>
        <w:textAlignment w:val="auto"/>
        <w:rPr>
          <w:rFonts w:hint="eastAsia" w:ascii="仿宋_GB2312" w:hAnsi="仿宋_GB2312" w:eastAsia="仿宋_GB2312" w:cs="仿宋_GB2312"/>
          <w:b w:val="0"/>
          <w:bCs w:val="0"/>
          <w:kern w:val="2"/>
          <w:sz w:val="32"/>
          <w:szCs w:val="32"/>
          <w:highlight w:val="none"/>
          <w:u w:val="none" w:color="auto"/>
          <w:lang w:val="en-US" w:eastAsia="zh-CN" w:bidi="ar-SA"/>
        </w:rPr>
      </w:pPr>
      <w:r>
        <w:rPr>
          <w:rFonts w:hint="eastAsia" w:ascii="仿宋_GB2312" w:hAnsi="仿宋_GB2312" w:eastAsia="仿宋_GB2312" w:cs="仿宋_GB2312"/>
          <w:b w:val="0"/>
          <w:bCs w:val="0"/>
          <w:kern w:val="2"/>
          <w:sz w:val="32"/>
          <w:szCs w:val="32"/>
          <w:highlight w:val="none"/>
          <w:u w:val="none" w:color="auto"/>
          <w:lang w:val="en-US" w:eastAsia="zh-CN" w:bidi="ar-SA"/>
        </w:rPr>
        <w:t>以社会主义核心价值观引领文化建设，发展壮大主流价值、主流舆论、主流文化，凝聚书写中国式现代化赤峰新篇章的强大精神力量。</w:t>
      </w:r>
    </w:p>
    <w:p w14:paraId="47358221">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仿宋_GB2312" w:hAnsi="仿宋_GB2312" w:eastAsia="仿宋_GB2312" w:cs="仿宋_GB2312"/>
          <w:b w:val="0"/>
          <w:bCs w:val="0"/>
          <w:kern w:val="2"/>
          <w:sz w:val="32"/>
          <w:szCs w:val="32"/>
          <w:highlight w:val="none"/>
          <w:u w:val="none" w:color="auto"/>
          <w:lang w:val="en-US" w:eastAsia="zh-CN" w:bidi="ar-SA"/>
        </w:rPr>
      </w:pPr>
      <w:r>
        <w:rPr>
          <w:rFonts w:hint="eastAsia" w:eastAsia="仿宋_GB2312" w:cs="方正仿宋_GBK"/>
          <w:b w:val="0"/>
          <w:bCs w:val="0"/>
          <w:color w:val="auto"/>
          <w:sz w:val="32"/>
          <w:szCs w:val="32"/>
          <w:highlight w:val="none"/>
          <w:lang w:val="en-US" w:eastAsia="zh-CN"/>
        </w:rPr>
        <w:t>推动理想信念教育常态化长效化。</w:t>
      </w:r>
      <w:r>
        <w:rPr>
          <w:rFonts w:hint="eastAsia" w:ascii="仿宋_GB2312" w:hAnsi="仿宋_GB2312" w:eastAsia="仿宋_GB2312" w:cs="仿宋_GB2312"/>
          <w:b w:val="0"/>
          <w:bCs w:val="0"/>
          <w:kern w:val="2"/>
          <w:sz w:val="32"/>
          <w:szCs w:val="32"/>
          <w:highlight w:val="none"/>
          <w:u w:val="none" w:color="auto"/>
          <w:lang w:val="en-US" w:eastAsia="zh-CN" w:bidi="ar-SA"/>
        </w:rPr>
        <w:t>深化党的创新理论学习和宣传教育，坚持不懈以习近平新时代中国特色社会主义思想凝心铸魂。深入开展社会主义核心价值观宣传教育，实施新时代公民道德建设工程，加快形成适应新时代要求的思想观念、</w:t>
      </w:r>
      <w:r>
        <w:rPr>
          <w:rFonts w:hint="eastAsia" w:ascii="Times New Roman" w:hAnsi="Times New Roman" w:eastAsia="仿宋_GB2312" w:cs="方正仿宋_GBK"/>
          <w:b w:val="0"/>
          <w:bCs w:val="0"/>
          <w:kern w:val="2"/>
          <w:sz w:val="32"/>
          <w:szCs w:val="32"/>
          <w:highlight w:val="none"/>
          <w:u w:val="none" w:color="auto"/>
          <w:lang w:val="en-US" w:eastAsia="zh-CN" w:bidi="ar-SA"/>
        </w:rPr>
        <w:t>精神</w:t>
      </w:r>
      <w:r>
        <w:rPr>
          <w:rFonts w:hint="eastAsia" w:ascii="仿宋_GB2312" w:hAnsi="仿宋_GB2312" w:eastAsia="仿宋_GB2312" w:cs="仿宋_GB2312"/>
          <w:b w:val="0"/>
          <w:bCs w:val="0"/>
          <w:kern w:val="2"/>
          <w:sz w:val="32"/>
          <w:szCs w:val="32"/>
          <w:highlight w:val="none"/>
          <w:u w:val="none" w:color="auto"/>
          <w:lang w:val="en-US" w:eastAsia="zh-CN" w:bidi="ar-SA"/>
        </w:rPr>
        <w:t>面貌、文明风尚、行为规范。传承红色文化，弘扬诚信文化、廉洁文化，发挥文化养心志、育情操的作用。加强和改进思想政治工作，推进校园文化建设，用好红色资源，加强青少年理想信念教育。全力争创全国文明城市，广泛开展群众性精神文明创建活动。</w:t>
      </w:r>
    </w:p>
    <w:p w14:paraId="49320AB4">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default" w:ascii="仿宋_GB2312" w:hAnsi="仿宋_GB2312" w:eastAsia="仿宋_GB2312" w:cs="仿宋_GB2312"/>
          <w:b w:val="0"/>
          <w:bCs w:val="0"/>
          <w:kern w:val="2"/>
          <w:sz w:val="32"/>
          <w:szCs w:val="32"/>
          <w:highlight w:val="none"/>
          <w:u w:val="none" w:color="auto"/>
          <w:lang w:val="en-US" w:eastAsia="zh-CN" w:bidi="ar-SA"/>
        </w:rPr>
      </w:pPr>
      <w:r>
        <w:rPr>
          <w:rFonts w:hint="eastAsia" w:eastAsia="仿宋_GB2312" w:cs="方正仿宋_GBK"/>
          <w:b w:val="0"/>
          <w:bCs w:val="0"/>
          <w:color w:val="auto"/>
          <w:sz w:val="32"/>
          <w:szCs w:val="32"/>
          <w:highlight w:val="none"/>
          <w:lang w:val="en-US" w:eastAsia="zh-CN"/>
        </w:rPr>
        <w:t>巩固壮大主流思想舆论。</w:t>
      </w:r>
      <w:r>
        <w:rPr>
          <w:rFonts w:hint="default" w:ascii="仿宋_GB2312" w:hAnsi="仿宋_GB2312" w:eastAsia="仿宋_GB2312" w:cs="仿宋_GB2312"/>
          <w:b w:val="0"/>
          <w:bCs w:val="0"/>
          <w:kern w:val="2"/>
          <w:sz w:val="32"/>
          <w:szCs w:val="32"/>
          <w:highlight w:val="none"/>
          <w:u w:val="none" w:color="auto"/>
          <w:lang w:val="en-US" w:eastAsia="zh-CN" w:bidi="ar-SA"/>
        </w:rPr>
        <w:t>深入开展习近平新时代中国特色社会主义思想宣传阐释。深化主流媒体系统性变革，提高主流舆论引导能力。加强全媒体传播体系建设，</w:t>
      </w:r>
      <w:r>
        <w:rPr>
          <w:rFonts w:hint="eastAsia" w:ascii="仿宋_GB2312" w:hAnsi="仿宋_GB2312" w:eastAsia="仿宋_GB2312" w:cs="仿宋_GB2312"/>
          <w:b w:val="0"/>
          <w:bCs w:val="0"/>
          <w:kern w:val="2"/>
          <w:sz w:val="32"/>
          <w:szCs w:val="32"/>
          <w:highlight w:val="none"/>
          <w:u w:val="none" w:color="auto"/>
          <w:lang w:val="en-US" w:eastAsia="zh-CN" w:bidi="ar-SA"/>
        </w:rPr>
        <w:t>加强融媒体中心建设，推进新闻宣传和网络舆论一体化管理。</w:t>
      </w:r>
      <w:r>
        <w:rPr>
          <w:rFonts w:hint="default" w:ascii="仿宋_GB2312" w:hAnsi="仿宋_GB2312" w:eastAsia="仿宋_GB2312" w:cs="仿宋_GB2312"/>
          <w:b w:val="0"/>
          <w:bCs w:val="0"/>
          <w:kern w:val="2"/>
          <w:sz w:val="32"/>
          <w:szCs w:val="32"/>
          <w:highlight w:val="none"/>
          <w:u w:val="none" w:color="auto"/>
          <w:lang w:val="en-US" w:eastAsia="zh-CN" w:bidi="ar-SA"/>
        </w:rPr>
        <w:t>凝聚新媒体和自媒体传播合力，建设具有传播力、引导力、影响力、公信力的全媒体传播矩阵。提升信息化条件下文化领域治理能力，培育积极健康、向上向善的网络文化，共建网上美好精神家园。健全网络综合治理体系，加强网络内容建设和管理，推进新闻宣传和网络舆论一体化管理。</w:t>
      </w:r>
    </w:p>
    <w:p w14:paraId="7D4BF31D">
      <w:pPr>
        <w:keepNext w:val="0"/>
        <w:keepLines w:val="0"/>
        <w:pageBreakBefore w:val="0"/>
        <w:widowControl/>
        <w:numPr>
          <w:ilvl w:val="0"/>
          <w:numId w:val="11"/>
        </w:numPr>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u w:val="none"/>
          <w:lang w:val="en-US" w:eastAsia="zh-CN"/>
        </w:rPr>
      </w:pPr>
      <w:bookmarkStart w:id="874" w:name="_Toc25689"/>
      <w:bookmarkStart w:id="875" w:name="_Toc19705"/>
      <w:r>
        <w:rPr>
          <w:rFonts w:hint="eastAsia" w:ascii="楷体_GB2312" w:hAnsi="楷体_GB2312" w:eastAsia="楷体_GB2312" w:cs="楷体_GB2312"/>
          <w:b w:val="0"/>
          <w:bCs w:val="0"/>
          <w:color w:val="auto"/>
          <w:sz w:val="32"/>
          <w:szCs w:val="40"/>
          <w:highlight w:val="none"/>
          <w:u w:val="none"/>
          <w:lang w:val="en-US" w:eastAsia="zh-CN"/>
        </w:rPr>
        <w:t>保护传承弘扬中华优秀传统文化</w:t>
      </w:r>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p>
    <w:p w14:paraId="7C0EF308">
      <w:pPr>
        <w:pStyle w:val="43"/>
        <w:keepNext w:val="0"/>
        <w:keepLines w:val="0"/>
        <w:pageBreakBefore w:val="0"/>
        <w:shd w:val="clear" w:color="auto" w:fill="auto"/>
        <w:kinsoku/>
        <w:wordWrap/>
        <w:topLinePunct w:val="0"/>
        <w:autoSpaceDE/>
        <w:autoSpaceDN/>
        <w:bidi w:val="0"/>
        <w:adjustRightInd/>
        <w:spacing w:line="540" w:lineRule="exact"/>
        <w:ind w:firstLine="0"/>
        <w:textAlignment w:val="auto"/>
        <w:rPr>
          <w:rFonts w:hint="eastAsia" w:ascii="Times New Roman" w:hAnsi="Times New Roman" w:eastAsia="仿宋_GB2312" w:cs="方正仿宋_GBK"/>
          <w:b w:val="0"/>
          <w:bCs w:val="0"/>
          <w:highlight w:val="none"/>
          <w:lang w:val="en-US" w:eastAsia="zh-CN"/>
        </w:rPr>
      </w:pPr>
      <w:r>
        <w:rPr>
          <w:rFonts w:hint="eastAsia" w:ascii="Times New Roman" w:hAnsi="Times New Roman" w:eastAsia="仿宋_GB2312" w:cs="方正仿宋_GBK"/>
          <w:b w:val="0"/>
          <w:bCs w:val="0"/>
          <w:highlight w:val="none"/>
          <w:lang w:val="en-US" w:eastAsia="zh-CN"/>
        </w:rPr>
        <w:t>贯彻落实保护第一、加强管理、挖掘价值、有效利用、让文物活起来的工作要求，系统推进文化遗产的保护、研究、阐释、展示和利用。</w:t>
      </w:r>
    </w:p>
    <w:p w14:paraId="6487694A">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default" w:ascii="Times New Roman" w:hAnsi="Times New Roman" w:eastAsia="仿宋_GB2312" w:cs="方正仿宋_GBK"/>
          <w:b w:val="0"/>
          <w:bCs w:val="0"/>
          <w:highlight w:val="none"/>
          <w:lang w:val="en-US" w:eastAsia="zh-CN"/>
        </w:rPr>
      </w:pPr>
      <w:bookmarkStart w:id="876" w:name="_Toc31885"/>
      <w:r>
        <w:rPr>
          <w:rFonts w:hint="eastAsia" w:eastAsia="仿宋_GB2312" w:cs="方正仿宋_GBK"/>
          <w:b w:val="0"/>
          <w:bCs w:val="0"/>
          <w:color w:val="auto"/>
          <w:sz w:val="32"/>
          <w:szCs w:val="32"/>
          <w:highlight w:val="none"/>
          <w:lang w:val="en-US" w:eastAsia="zh-CN"/>
        </w:rPr>
        <w:t>完善文物资源管理制度</w:t>
      </w:r>
      <w:bookmarkEnd w:id="876"/>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highlight w:val="none"/>
          <w:lang w:val="en-US" w:eastAsia="zh-CN"/>
        </w:rPr>
        <w:t>加强各级文物保护单位“四有”档案整理和规划编制及公布工作</w:t>
      </w:r>
      <w:r>
        <w:rPr>
          <w:rFonts w:hint="eastAsia" w:eastAsia="仿宋_GB2312" w:cs="方正仿宋_GBK"/>
          <w:b w:val="0"/>
          <w:bCs w:val="0"/>
          <w:highlight w:val="none"/>
          <w:lang w:val="en-US" w:eastAsia="zh-CN"/>
        </w:rPr>
        <w:t>。实施</w:t>
      </w:r>
      <w:r>
        <w:rPr>
          <w:rFonts w:hint="eastAsia" w:ascii="Times New Roman" w:hAnsi="Times New Roman" w:eastAsia="仿宋_GB2312" w:cs="方正仿宋_GBK"/>
          <w:b w:val="0"/>
          <w:bCs w:val="0"/>
          <w:highlight w:val="none"/>
          <w:lang w:val="en-US" w:eastAsia="zh-CN"/>
        </w:rPr>
        <w:t>博物馆展陈工程，加快敖汉博物馆、辽中京博物馆等展陈展示工作。加强文化遗产保护利用，推动红山文化遗址、辽代上京城和祖陵遗址申报世界文化遗产。</w:t>
      </w:r>
      <w:r>
        <w:rPr>
          <w:rFonts w:hint="eastAsia" w:eastAsia="仿宋_GB2312" w:cs="方正仿宋_GBK"/>
          <w:b w:val="0"/>
          <w:bCs w:val="0"/>
          <w:highlight w:val="none"/>
          <w:lang w:val="en-US" w:eastAsia="zh-CN"/>
        </w:rPr>
        <w:t>加强</w:t>
      </w:r>
      <w:r>
        <w:rPr>
          <w:rFonts w:hint="eastAsia" w:ascii="Times New Roman" w:hAnsi="Times New Roman" w:eastAsia="仿宋_GB2312" w:cs="方正仿宋_GBK"/>
          <w:b w:val="0"/>
          <w:bCs w:val="0"/>
          <w:highlight w:val="none"/>
          <w:lang w:val="en-US" w:eastAsia="zh-CN"/>
        </w:rPr>
        <w:t>长城保护，持续开展石窟寺</w:t>
      </w:r>
      <w:r>
        <w:rPr>
          <w:rFonts w:hint="eastAsia" w:eastAsia="仿宋_GB2312" w:cs="方正仿宋_GBK"/>
          <w:b w:val="0"/>
          <w:bCs w:val="0"/>
          <w:highlight w:val="none"/>
          <w:lang w:val="en-US" w:eastAsia="zh-CN"/>
        </w:rPr>
        <w:t>和岩画</w:t>
      </w:r>
      <w:r>
        <w:rPr>
          <w:rFonts w:hint="eastAsia" w:ascii="Times New Roman" w:hAnsi="Times New Roman" w:eastAsia="仿宋_GB2312" w:cs="方正仿宋_GBK"/>
          <w:b w:val="0"/>
          <w:bCs w:val="0"/>
          <w:highlight w:val="none"/>
          <w:lang w:val="en-US" w:eastAsia="zh-CN"/>
        </w:rPr>
        <w:t>保护利用工作。开展</w:t>
      </w:r>
      <w:r>
        <w:rPr>
          <w:rFonts w:hint="eastAsia" w:eastAsia="仿宋_GB2312" w:cs="方正仿宋_GBK"/>
          <w:b w:val="0"/>
          <w:bCs w:val="0"/>
          <w:highlight w:val="none"/>
          <w:lang w:val="en-US" w:eastAsia="zh-CN"/>
        </w:rPr>
        <w:t>国家</w:t>
      </w:r>
      <w:r>
        <w:rPr>
          <w:rFonts w:hint="eastAsia" w:ascii="Times New Roman" w:hAnsi="Times New Roman" w:eastAsia="仿宋_GB2312" w:cs="方正仿宋_GBK"/>
          <w:b w:val="0"/>
          <w:bCs w:val="0"/>
          <w:highlight w:val="none"/>
          <w:lang w:val="en-US" w:eastAsia="zh-CN"/>
        </w:rPr>
        <w:t>考古遗址公园申报及建设工作，推动建设红山后遗址国家考古遗址公园和魏家窝铺遗址国家考古遗址公园。</w:t>
      </w:r>
      <w:r>
        <w:rPr>
          <w:rFonts w:hint="eastAsia" w:eastAsia="仿宋_GB2312" w:cs="方正仿宋_GBK"/>
          <w:b w:val="0"/>
          <w:bCs w:val="0"/>
          <w:highlight w:val="none"/>
          <w:lang w:val="en-US" w:eastAsia="zh-CN"/>
        </w:rPr>
        <w:t>加强历史文化街区保护和活态传承。</w:t>
      </w:r>
    </w:p>
    <w:p w14:paraId="140AFB0E">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highlight w:val="none"/>
          <w:lang w:val="en-US" w:eastAsia="zh-CN"/>
        </w:rPr>
      </w:pPr>
      <w:bookmarkStart w:id="877" w:name="_Toc31134"/>
      <w:r>
        <w:rPr>
          <w:rFonts w:hint="eastAsia" w:ascii="Times New Roman" w:hAnsi="Times New Roman" w:eastAsia="仿宋_GB2312" w:cs="方正仿宋_GBK"/>
          <w:b w:val="0"/>
          <w:bCs w:val="0"/>
          <w:color w:val="auto"/>
          <w:highlight w:val="none"/>
          <w:lang w:val="en-US" w:eastAsia="zh-CN"/>
        </w:rPr>
        <w:t>打造红山文化重要标识</w:t>
      </w:r>
      <w:bookmarkEnd w:id="877"/>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highlight w:val="none"/>
          <w:lang w:val="en-US" w:eastAsia="zh-CN"/>
        </w:rPr>
        <w:t>大力传承弘扬红山文化，实施红山文化遗产保护利用工程，推动红山文化系统性保护。开展红山文化遗址突出普遍价值研究和提炼，健全红山文化研究体系。围绕红山文化遗产价值阐释，设立红山文化重点研究选题，推出一批具有重大影响力的权威性研究成果，开展图书、影视等文艺形式的艺术创作。研发红山文化创意产品，推出红山文化主题游径，讲好红山文化故事，实施红山文化主题文旅街区项目。举办具有影响力的红山文化展览及论坛、研讨会等，扩大红山文化的传播力和影响力。</w:t>
      </w:r>
    </w:p>
    <w:p w14:paraId="2C64A3E5">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highlight w:val="none"/>
          <w:lang w:val="en-US" w:eastAsia="zh-CN"/>
        </w:rPr>
      </w:pPr>
      <w:bookmarkStart w:id="878" w:name="_Toc18335"/>
      <w:r>
        <w:rPr>
          <w:rFonts w:hint="eastAsia" w:ascii="Times New Roman" w:hAnsi="Times New Roman" w:eastAsia="仿宋_GB2312" w:cs="方正仿宋_GBK"/>
          <w:b w:val="0"/>
          <w:bCs w:val="0"/>
          <w:color w:val="auto"/>
          <w:highlight w:val="none"/>
          <w:lang w:val="en-US" w:eastAsia="zh-CN"/>
        </w:rPr>
        <w:t>深化辽文化保护与展示</w:t>
      </w:r>
      <w:bookmarkEnd w:id="878"/>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highlight w:val="none"/>
          <w:lang w:val="en-US" w:eastAsia="zh-CN"/>
        </w:rPr>
        <w:t>深入挖掘和整合巴林左旗、宁城县</w:t>
      </w:r>
      <w:r>
        <w:rPr>
          <w:rFonts w:hint="eastAsia" w:eastAsia="仿宋_GB2312" w:cs="方正仿宋_GBK"/>
          <w:b w:val="0"/>
          <w:bCs w:val="0"/>
          <w:highlight w:val="none"/>
          <w:lang w:val="en-US" w:eastAsia="zh-CN"/>
        </w:rPr>
        <w:t>、巴林右旗</w:t>
      </w:r>
      <w:r>
        <w:rPr>
          <w:rFonts w:hint="eastAsia" w:ascii="Times New Roman" w:hAnsi="Times New Roman" w:eastAsia="仿宋_GB2312" w:cs="方正仿宋_GBK"/>
          <w:b w:val="0"/>
          <w:bCs w:val="0"/>
          <w:highlight w:val="none"/>
          <w:lang w:val="en-US" w:eastAsia="zh-CN"/>
        </w:rPr>
        <w:t>辽文化资源，实施辽文化遗址保护展示工程，推动辽中京文化遗址公园、辽祖州祖陵考古遗址公园建设，做好遗址考古发掘展示，打造集遗址保护展示、考古体验、休闲娱乐等功能于一体的考古遗址公园。启动辽上京</w:t>
      </w:r>
      <w:r>
        <w:rPr>
          <w:rFonts w:hint="eastAsia" w:eastAsia="仿宋_GB2312" w:cs="方正仿宋_GBK"/>
          <w:b w:val="0"/>
          <w:bCs w:val="0"/>
          <w:highlight w:val="none"/>
          <w:lang w:val="en-US" w:eastAsia="zh-CN"/>
        </w:rPr>
        <w:t>城和</w:t>
      </w:r>
      <w:r>
        <w:rPr>
          <w:rFonts w:hint="eastAsia" w:ascii="Times New Roman" w:hAnsi="Times New Roman" w:eastAsia="仿宋_GB2312" w:cs="方正仿宋_GBK"/>
          <w:b w:val="0"/>
          <w:bCs w:val="0"/>
          <w:highlight w:val="none"/>
          <w:lang w:val="en-US" w:eastAsia="zh-CN"/>
        </w:rPr>
        <w:t>祖陵</w:t>
      </w:r>
      <w:r>
        <w:rPr>
          <w:rFonts w:hint="eastAsia" w:eastAsia="仿宋_GB2312" w:cs="方正仿宋_GBK"/>
          <w:b w:val="0"/>
          <w:bCs w:val="0"/>
          <w:highlight w:val="none"/>
          <w:lang w:val="en-US" w:eastAsia="zh-CN"/>
        </w:rPr>
        <w:t>遗址</w:t>
      </w:r>
      <w:r>
        <w:rPr>
          <w:rFonts w:hint="eastAsia" w:ascii="Times New Roman" w:hAnsi="Times New Roman" w:eastAsia="仿宋_GB2312" w:cs="方正仿宋_GBK"/>
          <w:b w:val="0"/>
          <w:bCs w:val="0"/>
          <w:highlight w:val="none"/>
          <w:lang w:val="en-US" w:eastAsia="zh-CN"/>
        </w:rPr>
        <w:t>联合</w:t>
      </w:r>
      <w:r>
        <w:rPr>
          <w:rFonts w:hint="eastAsia" w:eastAsia="仿宋_GB2312" w:cs="方正仿宋_GBK"/>
          <w:b w:val="0"/>
          <w:bCs w:val="0"/>
          <w:highlight w:val="none"/>
          <w:lang w:val="en-US" w:eastAsia="zh-CN"/>
        </w:rPr>
        <w:t>申报</w:t>
      </w:r>
      <w:r>
        <w:rPr>
          <w:rFonts w:hint="eastAsia" w:ascii="Times New Roman" w:hAnsi="Times New Roman" w:eastAsia="仿宋_GB2312" w:cs="方正仿宋_GBK"/>
          <w:b w:val="0"/>
          <w:bCs w:val="0"/>
          <w:highlight w:val="none"/>
          <w:lang w:val="en-US" w:eastAsia="zh-CN"/>
        </w:rPr>
        <w:t>世界文化遗产，推动区域文化遗产集中连片保护。充分挖掘辽文化在推动各民族交往交流交融过程中的重要作用，讲好中华民族共同体形成发展的赤峰故事。</w:t>
      </w:r>
    </w:p>
    <w:p w14:paraId="17559A77">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highlight w:val="none"/>
          <w:lang w:val="en-US" w:eastAsia="zh-CN"/>
        </w:rPr>
      </w:pPr>
      <w:bookmarkStart w:id="879" w:name="_Toc27438"/>
      <w:r>
        <w:rPr>
          <w:rFonts w:hint="eastAsia" w:ascii="Times New Roman" w:hAnsi="Times New Roman" w:eastAsia="仿宋_GB2312" w:cs="方正仿宋_GBK"/>
          <w:b w:val="0"/>
          <w:bCs w:val="0"/>
          <w:color w:val="auto"/>
          <w:highlight w:val="none"/>
          <w:lang w:val="en-US" w:eastAsia="zh-CN"/>
        </w:rPr>
        <w:t>加强革命文物保护与展示</w:t>
      </w:r>
      <w:bookmarkEnd w:id="879"/>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highlight w:val="none"/>
          <w:lang w:val="en-US" w:eastAsia="zh-CN"/>
        </w:rPr>
        <w:t>全面加强革命文物保护，保护好、管理好、运用好革命文物，实施一批革命旧址保护修缮工程和馆藏革命文物保护修复重点项目。拓展革命文物利用途径，改进创新红色旅游宣讲和展陈方式，组织开展各类具有庄严感和教育意义的主题纪念活动</w:t>
      </w:r>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highlight w:val="none"/>
          <w:lang w:val="en-US" w:eastAsia="zh-CN"/>
        </w:rPr>
        <w:t>推进革命旧址保护修复，重点加强柴胡栏子旧址、高桥牺牲地、古山战役旧址、陈子实纪念园、雷营子党建基地、三座店镇乌苏台洼村峰水山党支部旧址、平庄侵华日军飞机库旧址等</w:t>
      </w:r>
      <w:r>
        <w:rPr>
          <w:rFonts w:hint="eastAsia" w:eastAsia="仿宋_GB2312" w:cs="方正仿宋_GBK"/>
          <w:b w:val="0"/>
          <w:bCs w:val="0"/>
          <w:highlight w:val="none"/>
          <w:lang w:val="en-US" w:eastAsia="zh-CN"/>
        </w:rPr>
        <w:t>保护和修复</w:t>
      </w:r>
      <w:r>
        <w:rPr>
          <w:rFonts w:hint="eastAsia" w:ascii="Times New Roman" w:hAnsi="Times New Roman" w:eastAsia="仿宋_GB2312" w:cs="方正仿宋_GBK"/>
          <w:b w:val="0"/>
          <w:bCs w:val="0"/>
          <w:highlight w:val="none"/>
          <w:lang w:val="en-US" w:eastAsia="zh-CN"/>
        </w:rPr>
        <w:t>。</w:t>
      </w:r>
    </w:p>
    <w:p w14:paraId="0EE2CEB3">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方正仿宋_GBK" w:cs="方正仿宋_GBK"/>
          <w:b w:val="0"/>
          <w:bCs w:val="0"/>
          <w:highlight w:val="none"/>
          <w:lang w:val="en-US" w:eastAsia="zh-CN"/>
        </w:rPr>
      </w:pPr>
      <w:bookmarkStart w:id="880" w:name="_Toc2160"/>
      <w:r>
        <w:rPr>
          <w:rFonts w:hint="eastAsia" w:ascii="Times New Roman" w:hAnsi="Times New Roman" w:eastAsia="仿宋_GB2312" w:cs="方正仿宋_GBK"/>
          <w:b w:val="0"/>
          <w:bCs w:val="0"/>
          <w:color w:val="auto"/>
          <w:highlight w:val="none"/>
          <w:lang w:val="en-US" w:eastAsia="zh-CN"/>
        </w:rPr>
        <w:t>加强非物质文化遗产保护传承</w:t>
      </w:r>
      <w:bookmarkEnd w:id="880"/>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highlight w:val="none"/>
          <w:lang w:val="en-US" w:eastAsia="zh-CN"/>
        </w:rPr>
        <w:t>持续加大非物质文化遗产保护力度，完善国家、自治区、市、县四级非遗名录体系，做好非遗资源普查、记录和建档工作。实施非遗传承人研修培训计划，扩大传承队伍。推动传统工艺振兴，支持蒙古族服饰、刺绣、银器制作等传统工艺</w:t>
      </w:r>
      <w:r>
        <w:rPr>
          <w:rFonts w:hint="eastAsia" w:eastAsia="仿宋_GB2312" w:cs="方正仿宋_GBK"/>
          <w:b w:val="0"/>
          <w:bCs w:val="0"/>
          <w:highlight w:val="none"/>
          <w:lang w:val="en-US" w:eastAsia="zh-CN"/>
        </w:rPr>
        <w:t>类非遗项目融入</w:t>
      </w:r>
      <w:r>
        <w:rPr>
          <w:rFonts w:hint="eastAsia" w:ascii="Times New Roman" w:hAnsi="Times New Roman" w:eastAsia="仿宋_GB2312" w:cs="方正仿宋_GBK"/>
          <w:b w:val="0"/>
          <w:bCs w:val="0"/>
          <w:highlight w:val="none"/>
          <w:lang w:val="en-US" w:eastAsia="zh-CN"/>
        </w:rPr>
        <w:t>现代生活，培育具有民族特色的</w:t>
      </w:r>
      <w:r>
        <w:rPr>
          <w:rFonts w:hint="eastAsia" w:eastAsia="仿宋_GB2312" w:cs="方正仿宋_GBK"/>
          <w:b w:val="0"/>
          <w:bCs w:val="0"/>
          <w:highlight w:val="none"/>
          <w:lang w:val="en-US" w:eastAsia="zh-CN"/>
        </w:rPr>
        <w:t>非遗</w:t>
      </w:r>
      <w:r>
        <w:rPr>
          <w:rFonts w:hint="eastAsia" w:ascii="Times New Roman" w:hAnsi="Times New Roman" w:eastAsia="仿宋_GB2312" w:cs="方正仿宋_GBK"/>
          <w:b w:val="0"/>
          <w:bCs w:val="0"/>
          <w:highlight w:val="none"/>
          <w:lang w:val="en-US" w:eastAsia="zh-CN"/>
        </w:rPr>
        <w:t>手工艺品牌。保护传承好</w:t>
      </w:r>
      <w:r>
        <w:rPr>
          <w:rFonts w:hint="eastAsia" w:eastAsia="仿宋_GB2312" w:cs="方正仿宋_GBK"/>
          <w:b w:val="0"/>
          <w:bCs w:val="0"/>
          <w:highlight w:val="none"/>
          <w:lang w:val="en-US" w:eastAsia="zh-CN"/>
        </w:rPr>
        <w:t>格斯尔、巴林石雕</w:t>
      </w:r>
      <w:r>
        <w:rPr>
          <w:rFonts w:hint="eastAsia" w:ascii="Times New Roman" w:hAnsi="Times New Roman" w:eastAsia="仿宋_GB2312" w:cs="方正仿宋_GBK"/>
          <w:b w:val="0"/>
          <w:bCs w:val="0"/>
          <w:highlight w:val="none"/>
          <w:lang w:val="en-US" w:eastAsia="zh-CN"/>
        </w:rPr>
        <w:t>等</w:t>
      </w:r>
      <w:r>
        <w:rPr>
          <w:rFonts w:hint="eastAsia" w:eastAsia="仿宋_GB2312" w:cs="方正仿宋_GBK"/>
          <w:b w:val="0"/>
          <w:bCs w:val="0"/>
          <w:highlight w:val="none"/>
          <w:lang w:val="en-US" w:eastAsia="zh-CN"/>
        </w:rPr>
        <w:t>重点</w:t>
      </w:r>
      <w:r>
        <w:rPr>
          <w:rFonts w:hint="eastAsia" w:ascii="Times New Roman" w:hAnsi="Times New Roman" w:eastAsia="仿宋_GB2312" w:cs="方正仿宋_GBK"/>
          <w:b w:val="0"/>
          <w:bCs w:val="0"/>
          <w:highlight w:val="none"/>
          <w:lang w:val="en-US" w:eastAsia="zh-CN"/>
        </w:rPr>
        <w:t>非遗项目。推动国家级农牧文化（赤峰）生态保护实验区建设。</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9"/>
      </w:tblGrid>
      <w:tr w14:paraId="2BE20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654F1480">
            <w:pPr>
              <w:keepNext w:val="0"/>
              <w:keepLines w:val="0"/>
              <w:pageBreakBefore w:val="0"/>
              <w:kinsoku/>
              <w:wordWrap/>
              <w:topLinePunct w:val="0"/>
              <w:autoSpaceDE/>
              <w:autoSpaceDN/>
              <w:bidi w:val="0"/>
              <w:adjustRightInd/>
              <w:spacing w:line="540" w:lineRule="exact"/>
              <w:ind w:firstLine="464" w:firstLineChars="200"/>
              <w:jc w:val="center"/>
              <w:textAlignment w:val="auto"/>
              <w:rPr>
                <w:rFonts w:ascii="Times New Roman" w:hAnsi="Times New Roman" w:eastAsia="方正仿宋_GBK" w:cs="Times New Roman"/>
                <w:b w:val="0"/>
                <w:bCs w:val="0"/>
                <w:sz w:val="24"/>
                <w:highlight w:val="none"/>
              </w:rPr>
            </w:pPr>
            <w:r>
              <w:rPr>
                <w:rFonts w:hint="eastAsia" w:ascii="Times New Roman" w:hAnsi="Times New Roman" w:eastAsia="仿宋_GB2312" w:cs="Times New Roman"/>
                <w:b w:val="0"/>
                <w:bCs w:val="0"/>
                <w:sz w:val="24"/>
                <w:highlight w:val="none"/>
              </w:rPr>
              <w:t>专栏</w:t>
            </w:r>
            <w:r>
              <w:rPr>
                <w:rFonts w:hint="eastAsia" w:ascii="Times New Roman" w:hAnsi="Times New Roman" w:eastAsia="仿宋_GB2312" w:cs="Times New Roman"/>
                <w:b w:val="0"/>
                <w:bCs w:val="0"/>
                <w:sz w:val="24"/>
                <w:highlight w:val="none"/>
                <w:lang w:val="en-US" w:eastAsia="zh-CN"/>
              </w:rPr>
              <w:t>15 文化传承创新</w:t>
            </w:r>
            <w:r>
              <w:rPr>
                <w:rFonts w:hint="eastAsia" w:ascii="Times New Roman" w:hAnsi="Times New Roman" w:eastAsia="仿宋_GB2312" w:cs="Times New Roman"/>
                <w:b w:val="0"/>
                <w:bCs w:val="0"/>
                <w:sz w:val="24"/>
                <w:highlight w:val="none"/>
              </w:rPr>
              <w:t>重大工程</w:t>
            </w:r>
          </w:p>
        </w:tc>
      </w:tr>
      <w:tr w14:paraId="1E842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46558126">
            <w:pPr>
              <w:keepNext w:val="0"/>
              <w:keepLines w:val="0"/>
              <w:pageBreakBefore w:val="0"/>
              <w:kinsoku/>
              <w:wordWrap/>
              <w:topLinePunct w:val="0"/>
              <w:autoSpaceDE/>
              <w:autoSpaceDN/>
              <w:bidi w:val="0"/>
              <w:adjustRightInd/>
              <w:spacing w:line="540" w:lineRule="exact"/>
              <w:ind w:firstLine="404" w:firstLineChars="200"/>
              <w:textAlignment w:val="auto"/>
              <w:rPr>
                <w:rFonts w:hint="default" w:ascii="Times New Roman" w:hAnsi="Times New Roman" w:eastAsia="方正仿宋_GBK"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实施文化遗产系统保护工程，重点推进红山遗址、辽上京遗址等重点文化遗产系统保护与建设，开展辽祖陵黑龙门遗址等保护性展示工作，保护修复喀喇沁亲王府等文化遗产。充分运用数字化手段展示格斯尔等非物质文化遗产。</w:t>
            </w:r>
          </w:p>
        </w:tc>
      </w:tr>
    </w:tbl>
    <w:p w14:paraId="6C55146A">
      <w:pPr>
        <w:keepNext w:val="0"/>
        <w:keepLines w:val="0"/>
        <w:pageBreakBefore w:val="0"/>
        <w:kinsoku/>
        <w:wordWrap/>
        <w:topLinePunct w:val="0"/>
        <w:autoSpaceDE/>
        <w:autoSpaceDN/>
        <w:bidi w:val="0"/>
        <w:adjustRightInd/>
        <w:spacing w:line="540" w:lineRule="exact"/>
        <w:textAlignment w:val="auto"/>
        <w:rPr>
          <w:rFonts w:hint="eastAsia" w:ascii="Times New Roman" w:hAnsi="Times New Roman"/>
          <w:b w:val="0"/>
          <w:bCs w:val="0"/>
          <w:highlight w:val="none"/>
          <w:lang w:val="en-US" w:eastAsia="zh-CN"/>
        </w:rPr>
      </w:pPr>
    </w:p>
    <w:p w14:paraId="07A727F2">
      <w:pPr>
        <w:keepNext w:val="0"/>
        <w:keepLines w:val="0"/>
        <w:pageBreakBefore w:val="0"/>
        <w:widowControl/>
        <w:numPr>
          <w:ilvl w:val="0"/>
          <w:numId w:val="11"/>
        </w:numPr>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u w:val="none"/>
          <w:lang w:val="en-US" w:eastAsia="zh-CN"/>
        </w:rPr>
      </w:pPr>
      <w:bookmarkStart w:id="881" w:name="_Toc12249"/>
      <w:bookmarkStart w:id="882" w:name="_Toc21589"/>
      <w:bookmarkStart w:id="883" w:name="_Toc25592"/>
      <w:bookmarkStart w:id="884" w:name="_Toc27775"/>
      <w:bookmarkStart w:id="885" w:name="_Toc2464"/>
      <w:bookmarkStart w:id="886" w:name="_Toc14835"/>
      <w:bookmarkStart w:id="887" w:name="_Toc16217"/>
      <w:bookmarkStart w:id="888" w:name="_Toc29943"/>
      <w:bookmarkStart w:id="889" w:name="_Toc3031"/>
      <w:bookmarkStart w:id="890" w:name="_Toc660"/>
      <w:bookmarkStart w:id="891" w:name="_Toc22819"/>
      <w:bookmarkStart w:id="892" w:name="_Toc23940"/>
      <w:bookmarkStart w:id="893" w:name="_Toc16587"/>
      <w:bookmarkStart w:id="894" w:name="_Toc10576"/>
      <w:bookmarkStart w:id="895" w:name="_Toc1431"/>
      <w:bookmarkStart w:id="896" w:name="_Toc19172"/>
      <w:bookmarkStart w:id="897" w:name="_Toc24447"/>
      <w:bookmarkStart w:id="898" w:name="_Toc23198"/>
      <w:bookmarkStart w:id="899" w:name="_Toc15937"/>
      <w:bookmarkStart w:id="900" w:name="_Toc10930"/>
      <w:bookmarkStart w:id="901" w:name="_Toc11925"/>
      <w:bookmarkStart w:id="902" w:name="_Toc12620"/>
      <w:bookmarkStart w:id="903" w:name="_Toc1549"/>
      <w:r>
        <w:rPr>
          <w:rFonts w:hint="eastAsia" w:ascii="楷体_GB2312" w:hAnsi="楷体_GB2312" w:eastAsia="楷体_GB2312" w:cs="楷体_GB2312"/>
          <w:b w:val="0"/>
          <w:bCs w:val="0"/>
          <w:color w:val="auto"/>
          <w:sz w:val="32"/>
          <w:szCs w:val="40"/>
          <w:highlight w:val="none"/>
          <w:u w:val="none"/>
          <w:lang w:val="en-US" w:eastAsia="zh-CN"/>
        </w:rPr>
        <w:t>推动文化事业繁荣发展</w:t>
      </w:r>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p>
    <w:p w14:paraId="300B7233">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spacing w:val="-6"/>
          <w:highlight w:val="none"/>
          <w:lang w:val="en-US" w:eastAsia="zh-CN"/>
        </w:rPr>
      </w:pPr>
      <w:r>
        <w:rPr>
          <w:rFonts w:hint="eastAsia" w:ascii="Times New Roman" w:hAnsi="Times New Roman" w:eastAsia="仿宋_GB2312" w:cs="方正仿宋_GBK"/>
          <w:b w:val="0"/>
          <w:bCs w:val="0"/>
          <w:highlight w:val="none"/>
          <w:lang w:val="en-US" w:eastAsia="zh-CN"/>
        </w:rPr>
        <w:t>坚持政府主导、社会参与、重心下移、共建共享的原则，努</w:t>
      </w:r>
      <w:r>
        <w:rPr>
          <w:rFonts w:hint="eastAsia" w:ascii="Times New Roman" w:hAnsi="Times New Roman" w:eastAsia="仿宋_GB2312" w:cs="方正仿宋_GBK"/>
          <w:b w:val="0"/>
          <w:bCs w:val="0"/>
          <w:spacing w:val="-6"/>
          <w:highlight w:val="none"/>
          <w:lang w:val="en-US" w:eastAsia="zh-CN"/>
        </w:rPr>
        <w:t>力提供更高质量、更有效率、更加公平、更可持续的公共文化服务。</w:t>
      </w:r>
    </w:p>
    <w:p w14:paraId="2CA242BA">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highlight w:val="none"/>
          <w:lang w:val="en-US" w:eastAsia="zh-CN"/>
        </w:rPr>
      </w:pPr>
      <w:bookmarkStart w:id="904" w:name="_Toc18751"/>
      <w:r>
        <w:rPr>
          <w:rFonts w:hint="eastAsia" w:ascii="Times New Roman" w:hAnsi="Times New Roman" w:eastAsia="仿宋_GB2312" w:cs="方正仿宋_GBK"/>
          <w:b w:val="0"/>
          <w:bCs w:val="0"/>
          <w:color w:val="auto"/>
          <w:highlight w:val="none"/>
          <w:lang w:val="en-US" w:eastAsia="zh-CN"/>
        </w:rPr>
        <w:t>完善公共文化设施网络</w:t>
      </w:r>
      <w:bookmarkEnd w:id="904"/>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highlight w:val="none"/>
          <w:lang w:val="en-US" w:eastAsia="zh-CN"/>
        </w:rPr>
        <w:t>全面落实优质文化资源直达基层机制，推进城乡公共文化服务标准化建设，提升市、旗县</w:t>
      </w:r>
      <w:r>
        <w:rPr>
          <w:rFonts w:hint="eastAsia" w:eastAsia="仿宋_GB2312" w:cs="方正仿宋_GBK"/>
          <w:b w:val="0"/>
          <w:bCs w:val="0"/>
          <w:highlight w:val="none"/>
          <w:lang w:val="en-US" w:eastAsia="zh-CN"/>
        </w:rPr>
        <w:t>（区）</w:t>
      </w:r>
      <w:r>
        <w:rPr>
          <w:rFonts w:hint="eastAsia" w:ascii="Times New Roman" w:hAnsi="Times New Roman" w:eastAsia="仿宋_GB2312" w:cs="方正仿宋_GBK"/>
          <w:b w:val="0"/>
          <w:bCs w:val="0"/>
          <w:highlight w:val="none"/>
          <w:lang w:val="en-US" w:eastAsia="zh-CN"/>
        </w:rPr>
        <w:t>、</w:t>
      </w:r>
      <w:r>
        <w:rPr>
          <w:rFonts w:hint="eastAsia" w:eastAsia="仿宋_GB2312" w:cs="方正仿宋_GBK"/>
          <w:b w:val="0"/>
          <w:bCs w:val="0"/>
          <w:highlight w:val="none"/>
          <w:lang w:val="en-US" w:eastAsia="zh-CN"/>
        </w:rPr>
        <w:t>苏木</w:t>
      </w:r>
      <w:r>
        <w:rPr>
          <w:rFonts w:hint="eastAsia" w:ascii="Times New Roman" w:hAnsi="Times New Roman" w:eastAsia="仿宋_GB2312" w:cs="方正仿宋_GBK"/>
          <w:b w:val="0"/>
          <w:bCs w:val="0"/>
          <w:highlight w:val="none"/>
          <w:lang w:val="en-US" w:eastAsia="zh-CN"/>
        </w:rPr>
        <w:t>乡镇</w:t>
      </w:r>
      <w:r>
        <w:rPr>
          <w:rFonts w:hint="eastAsia" w:eastAsia="仿宋_GB2312" w:cs="方正仿宋_GBK"/>
          <w:b w:val="0"/>
          <w:bCs w:val="0"/>
          <w:highlight w:val="none"/>
          <w:lang w:val="en-US" w:eastAsia="zh-CN"/>
        </w:rPr>
        <w:t>（街道）</w:t>
      </w:r>
      <w:r>
        <w:rPr>
          <w:rFonts w:hint="eastAsia" w:ascii="Times New Roman" w:hAnsi="Times New Roman" w:eastAsia="仿宋_GB2312" w:cs="方正仿宋_GBK"/>
          <w:b w:val="0"/>
          <w:bCs w:val="0"/>
          <w:highlight w:val="none"/>
          <w:lang w:val="en-US" w:eastAsia="zh-CN"/>
        </w:rPr>
        <w:t>三级公共文化服务设施建设。推进旗县级图书馆、文化馆总分馆制建设，推动优质资源向基层延伸。推动图书馆、文化馆等公共文化机构数字化转型升级，提升公共服务效能。鼓励因地制宜建设城市书房、乡村戏台等新型公共文化空间。推进公共文化设施与新时代文明实践中心（站</w:t>
      </w:r>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highlight w:val="none"/>
          <w:lang w:val="en-US" w:eastAsia="zh-CN"/>
        </w:rPr>
        <w:t>所）融合发展。推进书香赤峰建设，形成覆盖城乡的全民阅读推广服务体系。</w:t>
      </w:r>
    </w:p>
    <w:p w14:paraId="10E7C605">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highlight w:val="none"/>
          <w:lang w:val="en-US" w:eastAsia="zh-CN"/>
        </w:rPr>
      </w:pPr>
      <w:bookmarkStart w:id="905" w:name="_Toc6241"/>
      <w:r>
        <w:rPr>
          <w:rFonts w:hint="eastAsia" w:ascii="Times New Roman" w:hAnsi="Times New Roman" w:eastAsia="仿宋_GB2312" w:cs="方正仿宋_GBK"/>
          <w:b w:val="0"/>
          <w:bCs w:val="0"/>
          <w:color w:val="auto"/>
          <w:highlight w:val="none"/>
          <w:lang w:val="en-US" w:eastAsia="zh-CN"/>
        </w:rPr>
        <w:t>优化公共文化服务供给</w:t>
      </w:r>
      <w:bookmarkEnd w:id="905"/>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highlight w:val="none"/>
          <w:lang w:val="en-US" w:eastAsia="zh-CN"/>
        </w:rPr>
        <w:t>依托各级文化阵地，开展形式多样的群众文化活动，供给高质量公共文化产品</w:t>
      </w:r>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highlight w:val="none"/>
          <w:lang w:val="en-US" w:eastAsia="zh-CN"/>
        </w:rPr>
        <w:t>繁荣互联网条件下新大众文艺。</w:t>
      </w:r>
      <w:r>
        <w:rPr>
          <w:rFonts w:hint="eastAsia" w:eastAsia="仿宋_GB2312" w:cs="方正仿宋_GBK"/>
          <w:b w:val="0"/>
          <w:bCs w:val="0"/>
          <w:highlight w:val="none"/>
          <w:lang w:val="en-US" w:eastAsia="zh-CN"/>
        </w:rPr>
        <w:t>开展</w:t>
      </w:r>
      <w:r>
        <w:rPr>
          <w:rFonts w:hint="eastAsia" w:ascii="Times New Roman" w:hAnsi="Times New Roman" w:eastAsia="仿宋_GB2312" w:cs="方正仿宋_GBK"/>
          <w:b w:val="0"/>
          <w:bCs w:val="0"/>
          <w:highlight w:val="none"/>
          <w:lang w:val="en-US" w:eastAsia="zh-CN"/>
        </w:rPr>
        <w:t>新时代文化艺术创作，实施艺术精品创优工程，推出一批精品力作。</w:t>
      </w:r>
      <w:r>
        <w:rPr>
          <w:rFonts w:hint="eastAsia" w:eastAsia="仿宋_GB2312" w:cs="方正仿宋_GBK"/>
          <w:b w:val="0"/>
          <w:bCs w:val="0"/>
          <w:highlight w:val="none"/>
          <w:lang w:val="en-US" w:eastAsia="zh-CN"/>
        </w:rPr>
        <w:t>大力发展</w:t>
      </w:r>
      <w:r>
        <w:rPr>
          <w:rFonts w:hint="eastAsia" w:ascii="Times New Roman" w:hAnsi="Times New Roman" w:eastAsia="仿宋_GB2312" w:cs="方正仿宋_GBK"/>
          <w:b w:val="0"/>
          <w:bCs w:val="0"/>
          <w:highlight w:val="none"/>
          <w:lang w:val="en-US" w:eastAsia="zh-CN"/>
        </w:rPr>
        <w:t>乌兰牧骑</w:t>
      </w:r>
      <w:r>
        <w:rPr>
          <w:rFonts w:hint="eastAsia" w:eastAsia="仿宋_GB2312" w:cs="方正仿宋_GBK"/>
          <w:b w:val="0"/>
          <w:bCs w:val="0"/>
          <w:highlight w:val="none"/>
          <w:lang w:val="en-US" w:eastAsia="zh-CN"/>
        </w:rPr>
        <w:t>事业</w:t>
      </w:r>
      <w:r>
        <w:rPr>
          <w:rFonts w:hint="eastAsia" w:ascii="Times New Roman" w:hAnsi="Times New Roman" w:eastAsia="仿宋_GB2312" w:cs="方正仿宋_GBK"/>
          <w:b w:val="0"/>
          <w:bCs w:val="0"/>
          <w:highlight w:val="none"/>
          <w:lang w:val="en-US" w:eastAsia="zh-CN"/>
        </w:rPr>
        <w:t>，打造新时期“草原文艺轻骑兵”品牌，实施基层文化品牌建设工程，着力创建乌兰牧骑惠民演出全覆盖“百团千场下基层”文化活动，深入推进民族地区文化艺术发展。健全公共文化服务需求征询和反馈机制，开展“订单式”</w:t>
      </w:r>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highlight w:val="none"/>
          <w:lang w:val="en-US" w:eastAsia="zh-CN"/>
        </w:rPr>
        <w:t>“菜单式”服务，提高服务供需匹配度。深入推进“戏曲进乡村”</w:t>
      </w:r>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highlight w:val="none"/>
          <w:lang w:val="en-US" w:eastAsia="zh-CN"/>
        </w:rPr>
        <w:t>“农村公益电影放映”等文化惠民工程。广泛开展“百姓大舞台”</w:t>
      </w:r>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highlight w:val="none"/>
          <w:lang w:val="en-US" w:eastAsia="zh-CN"/>
        </w:rPr>
        <w:t>“广场舞大赛”</w:t>
      </w:r>
      <w:r>
        <w:rPr>
          <w:rFonts w:hint="eastAsia" w:eastAsia="仿宋_GB2312" w:cs="方正仿宋_GBK"/>
          <w:b w:val="0"/>
          <w:bCs w:val="0"/>
          <w:highlight w:val="none"/>
          <w:lang w:val="en-US" w:eastAsia="zh-CN"/>
        </w:rPr>
        <w:t>、</w:t>
      </w:r>
      <w:r>
        <w:rPr>
          <w:rFonts w:hint="eastAsia" w:ascii="Times New Roman" w:hAnsi="Times New Roman" w:eastAsia="仿宋_GB2312" w:cs="方正仿宋_GBK"/>
          <w:b w:val="0"/>
          <w:bCs w:val="0"/>
          <w:highlight w:val="none"/>
          <w:lang w:val="en-US" w:eastAsia="zh-CN"/>
        </w:rPr>
        <w:t>“合唱节”等群众性文化活动，激发群众文化创造活力。增加面向老年人、未成年人、残疾人、农民工等特殊群体的专项</w:t>
      </w:r>
      <w:r>
        <w:rPr>
          <w:rFonts w:hint="eastAsia" w:eastAsia="仿宋_GB2312" w:cs="方正仿宋_GBK"/>
          <w:b w:val="0"/>
          <w:bCs w:val="0"/>
          <w:highlight w:val="none"/>
          <w:lang w:val="en-US" w:eastAsia="zh-CN"/>
        </w:rPr>
        <w:t>文化</w:t>
      </w:r>
      <w:r>
        <w:rPr>
          <w:rFonts w:hint="eastAsia" w:ascii="Times New Roman" w:hAnsi="Times New Roman" w:eastAsia="仿宋_GB2312" w:cs="方正仿宋_GBK"/>
          <w:b w:val="0"/>
          <w:bCs w:val="0"/>
          <w:highlight w:val="none"/>
          <w:lang w:val="en-US" w:eastAsia="zh-CN"/>
        </w:rPr>
        <w:t>服务。加强文艺人才培养。</w:t>
      </w:r>
    </w:p>
    <w:p w14:paraId="4BDC5A87">
      <w:pPr>
        <w:keepNext w:val="0"/>
        <w:keepLines w:val="0"/>
        <w:pageBreakBefore w:val="0"/>
        <w:shd w:val="clear" w:color="auto" w:fill="auto"/>
        <w:kinsoku/>
        <w:wordWrap/>
        <w:topLinePunct w:val="0"/>
        <w:autoSpaceDE/>
        <w:autoSpaceDN/>
        <w:bidi w:val="0"/>
        <w:adjustRightInd/>
        <w:spacing w:line="540" w:lineRule="exact"/>
        <w:textAlignment w:val="auto"/>
        <w:rPr>
          <w:rFonts w:hint="eastAsia"/>
          <w:b w:val="0"/>
          <w:bCs w:val="0"/>
          <w:highlight w:val="none"/>
          <w:lang w:val="en-US" w:eastAsia="zh-CN"/>
        </w:rPr>
      </w:pP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9"/>
      </w:tblGrid>
      <w:tr w14:paraId="37C7D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45111E8F">
            <w:pPr>
              <w:keepNext w:val="0"/>
              <w:keepLines w:val="0"/>
              <w:pageBreakBefore w:val="0"/>
              <w:kinsoku/>
              <w:wordWrap/>
              <w:topLinePunct w:val="0"/>
              <w:autoSpaceDE/>
              <w:autoSpaceDN/>
              <w:bidi w:val="0"/>
              <w:adjustRightInd/>
              <w:spacing w:line="540" w:lineRule="exact"/>
              <w:ind w:firstLine="404" w:firstLineChars="200"/>
              <w:jc w:val="center"/>
              <w:textAlignment w:val="auto"/>
              <w:rPr>
                <w:rFonts w:ascii="Times New Roman" w:hAnsi="Times New Roman" w:eastAsia="方正仿宋_GBK" w:cs="Times New Roman"/>
                <w:b w:val="0"/>
                <w:bCs w:val="0"/>
                <w:highlight w:val="none"/>
              </w:rPr>
            </w:pPr>
            <w:r>
              <w:rPr>
                <w:rFonts w:hint="eastAsia" w:ascii="Times New Roman" w:hAnsi="Times New Roman" w:eastAsia="仿宋_GB2312" w:cs="Times New Roman"/>
                <w:b w:val="0"/>
                <w:bCs w:val="0"/>
                <w:highlight w:val="none"/>
              </w:rPr>
              <w:t>专栏</w:t>
            </w:r>
            <w:r>
              <w:rPr>
                <w:rFonts w:hint="eastAsia" w:ascii="Times New Roman" w:hAnsi="Times New Roman" w:eastAsia="仿宋_GB2312" w:cs="Times New Roman"/>
                <w:b w:val="0"/>
                <w:bCs w:val="0"/>
                <w:highlight w:val="none"/>
                <w:lang w:val="en-US" w:eastAsia="zh-CN"/>
              </w:rPr>
              <w:t>16 公共文化</w:t>
            </w:r>
            <w:r>
              <w:rPr>
                <w:rFonts w:hint="eastAsia" w:ascii="Times New Roman" w:hAnsi="Times New Roman" w:eastAsia="仿宋_GB2312" w:cs="Times New Roman"/>
                <w:b w:val="0"/>
                <w:bCs w:val="0"/>
                <w:highlight w:val="none"/>
              </w:rPr>
              <w:t>重大工程</w:t>
            </w:r>
          </w:p>
        </w:tc>
      </w:tr>
      <w:tr w14:paraId="00C87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2367DE43">
            <w:pPr>
              <w:pStyle w:val="32"/>
              <w:keepNext w:val="0"/>
              <w:keepLines w:val="0"/>
              <w:pageBreakBefore w:val="0"/>
              <w:kinsoku/>
              <w:wordWrap/>
              <w:topLinePunct w:val="0"/>
              <w:autoSpaceDE/>
              <w:autoSpaceDN/>
              <w:bidi w:val="0"/>
              <w:adjustRightInd/>
              <w:spacing w:line="540" w:lineRule="exact"/>
              <w:textAlignment w:val="auto"/>
              <w:rPr>
                <w:rFonts w:hint="default"/>
                <w:b w:val="0"/>
                <w:bCs w:val="0"/>
                <w:highlight w:val="none"/>
                <w:lang w:val="en-US" w:eastAsia="zh-CN"/>
              </w:rPr>
            </w:pPr>
            <w:r>
              <w:rPr>
                <w:rFonts w:hint="eastAsia" w:eastAsia="仿宋_GB2312"/>
                <w:b w:val="0"/>
                <w:bCs w:val="0"/>
                <w:sz w:val="21"/>
                <w:highlight w:val="none"/>
                <w:lang w:val="en-US" w:eastAsia="zh-CN"/>
              </w:rPr>
              <w:t>创新实施文化惠民工程，推动建设一批重点文化设施，推动公共图书馆、文化馆晋位升级，实施好元宝山区图书馆数智化改造、元宝山区文化馆数字化改造等工程项目；完善基层文化设施，重点实施巴林左旗基层文化阵地补短板和基层文化阵地数字化提升、敖汉旗红色文化沉浸式教育基地、元宝山区镇（乡）街标准化文化综合服务中心、宁城县社区文化综合体等工程项目。</w:t>
            </w:r>
          </w:p>
        </w:tc>
      </w:tr>
    </w:tbl>
    <w:p w14:paraId="663DAA0C">
      <w:pPr>
        <w:keepNext w:val="0"/>
        <w:keepLines w:val="0"/>
        <w:pageBreakBefore w:val="0"/>
        <w:widowControl/>
        <w:numPr>
          <w:ilvl w:val="-1"/>
          <w:numId w:val="0"/>
        </w:numPr>
        <w:kinsoku/>
        <w:wordWrap/>
        <w:topLinePunct w:val="0"/>
        <w:autoSpaceDE/>
        <w:autoSpaceDN/>
        <w:bidi w:val="0"/>
        <w:adjustRightInd/>
        <w:spacing w:before="0" w:beforeLines="-2147483648" w:after="0" w:afterLines="-2147483648" w:line="540" w:lineRule="exact"/>
        <w:jc w:val="left"/>
        <w:textAlignment w:val="auto"/>
        <w:outlineLvl w:val="9"/>
        <w:rPr>
          <w:rFonts w:hint="eastAsia"/>
          <w:b w:val="0"/>
          <w:bCs w:val="0"/>
          <w:highlight w:val="none"/>
          <w:lang w:val="en-US" w:eastAsia="zh-CN"/>
        </w:rPr>
      </w:pPr>
      <w:bookmarkStart w:id="906" w:name="_Toc6892"/>
      <w:bookmarkStart w:id="907" w:name="_Toc20386"/>
      <w:bookmarkStart w:id="908" w:name="_Toc19787"/>
      <w:bookmarkStart w:id="909" w:name="_Toc20529"/>
      <w:bookmarkStart w:id="910" w:name="_Toc23832"/>
      <w:bookmarkStart w:id="911" w:name="_Toc11178"/>
    </w:p>
    <w:p w14:paraId="3B4241BA">
      <w:pPr>
        <w:keepNext w:val="0"/>
        <w:keepLines w:val="0"/>
        <w:pageBreakBefore w:val="0"/>
        <w:widowControl/>
        <w:numPr>
          <w:ilvl w:val="0"/>
          <w:numId w:val="11"/>
        </w:numPr>
        <w:kinsoku/>
        <w:wordWrap/>
        <w:topLinePunct w:val="0"/>
        <w:autoSpaceDE/>
        <w:autoSpaceDN/>
        <w:bidi w:val="0"/>
        <w:adjustRightIn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u w:val="none"/>
          <w:lang w:val="en-US" w:eastAsia="zh-CN"/>
        </w:rPr>
      </w:pPr>
      <w:bookmarkStart w:id="912" w:name="_Toc3384"/>
      <w:bookmarkStart w:id="913" w:name="_Toc22024"/>
      <w:bookmarkStart w:id="914" w:name="_Toc23966"/>
      <w:bookmarkStart w:id="915" w:name="_Toc29550"/>
      <w:bookmarkStart w:id="916" w:name="_Toc29090"/>
      <w:bookmarkStart w:id="917" w:name="_Toc14108"/>
      <w:bookmarkStart w:id="918" w:name="_Toc15751"/>
      <w:bookmarkStart w:id="919" w:name="_Toc5680"/>
      <w:r>
        <w:rPr>
          <w:rFonts w:hint="eastAsia" w:ascii="楷体_GB2312" w:hAnsi="楷体_GB2312" w:eastAsia="楷体_GB2312" w:cs="楷体_GB2312"/>
          <w:b w:val="0"/>
          <w:bCs w:val="0"/>
          <w:color w:val="auto"/>
          <w:sz w:val="32"/>
          <w:szCs w:val="40"/>
          <w:highlight w:val="none"/>
          <w:u w:val="none"/>
          <w:lang w:val="en-US" w:eastAsia="zh-CN"/>
        </w:rPr>
        <w:t>推进文化产业高质量发展</w:t>
      </w:r>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p>
    <w:p w14:paraId="43571D5C">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highlight w:val="none"/>
          <w:lang w:val="en-US" w:eastAsia="zh-CN"/>
        </w:rPr>
      </w:pPr>
      <w:r>
        <w:rPr>
          <w:rFonts w:hint="eastAsia" w:ascii="Times New Roman" w:hAnsi="Times New Roman" w:eastAsia="仿宋_GB2312" w:cs="方正仿宋_GBK"/>
          <w:b w:val="0"/>
          <w:bCs w:val="0"/>
          <w:highlight w:val="none"/>
          <w:lang w:val="en-US" w:eastAsia="zh-CN"/>
        </w:rPr>
        <w:t>坚持把社会效益放在首位、社会效益和经济效益相统一，完善文化管理体制和生产经营机制，健全文化产业体系和市场体系，将文化资源优势转变为发展优势。</w:t>
      </w:r>
    </w:p>
    <w:p w14:paraId="2572426D">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highlight w:val="none"/>
          <w:lang w:val="en-US" w:eastAsia="zh-CN"/>
        </w:rPr>
      </w:pPr>
      <w:r>
        <w:rPr>
          <w:rFonts w:hint="eastAsia" w:ascii="Times New Roman" w:hAnsi="Times New Roman" w:eastAsia="仿宋_GB2312" w:cs="方正仿宋_GBK"/>
          <w:b w:val="0"/>
          <w:bCs w:val="0"/>
          <w:color w:val="auto"/>
          <w:highlight w:val="none"/>
          <w:lang w:val="en-US" w:eastAsia="zh-CN"/>
        </w:rPr>
        <w:t>健全现代文化产业体系</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highlight w:val="none"/>
          <w:lang w:val="en-US" w:eastAsia="zh-CN"/>
        </w:rPr>
        <w:t>优化文化产业布局，科学规划和发展文化产业园区，促进文化产业集群化发展。大力发展非遗技艺、手工艺品制作、会展服务等文化产业，鼓励数字传媒、文化创意等新兴业态加快发展。培育壮大文化</w:t>
      </w:r>
      <w:r>
        <w:rPr>
          <w:rFonts w:hint="eastAsia" w:eastAsia="仿宋_GB2312" w:cs="方正仿宋_GBK"/>
          <w:b w:val="0"/>
          <w:bCs w:val="0"/>
          <w:highlight w:val="none"/>
          <w:lang w:val="en-US" w:eastAsia="zh-CN"/>
        </w:rPr>
        <w:t>经营主体</w:t>
      </w:r>
      <w:r>
        <w:rPr>
          <w:rFonts w:hint="eastAsia" w:ascii="Times New Roman" w:hAnsi="Times New Roman" w:eastAsia="仿宋_GB2312" w:cs="方正仿宋_GBK"/>
          <w:b w:val="0"/>
          <w:bCs w:val="0"/>
          <w:highlight w:val="none"/>
          <w:lang w:val="en-US" w:eastAsia="zh-CN"/>
        </w:rPr>
        <w:t>，推动一批文化及相关产业企业进入规模以上企业行列。加大文创产品的设计开发和销售运营，精心开发赤峰味道、赤峰服饰、赤峰记忆等系列文化产品。</w:t>
      </w:r>
    </w:p>
    <w:p w14:paraId="76DDC5CC">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highlight w:val="none"/>
          <w:lang w:val="en-US" w:eastAsia="zh-CN"/>
        </w:rPr>
      </w:pPr>
      <w:r>
        <w:rPr>
          <w:rFonts w:hint="eastAsia" w:ascii="Times New Roman" w:hAnsi="Times New Roman" w:eastAsia="仿宋_GB2312" w:cs="方正仿宋_GBK"/>
          <w:b w:val="0"/>
          <w:bCs w:val="0"/>
          <w:color w:val="auto"/>
          <w:highlight w:val="none"/>
          <w:lang w:val="en-US" w:eastAsia="zh-CN"/>
        </w:rPr>
        <w:t>深化文化体制机制改革</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highlight w:val="none"/>
          <w:lang w:val="en-US" w:eastAsia="zh-CN"/>
        </w:rPr>
        <w:t>健全党委领导、政府管理、行业自律、社会监督、企事业单位依法运营的文化管理体制和生产经营机制。推动国有文艺院团改革走上良性发展道路，实现社会效益和经济效益相统一，推动国有文艺院团呈现精品迭出、演出活跃、人才辈出、效益良好的生动局面。加大政府购买公共文化服务力度，引导社会力量参与公共文化设施运营、活动承办、服务</w:t>
      </w:r>
      <w:r>
        <w:rPr>
          <w:rFonts w:hint="eastAsia" w:eastAsia="仿宋_GB2312" w:cs="方正仿宋_GBK"/>
          <w:b w:val="0"/>
          <w:bCs w:val="0"/>
          <w:highlight w:val="none"/>
          <w:lang w:val="en-US" w:eastAsia="zh-CN"/>
        </w:rPr>
        <w:t>供给</w:t>
      </w:r>
      <w:r>
        <w:rPr>
          <w:rFonts w:hint="eastAsia" w:ascii="Times New Roman" w:hAnsi="Times New Roman" w:eastAsia="仿宋_GB2312" w:cs="方正仿宋_GBK"/>
          <w:b w:val="0"/>
          <w:bCs w:val="0"/>
          <w:highlight w:val="none"/>
          <w:lang w:val="en-US" w:eastAsia="zh-CN"/>
        </w:rPr>
        <w:t>。健全公共文化服务绩效评估制度，将群众满意度作为重要评价标准。推动公共文化服务与教育、旅游、工会、共青团、妇联等工作相结合，实现资源共享和效能提升。</w:t>
      </w:r>
    </w:p>
    <w:p w14:paraId="386D2DC8">
      <w:pPr>
        <w:keepNext w:val="0"/>
        <w:keepLines w:val="0"/>
        <w:pageBreakBefore w:val="0"/>
        <w:widowControl/>
        <w:numPr>
          <w:ilvl w:val="0"/>
          <w:numId w:val="2"/>
        </w:numPr>
        <w:kinsoku/>
        <w:wordWrap/>
        <w:overflowPunct/>
        <w:topLinePunct w:val="0"/>
        <w:autoSpaceDE/>
        <w:autoSpaceDN/>
        <w:bidi w:val="0"/>
        <w:adjustRightInd/>
        <w:snapToGrid/>
        <w:spacing w:before="157" w:beforeLines="50" w:after="157" w:afterLines="50" w:line="540" w:lineRule="exact"/>
        <w:jc w:val="center"/>
        <w:textAlignment w:val="auto"/>
        <w:outlineLvl w:val="1"/>
        <w:rPr>
          <w:rFonts w:hint="eastAsia" w:ascii="黑体" w:hAnsi="黑体" w:eastAsia="黑体" w:cs="黑体"/>
          <w:b w:val="0"/>
          <w:bCs w:val="0"/>
          <w:sz w:val="32"/>
          <w:szCs w:val="32"/>
          <w:highlight w:val="none"/>
          <w:u w:val="none"/>
          <w:lang w:eastAsia="zh-CN"/>
        </w:rPr>
      </w:pPr>
      <w:bookmarkStart w:id="920" w:name="_Toc22720"/>
      <w:bookmarkStart w:id="921" w:name="_Toc6822"/>
      <w:bookmarkStart w:id="922" w:name="_Toc31027"/>
      <w:bookmarkStart w:id="923" w:name="_Toc2754"/>
      <w:bookmarkStart w:id="924" w:name="_Toc206"/>
      <w:bookmarkStart w:id="925" w:name="_Toc15265"/>
      <w:bookmarkStart w:id="926" w:name="_Toc11715"/>
      <w:bookmarkStart w:id="927" w:name="_Toc32226"/>
      <w:bookmarkStart w:id="928" w:name="_Toc10601"/>
      <w:bookmarkStart w:id="929" w:name="_Toc28470"/>
      <w:bookmarkStart w:id="930" w:name="_Toc19483"/>
      <w:bookmarkStart w:id="931" w:name="_Toc14974"/>
      <w:bookmarkStart w:id="932" w:name="_Toc4974"/>
      <w:bookmarkStart w:id="933" w:name="_Toc30925"/>
      <w:bookmarkStart w:id="934" w:name="_Toc29976"/>
      <w:bookmarkStart w:id="935" w:name="_Toc25566"/>
      <w:bookmarkStart w:id="936" w:name="_Toc21743"/>
      <w:bookmarkStart w:id="937" w:name="_Toc23401"/>
      <w:bookmarkStart w:id="938" w:name="_Toc12697"/>
      <w:bookmarkStart w:id="939" w:name="_Toc19285"/>
      <w:bookmarkStart w:id="940" w:name="_Toc7157"/>
      <w:bookmarkStart w:id="941" w:name="_Toc28620"/>
      <w:bookmarkStart w:id="942" w:name="_Toc8704"/>
      <w:bookmarkStart w:id="943" w:name="_Toc28236"/>
      <w:bookmarkStart w:id="944" w:name="_Toc19861"/>
      <w:bookmarkStart w:id="945" w:name="_Toc9028"/>
      <w:bookmarkStart w:id="946" w:name="_Toc17486"/>
      <w:bookmarkStart w:id="947" w:name="_Toc28427"/>
      <w:bookmarkStart w:id="948" w:name="_Toc13754"/>
      <w:bookmarkStart w:id="949" w:name="_Toc20968"/>
      <w:bookmarkStart w:id="950" w:name="_Toc20325"/>
      <w:bookmarkStart w:id="951" w:name="_Toc25748"/>
      <w:bookmarkStart w:id="952" w:name="_Toc8306"/>
      <w:bookmarkStart w:id="953" w:name="_Toc14716"/>
      <w:r>
        <w:rPr>
          <w:rFonts w:hint="eastAsia" w:ascii="黑体" w:hAnsi="黑体" w:eastAsia="黑体" w:cs="黑体"/>
          <w:b w:val="0"/>
          <w:bCs w:val="0"/>
          <w:sz w:val="32"/>
          <w:szCs w:val="32"/>
          <w:highlight w:val="none"/>
          <w:u w:val="none"/>
          <w:lang w:eastAsia="zh-CN"/>
        </w:rPr>
        <w:t>统筹发展和安全，</w:t>
      </w:r>
      <w:r>
        <w:rPr>
          <w:rFonts w:hint="eastAsia" w:ascii="黑体" w:hAnsi="黑体" w:eastAsia="黑体" w:cs="黑体"/>
          <w:b w:val="0"/>
          <w:bCs w:val="0"/>
          <w:sz w:val="32"/>
          <w:szCs w:val="32"/>
          <w:highlight w:val="none"/>
          <w:u w:val="none"/>
          <w:lang w:val="en-US" w:eastAsia="zh-CN"/>
        </w:rPr>
        <w:t>建设更高水平平安赤峰</w:t>
      </w:r>
      <w:bookmarkEnd w:id="920"/>
      <w:bookmarkEnd w:id="921"/>
      <w:bookmarkEnd w:id="922"/>
      <w:bookmarkEnd w:id="923"/>
      <w:bookmarkEnd w:id="924"/>
      <w:bookmarkEnd w:id="925"/>
      <w:bookmarkEnd w:id="926"/>
      <w:bookmarkEnd w:id="927"/>
      <w:bookmarkEnd w:id="928"/>
      <w:bookmarkEnd w:id="929"/>
      <w:bookmarkEnd w:id="930"/>
      <w:bookmarkEnd w:id="931"/>
      <w:bookmarkEnd w:id="932"/>
    </w:p>
    <w:p w14:paraId="69C22B67">
      <w:pPr>
        <w:pStyle w:val="43"/>
        <w:keepNext w:val="0"/>
        <w:keepLines w:val="0"/>
        <w:pageBreakBefore w:val="0"/>
        <w:shd w:val="clear"/>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color w:val="auto"/>
          <w:highlight w:val="none"/>
        </w:rPr>
        <w:t>坚定不移贯彻总体国家安全观，把维护国家安全贯穿于赤峰市经济社会发展各方面全过程，围绕实施北疆屏障国家安全保障能力一体化提升工程，加快国家安全体系和能力现代化建设，有效防范化解重大风险，完善社会治理体系，提升社会治理效能，以新安全格局保障新发展格局，</w:t>
      </w:r>
      <w:r>
        <w:rPr>
          <w:rFonts w:hint="eastAsia" w:eastAsia="仿宋_GB2312" w:cs="方正仿宋_GBK"/>
          <w:b w:val="0"/>
          <w:bCs w:val="0"/>
          <w:color w:val="auto"/>
          <w:highlight w:val="none"/>
          <w:lang w:val="en-US" w:eastAsia="zh-CN"/>
        </w:rPr>
        <w:t>为</w:t>
      </w:r>
      <w:r>
        <w:rPr>
          <w:rFonts w:hint="eastAsia" w:ascii="Times New Roman" w:hAnsi="Times New Roman" w:eastAsia="仿宋_GB2312" w:cs="方正仿宋_GBK"/>
          <w:b w:val="0"/>
          <w:bCs w:val="0"/>
          <w:color w:val="auto"/>
          <w:highlight w:val="none"/>
        </w:rPr>
        <w:t>筑牢祖国北疆安全稳定屏障</w:t>
      </w:r>
      <w:r>
        <w:rPr>
          <w:rFonts w:hint="eastAsia" w:eastAsia="仿宋_GB2312" w:cs="方正仿宋_GBK"/>
          <w:b w:val="0"/>
          <w:bCs w:val="0"/>
          <w:color w:val="auto"/>
          <w:highlight w:val="none"/>
          <w:lang w:val="en-US" w:eastAsia="zh-CN"/>
        </w:rPr>
        <w:t>做出更大贡献</w:t>
      </w:r>
      <w:r>
        <w:rPr>
          <w:rFonts w:hint="eastAsia" w:ascii="Times New Roman" w:hAnsi="Times New Roman" w:eastAsia="仿宋_GB2312" w:cs="方正仿宋_GBK"/>
          <w:b w:val="0"/>
          <w:bCs w:val="0"/>
          <w:color w:val="auto"/>
          <w:highlight w:val="none"/>
        </w:rPr>
        <w:t>。</w:t>
      </w:r>
    </w:p>
    <w:p w14:paraId="1B5A01A3">
      <w:pPr>
        <w:keepNext w:val="0"/>
        <w:keepLines w:val="0"/>
        <w:pageBreakBefore w:val="0"/>
        <w:widowControl/>
        <w:numPr>
          <w:ilvl w:val="0"/>
          <w:numId w:val="12"/>
        </w:numPr>
        <w:shd w:val="clear" w:color="auto" w:fill="auto"/>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954" w:name="_Toc5864"/>
      <w:bookmarkStart w:id="955" w:name="_Toc4959"/>
      <w:bookmarkStart w:id="956" w:name="_Toc9672"/>
      <w:bookmarkStart w:id="957" w:name="_Toc20394"/>
      <w:bookmarkStart w:id="958" w:name="_Toc9385"/>
      <w:bookmarkStart w:id="959" w:name="_Toc27254"/>
      <w:bookmarkStart w:id="960" w:name="_Toc24196"/>
      <w:bookmarkStart w:id="961" w:name="_Toc27060"/>
      <w:bookmarkStart w:id="962" w:name="_Toc10863"/>
      <w:bookmarkStart w:id="963" w:name="_Toc20323"/>
      <w:bookmarkStart w:id="964" w:name="_Toc17899"/>
      <w:bookmarkStart w:id="965" w:name="_Toc20256"/>
      <w:bookmarkStart w:id="966" w:name="_Toc13508"/>
      <w:r>
        <w:rPr>
          <w:rFonts w:hint="eastAsia" w:ascii="楷体_GB2312" w:hAnsi="楷体_GB2312" w:eastAsia="楷体_GB2312" w:cs="楷体_GB2312"/>
          <w:b w:val="0"/>
          <w:bCs w:val="0"/>
          <w:color w:val="auto"/>
          <w:sz w:val="32"/>
          <w:szCs w:val="40"/>
          <w:highlight w:val="none"/>
          <w:lang w:val="en-US" w:eastAsia="zh-CN"/>
        </w:rPr>
        <w:t>坚决维护国家政治安全</w:t>
      </w:r>
      <w:bookmarkEnd w:id="954"/>
      <w:bookmarkEnd w:id="955"/>
      <w:bookmarkEnd w:id="956"/>
      <w:bookmarkEnd w:id="957"/>
      <w:bookmarkEnd w:id="958"/>
      <w:bookmarkEnd w:id="959"/>
      <w:bookmarkEnd w:id="960"/>
      <w:bookmarkEnd w:id="961"/>
      <w:bookmarkEnd w:id="962"/>
      <w:bookmarkEnd w:id="963"/>
      <w:bookmarkEnd w:id="964"/>
      <w:bookmarkEnd w:id="965"/>
      <w:bookmarkEnd w:id="966"/>
    </w:p>
    <w:p w14:paraId="1C374CC8">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color w:val="auto"/>
          <w:highlight w:val="none"/>
          <w:lang w:val="en-US" w:eastAsia="zh-CN"/>
        </w:rPr>
        <w:t>坚持把捍卫政治安全摆在首位，深入抓好政治安全风险隐患排查化解，坚定维护国家政权安全、制度安全、意识形态安全。坚决防范和打击各种渗透破坏颠覆活动、暴力恐怖活动、民族分裂活动、宗教极端活动和邪教活动。加强网络生态综合治理，健全完善重大舆情、突发事件舆论引导和处置机制，提升信息化时代网络舆情监测研判和应急处置、媒体应对能力。广泛开展国家安全宣传教育，加强国防动员能力建设，巩固国家安全人民防线。</w:t>
      </w:r>
    </w:p>
    <w:p w14:paraId="5D4476FE">
      <w:pPr>
        <w:keepNext w:val="0"/>
        <w:keepLines w:val="0"/>
        <w:pageBreakBefore w:val="0"/>
        <w:widowControl/>
        <w:numPr>
          <w:ilvl w:val="0"/>
          <w:numId w:val="12"/>
        </w:numPr>
        <w:shd w:val="clear" w:color="auto" w:fill="auto"/>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967" w:name="_Toc3951"/>
      <w:bookmarkStart w:id="968" w:name="_Toc15615"/>
      <w:bookmarkStart w:id="969" w:name="_Toc30170"/>
      <w:bookmarkStart w:id="970" w:name="_Toc6523"/>
      <w:bookmarkStart w:id="971" w:name="_Toc10181"/>
      <w:bookmarkStart w:id="972" w:name="_Toc22779"/>
      <w:bookmarkStart w:id="973" w:name="_Toc8490"/>
      <w:bookmarkStart w:id="974" w:name="_Toc26150"/>
      <w:bookmarkStart w:id="975" w:name="_Toc21756"/>
      <w:bookmarkStart w:id="976" w:name="_Toc6585"/>
      <w:bookmarkStart w:id="977" w:name="_Toc8110"/>
      <w:bookmarkStart w:id="978" w:name="_Toc16227"/>
      <w:bookmarkStart w:id="979" w:name="_Toc22444"/>
      <w:r>
        <w:rPr>
          <w:rFonts w:hint="eastAsia" w:ascii="楷体_GB2312" w:hAnsi="楷体_GB2312" w:eastAsia="楷体_GB2312" w:cs="楷体_GB2312"/>
          <w:b w:val="0"/>
          <w:bCs w:val="0"/>
          <w:color w:val="auto"/>
          <w:sz w:val="32"/>
          <w:szCs w:val="40"/>
          <w:highlight w:val="none"/>
          <w:lang w:val="en-US" w:eastAsia="zh-CN"/>
        </w:rPr>
        <w:t>抓好重点领域风险防控</w:t>
      </w:r>
      <w:bookmarkEnd w:id="967"/>
      <w:bookmarkEnd w:id="968"/>
      <w:bookmarkEnd w:id="969"/>
      <w:bookmarkEnd w:id="970"/>
      <w:bookmarkEnd w:id="971"/>
      <w:bookmarkEnd w:id="972"/>
      <w:bookmarkEnd w:id="973"/>
      <w:bookmarkEnd w:id="974"/>
      <w:bookmarkEnd w:id="975"/>
      <w:bookmarkEnd w:id="976"/>
      <w:bookmarkEnd w:id="977"/>
      <w:bookmarkEnd w:id="978"/>
      <w:bookmarkEnd w:id="979"/>
    </w:p>
    <w:p w14:paraId="57CC8442">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color w:val="auto"/>
          <w:highlight w:val="none"/>
        </w:rPr>
        <w:t>强化经济安全风险预警、防控机制和能力建设</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加强对重点领域、重点行业、重点市场风险的动态监测和分析研判</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保障经济运行在合理区间，做好稳增长、促改革、调结构、惠民生、防风险、保稳定各项工作。构建房地产市场发展新模式，促进房地产市场平稳健康发展。健全房地产企业主体监管制度，推进“保交楼、保民生、保稳定”工作。压实政府责任，保障购房人合法权益</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建立政府债务风险防范化解长效机制和同高质量发展相适应的政府债务管理机制</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严格落实政府债务限额管理和预算管理制度，坚决遏制隐性债务增量，稳妥化解隐性债务存量。强化财政约束，优化财政支出结构，兜牢基层“三保”底线。健全政府债务风险评估和预警机制。探索市场化、法治化的债务违约处置机制。</w:t>
      </w:r>
    </w:p>
    <w:p w14:paraId="3A1BFDF7">
      <w:pPr>
        <w:keepNext w:val="0"/>
        <w:keepLines w:val="0"/>
        <w:pageBreakBefore w:val="0"/>
        <w:widowControl/>
        <w:numPr>
          <w:ilvl w:val="0"/>
          <w:numId w:val="12"/>
        </w:numPr>
        <w:shd w:val="clear" w:color="auto" w:fill="auto"/>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980" w:name="_Toc26185"/>
      <w:bookmarkStart w:id="981" w:name="_Toc20298"/>
      <w:bookmarkStart w:id="982" w:name="_Toc25584"/>
      <w:bookmarkStart w:id="983" w:name="_Toc27593"/>
      <w:bookmarkStart w:id="984" w:name="_Toc17118"/>
      <w:bookmarkStart w:id="985" w:name="_Toc31887"/>
      <w:bookmarkStart w:id="986" w:name="_Toc17112"/>
      <w:bookmarkStart w:id="987" w:name="_Toc4193"/>
      <w:bookmarkStart w:id="988" w:name="_Toc10366"/>
      <w:bookmarkStart w:id="989" w:name="_Toc10739"/>
      <w:bookmarkStart w:id="990" w:name="_Toc28285"/>
      <w:bookmarkStart w:id="991" w:name="_Toc13903"/>
      <w:bookmarkStart w:id="992" w:name="_Toc12057"/>
      <w:r>
        <w:rPr>
          <w:rFonts w:hint="eastAsia" w:ascii="楷体_GB2312" w:hAnsi="楷体_GB2312" w:eastAsia="楷体_GB2312" w:cs="楷体_GB2312"/>
          <w:b w:val="0"/>
          <w:bCs w:val="0"/>
          <w:color w:val="auto"/>
          <w:sz w:val="32"/>
          <w:szCs w:val="40"/>
          <w:highlight w:val="none"/>
          <w:lang w:val="en-US" w:eastAsia="zh-CN"/>
        </w:rPr>
        <w:t>加强公共安全体系建设</w:t>
      </w:r>
      <w:bookmarkEnd w:id="980"/>
      <w:bookmarkEnd w:id="981"/>
      <w:bookmarkEnd w:id="982"/>
      <w:bookmarkEnd w:id="983"/>
      <w:bookmarkEnd w:id="984"/>
      <w:bookmarkEnd w:id="985"/>
      <w:bookmarkEnd w:id="986"/>
      <w:bookmarkEnd w:id="987"/>
      <w:bookmarkEnd w:id="988"/>
      <w:bookmarkEnd w:id="989"/>
      <w:bookmarkEnd w:id="990"/>
      <w:bookmarkEnd w:id="991"/>
      <w:bookmarkEnd w:id="992"/>
    </w:p>
    <w:p w14:paraId="2ED1C298">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color w:val="auto"/>
          <w:highlight w:val="none"/>
        </w:rPr>
        <w:t>坚持专项治理和系统治理、综合治理、依法治理、源头治理相结合，不断提升公共安全治理水平。</w:t>
      </w:r>
    </w:p>
    <w:p w14:paraId="15001B20">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color w:val="auto"/>
          <w:highlight w:val="none"/>
        </w:rPr>
        <w:t>加强安全风险监测预警体系和突发事件隐患排查治理。健全统一指挥、专常兼备、反应灵敏、上下联动的应急管理体制。完善风险分级管控和隐患排查治理双重预防机制，对危险化学品、矿山、交通运输、建筑施工、燃气、消防等重点行业领域实行常态化风险排查专项整治。推动公共安全治理模式向事前预防转型，强化源头管控，做到关口前移、重心下移。加强多灾种和灾害链综合监测、风险早期识别和预报预警能力建设。</w:t>
      </w:r>
    </w:p>
    <w:p w14:paraId="05013A02">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color w:val="auto"/>
          <w:highlight w:val="none"/>
        </w:rPr>
        <w:t>加强重点行业领域安全</w:t>
      </w:r>
      <w:r>
        <w:rPr>
          <w:rFonts w:hint="eastAsia" w:eastAsia="仿宋_GB2312" w:cs="方正仿宋_GBK"/>
          <w:b w:val="0"/>
          <w:bCs w:val="0"/>
          <w:color w:val="auto"/>
          <w:highlight w:val="none"/>
          <w:lang w:val="en-US" w:eastAsia="zh-CN"/>
        </w:rPr>
        <w:t>生产</w:t>
      </w:r>
      <w:r>
        <w:rPr>
          <w:rFonts w:hint="eastAsia" w:ascii="Times New Roman" w:hAnsi="Times New Roman" w:eastAsia="仿宋_GB2312" w:cs="方正仿宋_GBK"/>
          <w:b w:val="0"/>
          <w:bCs w:val="0"/>
          <w:color w:val="auto"/>
          <w:highlight w:val="none"/>
        </w:rPr>
        <w:t>监管。严格落实“三管三必须”要求，压实</w:t>
      </w:r>
      <w:r>
        <w:rPr>
          <w:rFonts w:hint="eastAsia" w:eastAsia="仿宋_GB2312" w:cs="方正仿宋_GBK"/>
          <w:b w:val="0"/>
          <w:bCs w:val="0"/>
          <w:color w:val="auto"/>
          <w:highlight w:val="none"/>
          <w:lang w:val="en-US" w:eastAsia="zh-CN"/>
        </w:rPr>
        <w:t>属地管理责任</w:t>
      </w:r>
      <w:r>
        <w:rPr>
          <w:rFonts w:hint="eastAsia" w:ascii="Times New Roman" w:hAnsi="Times New Roman" w:eastAsia="仿宋_GB2312" w:cs="方正仿宋_GBK"/>
          <w:b w:val="0"/>
          <w:bCs w:val="0"/>
          <w:color w:val="auto"/>
          <w:highlight w:val="none"/>
        </w:rPr>
        <w:t>、部门监管</w:t>
      </w:r>
      <w:r>
        <w:rPr>
          <w:rFonts w:hint="eastAsia" w:eastAsia="仿宋_GB2312" w:cs="方正仿宋_GBK"/>
          <w:b w:val="0"/>
          <w:bCs w:val="0"/>
          <w:color w:val="auto"/>
          <w:highlight w:val="none"/>
          <w:lang w:val="en-US" w:eastAsia="zh-CN"/>
        </w:rPr>
        <w:t>职责和</w:t>
      </w:r>
      <w:r>
        <w:rPr>
          <w:rFonts w:hint="eastAsia" w:ascii="Times New Roman" w:hAnsi="Times New Roman" w:eastAsia="仿宋_GB2312" w:cs="方正仿宋_GBK"/>
          <w:b w:val="0"/>
          <w:bCs w:val="0"/>
          <w:color w:val="auto"/>
          <w:highlight w:val="none"/>
        </w:rPr>
        <w:t>企业主体责任。运用信息化、智能化手段提升监管效能。加强道路交通、危险物品、大型活动、“三品一特”和新业态等重点行业领域安全监管，严防各类重特大安全事故发生。</w:t>
      </w:r>
    </w:p>
    <w:p w14:paraId="4B89FEA4">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lang w:val="en" w:eastAsia="zh-CN"/>
        </w:rPr>
      </w:pPr>
      <w:r>
        <w:rPr>
          <w:rFonts w:hint="eastAsia" w:ascii="Times New Roman" w:hAnsi="Times New Roman" w:eastAsia="仿宋_GB2312" w:cs="方正仿宋_GBK"/>
          <w:b w:val="0"/>
          <w:bCs w:val="0"/>
          <w:color w:val="auto"/>
          <w:highlight w:val="none"/>
        </w:rPr>
        <w:t>扎实推进自然灾害</w:t>
      </w:r>
      <w:r>
        <w:rPr>
          <w:rFonts w:hint="eastAsia" w:eastAsia="仿宋_GB2312" w:cs="方正仿宋_GBK"/>
          <w:b w:val="0"/>
          <w:bCs w:val="0"/>
          <w:color w:val="auto"/>
          <w:highlight w:val="none"/>
          <w:lang w:val="en-US" w:eastAsia="zh-CN"/>
        </w:rPr>
        <w:t>应对</w:t>
      </w:r>
      <w:r>
        <w:rPr>
          <w:rFonts w:hint="eastAsia" w:ascii="Times New Roman" w:hAnsi="Times New Roman" w:eastAsia="仿宋_GB2312" w:cs="方正仿宋_GBK"/>
          <w:b w:val="0"/>
          <w:bCs w:val="0"/>
          <w:color w:val="auto"/>
          <w:highlight w:val="none"/>
        </w:rPr>
        <w:t>能力建设。</w:t>
      </w:r>
      <w:r>
        <w:rPr>
          <w:rFonts w:hint="eastAsia" w:ascii="Times New Roman" w:hAnsi="Times New Roman" w:eastAsia="仿宋_GB2312" w:cs="方正仿宋_GBK"/>
          <w:b w:val="0"/>
          <w:bCs w:val="0"/>
          <w:color w:val="auto"/>
          <w:highlight w:val="none"/>
          <w:lang w:val="en-US" w:eastAsia="zh-CN"/>
        </w:rPr>
        <w:t>加强</w:t>
      </w:r>
      <w:r>
        <w:rPr>
          <w:rFonts w:hint="eastAsia" w:eastAsia="仿宋_GB2312" w:cs="方正仿宋_GBK"/>
          <w:b w:val="0"/>
          <w:bCs w:val="0"/>
          <w:color w:val="auto"/>
          <w:highlight w:val="none"/>
          <w:lang w:val="en-US" w:eastAsia="zh-CN"/>
        </w:rPr>
        <w:t>防灾</w:t>
      </w:r>
      <w:r>
        <w:rPr>
          <w:rFonts w:hint="eastAsia" w:ascii="Times New Roman" w:hAnsi="Times New Roman" w:eastAsia="仿宋_GB2312" w:cs="方正仿宋_GBK"/>
          <w:b w:val="0"/>
          <w:bCs w:val="0"/>
          <w:color w:val="auto"/>
          <w:highlight w:val="none"/>
        </w:rPr>
        <w:t>减灾救灾</w:t>
      </w:r>
      <w:r>
        <w:rPr>
          <w:rFonts w:hint="eastAsia" w:ascii="Times New Roman" w:hAnsi="Times New Roman" w:eastAsia="仿宋_GB2312" w:cs="方正仿宋_GBK"/>
          <w:b w:val="0"/>
          <w:bCs w:val="0"/>
          <w:color w:val="auto"/>
          <w:highlight w:val="none"/>
          <w:lang w:val="en-US" w:eastAsia="zh-CN"/>
        </w:rPr>
        <w:t>能力建设</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针对洪涝、干旱、森林草原火灾、地震、地质灾害、气象灾害等，完善防灾减灾工程设施，提升防灾减灾救灾能力。</w:t>
      </w:r>
      <w:r>
        <w:rPr>
          <w:rFonts w:hint="eastAsia" w:ascii="Times New Roman" w:hAnsi="Times New Roman" w:eastAsia="仿宋_GB2312" w:cs="方正仿宋_GBK"/>
          <w:b w:val="0"/>
          <w:bCs w:val="0"/>
          <w:color w:val="auto"/>
          <w:highlight w:val="none"/>
          <w:lang w:val="en" w:eastAsia="zh-CN"/>
        </w:rPr>
        <w:t>加强气象监测预报预警体系建设，健全以气象灾害预警为先导的多灾种联动响应机制，提高应对极端天气气候事件的能力。</w:t>
      </w:r>
    </w:p>
    <w:p w14:paraId="26AEFDF9">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color w:val="auto"/>
          <w:highlight w:val="none"/>
        </w:rPr>
        <w:t>深入推进应急管理体系和能力现代化。完善</w:t>
      </w:r>
      <w:r>
        <w:rPr>
          <w:rFonts w:hint="eastAsia" w:eastAsia="仿宋_GB2312" w:cs="方正仿宋_GBK"/>
          <w:b w:val="0"/>
          <w:bCs w:val="0"/>
          <w:color w:val="auto"/>
          <w:highlight w:val="none"/>
          <w:lang w:val="en-US" w:eastAsia="zh-CN"/>
        </w:rPr>
        <w:t>各领域</w:t>
      </w:r>
      <w:r>
        <w:rPr>
          <w:rFonts w:hint="eastAsia" w:ascii="Times New Roman" w:hAnsi="Times New Roman" w:eastAsia="仿宋_GB2312" w:cs="方正仿宋_GBK"/>
          <w:b w:val="0"/>
          <w:bCs w:val="0"/>
          <w:color w:val="auto"/>
          <w:highlight w:val="none"/>
        </w:rPr>
        <w:t>应急预案体系。加强应急管理干部队伍和能力建设。优化应急物资储备布局和调运分配机制，支持建设赤峰市应急煤炭储运基地。强化应急通信保障能力。</w:t>
      </w:r>
      <w:r>
        <w:rPr>
          <w:rFonts w:hint="eastAsia" w:ascii="Times New Roman" w:hAnsi="Times New Roman" w:eastAsia="仿宋_GB2312" w:cs="方正仿宋_GBK"/>
          <w:b w:val="0"/>
          <w:bCs w:val="0"/>
          <w:color w:val="auto"/>
          <w:highlight w:val="none"/>
          <w:lang w:eastAsia="zh-CN"/>
        </w:rPr>
        <w:t>进一步提升基层应急管理能力建设，</w:t>
      </w:r>
      <w:r>
        <w:rPr>
          <w:rFonts w:hint="eastAsia" w:ascii="Times New Roman" w:hAnsi="Times New Roman" w:eastAsia="仿宋_GB2312" w:cs="方正仿宋_GBK"/>
          <w:b w:val="0"/>
          <w:bCs w:val="0"/>
          <w:color w:val="auto"/>
          <w:highlight w:val="none"/>
          <w:lang w:val="en-US" w:eastAsia="zh-CN"/>
        </w:rPr>
        <w:t>加强</w:t>
      </w:r>
      <w:r>
        <w:rPr>
          <w:rFonts w:hint="eastAsia" w:eastAsia="仿宋_GB2312" w:cs="方正仿宋_GBK"/>
          <w:b w:val="0"/>
          <w:bCs w:val="0"/>
          <w:color w:val="auto"/>
          <w:highlight w:val="none"/>
          <w:lang w:val="en-US" w:eastAsia="zh-CN"/>
        </w:rPr>
        <w:t>基层</w:t>
      </w:r>
      <w:r>
        <w:rPr>
          <w:rFonts w:hint="eastAsia" w:ascii="Times New Roman" w:hAnsi="Times New Roman" w:eastAsia="仿宋_GB2312" w:cs="方正仿宋_GBK"/>
          <w:b w:val="0"/>
          <w:bCs w:val="0"/>
          <w:color w:val="auto"/>
          <w:highlight w:val="none"/>
          <w:lang w:eastAsia="zh-CN"/>
        </w:rPr>
        <w:t>救援队伍和应急</w:t>
      </w:r>
      <w:r>
        <w:rPr>
          <w:rFonts w:hint="eastAsia" w:eastAsia="仿宋_GB2312" w:cs="方正仿宋_GBK"/>
          <w:b w:val="0"/>
          <w:bCs w:val="0"/>
          <w:color w:val="auto"/>
          <w:highlight w:val="none"/>
          <w:lang w:val="en-US" w:eastAsia="zh-CN"/>
        </w:rPr>
        <w:t>避难</w:t>
      </w:r>
      <w:r>
        <w:rPr>
          <w:rFonts w:hint="eastAsia" w:ascii="Times New Roman" w:hAnsi="Times New Roman" w:eastAsia="仿宋_GB2312" w:cs="方正仿宋_GBK"/>
          <w:b w:val="0"/>
          <w:bCs w:val="0"/>
          <w:color w:val="auto"/>
          <w:highlight w:val="none"/>
          <w:lang w:eastAsia="zh-CN"/>
        </w:rPr>
        <w:t>场所建设，</w:t>
      </w:r>
      <w:r>
        <w:rPr>
          <w:rFonts w:hint="eastAsia" w:ascii="Times New Roman" w:hAnsi="Times New Roman" w:eastAsia="仿宋_GB2312" w:cs="方正仿宋_GBK"/>
          <w:b w:val="0"/>
          <w:bCs w:val="0"/>
          <w:color w:val="auto"/>
          <w:highlight w:val="none"/>
          <w:lang w:val="en-US" w:eastAsia="zh-CN"/>
        </w:rPr>
        <w:t>强化</w:t>
      </w:r>
      <w:r>
        <w:rPr>
          <w:rFonts w:hint="eastAsia" w:ascii="Times New Roman" w:hAnsi="Times New Roman" w:eastAsia="仿宋_GB2312" w:cs="方正仿宋_GBK"/>
          <w:b w:val="0"/>
          <w:bCs w:val="0"/>
          <w:color w:val="auto"/>
          <w:highlight w:val="none"/>
          <w:lang w:eastAsia="zh-CN"/>
        </w:rPr>
        <w:t>应急装备物资配备、应急信息化项目</w:t>
      </w:r>
      <w:r>
        <w:rPr>
          <w:rFonts w:hint="eastAsia" w:ascii="Times New Roman" w:hAnsi="Times New Roman" w:eastAsia="仿宋_GB2312" w:cs="方正仿宋_GBK"/>
          <w:b w:val="0"/>
          <w:bCs w:val="0"/>
          <w:color w:val="auto"/>
          <w:highlight w:val="none"/>
          <w:lang w:val="en-US" w:eastAsia="zh-CN"/>
        </w:rPr>
        <w:t>建设</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加强综合性消防救援队伍</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政府专职消防队伍和专业应急救援力量建设，支持社会应急力量发展。整合</w:t>
      </w:r>
      <w:r>
        <w:rPr>
          <w:rFonts w:hint="eastAsia" w:eastAsia="仿宋_GB2312" w:cs="方正仿宋_GBK"/>
          <w:b w:val="0"/>
          <w:bCs w:val="0"/>
          <w:color w:val="auto"/>
          <w:highlight w:val="none"/>
          <w:lang w:val="en-US" w:eastAsia="zh-CN"/>
        </w:rPr>
        <w:t>灾害</w:t>
      </w:r>
      <w:r>
        <w:rPr>
          <w:rFonts w:hint="eastAsia" w:ascii="Times New Roman" w:hAnsi="Times New Roman" w:eastAsia="仿宋_GB2312" w:cs="方正仿宋_GBK"/>
          <w:b w:val="0"/>
          <w:bCs w:val="0"/>
          <w:color w:val="auto"/>
          <w:highlight w:val="none"/>
        </w:rPr>
        <w:t>事故救援、自然灾害救援、应急指挥演练、安全生产培训考试、应急科普宣传教育、青少年研学等多种功能，建设“一专多能”的</w:t>
      </w:r>
      <w:r>
        <w:rPr>
          <w:rFonts w:hint="eastAsia" w:eastAsia="仿宋_GB2312" w:cs="方正仿宋_GBK"/>
          <w:b w:val="0"/>
          <w:bCs w:val="0"/>
          <w:color w:val="auto"/>
          <w:highlight w:val="none"/>
          <w:lang w:val="en-US" w:eastAsia="zh-CN"/>
        </w:rPr>
        <w:t>自治区</w:t>
      </w:r>
      <w:r>
        <w:rPr>
          <w:rFonts w:hint="eastAsia" w:ascii="Times New Roman" w:hAnsi="Times New Roman" w:eastAsia="仿宋_GB2312" w:cs="方正仿宋_GBK"/>
          <w:b w:val="0"/>
          <w:bCs w:val="0"/>
          <w:color w:val="auto"/>
          <w:highlight w:val="none"/>
        </w:rPr>
        <w:t>矿山应急救援</w:t>
      </w:r>
      <w:r>
        <w:rPr>
          <w:rFonts w:hint="eastAsia" w:ascii="Times New Roman" w:hAnsi="Times New Roman" w:eastAsia="仿宋_GB2312" w:cs="方正仿宋_GBK"/>
          <w:b w:val="0"/>
          <w:bCs w:val="0"/>
          <w:color w:val="auto"/>
          <w:highlight w:val="none"/>
          <w:lang w:val="en-US" w:eastAsia="zh-CN"/>
        </w:rPr>
        <w:t>综合</w:t>
      </w:r>
      <w:r>
        <w:rPr>
          <w:rFonts w:hint="eastAsia" w:ascii="Times New Roman" w:hAnsi="Times New Roman" w:eastAsia="仿宋_GB2312" w:cs="方正仿宋_GBK"/>
          <w:b w:val="0"/>
          <w:bCs w:val="0"/>
          <w:color w:val="auto"/>
          <w:highlight w:val="none"/>
        </w:rPr>
        <w:t>基地。广泛开展安全宣传教育，提升公众安全意识和自救互救能力。</w:t>
      </w:r>
    </w:p>
    <w:p w14:paraId="134B18A9">
      <w:pPr>
        <w:keepNext w:val="0"/>
        <w:keepLines w:val="0"/>
        <w:pageBreakBefore w:val="0"/>
        <w:widowControl/>
        <w:numPr>
          <w:ilvl w:val="0"/>
          <w:numId w:val="12"/>
        </w:numPr>
        <w:shd w:val="clear" w:color="auto" w:fill="auto"/>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993" w:name="_Toc7228"/>
      <w:bookmarkStart w:id="994" w:name="_Toc23665"/>
      <w:bookmarkStart w:id="995" w:name="_Toc11200"/>
      <w:bookmarkStart w:id="996" w:name="_Toc4751"/>
      <w:bookmarkStart w:id="997" w:name="_Toc31606"/>
      <w:bookmarkStart w:id="998" w:name="_Toc23798"/>
      <w:bookmarkStart w:id="999" w:name="_Toc26316"/>
      <w:bookmarkStart w:id="1000" w:name="_Toc14381"/>
      <w:bookmarkStart w:id="1001" w:name="_Toc12021"/>
      <w:bookmarkStart w:id="1002" w:name="_Toc19413"/>
      <w:bookmarkStart w:id="1003" w:name="_Toc25166"/>
      <w:bookmarkStart w:id="1004" w:name="_Toc15123"/>
      <w:bookmarkStart w:id="1005" w:name="_Toc17898"/>
      <w:r>
        <w:rPr>
          <w:rFonts w:hint="eastAsia" w:ascii="楷体_GB2312" w:hAnsi="楷体_GB2312" w:eastAsia="楷体_GB2312" w:cs="楷体_GB2312"/>
          <w:b w:val="0"/>
          <w:bCs w:val="0"/>
          <w:color w:val="auto"/>
          <w:sz w:val="32"/>
          <w:szCs w:val="40"/>
          <w:highlight w:val="none"/>
          <w:lang w:val="en-US" w:eastAsia="zh-CN"/>
        </w:rPr>
        <w:t>健全完善社会治理体系</w:t>
      </w:r>
      <w:bookmarkEnd w:id="993"/>
      <w:bookmarkEnd w:id="994"/>
      <w:bookmarkEnd w:id="995"/>
      <w:bookmarkEnd w:id="996"/>
      <w:bookmarkEnd w:id="997"/>
      <w:bookmarkEnd w:id="998"/>
      <w:bookmarkEnd w:id="999"/>
      <w:bookmarkEnd w:id="1000"/>
      <w:bookmarkEnd w:id="1001"/>
      <w:bookmarkEnd w:id="1002"/>
      <w:bookmarkEnd w:id="1003"/>
      <w:bookmarkEnd w:id="1004"/>
      <w:bookmarkEnd w:id="1005"/>
    </w:p>
    <w:p w14:paraId="28171B5E">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lang w:val="en-US" w:eastAsia="zh-CN"/>
        </w:rPr>
      </w:pPr>
      <w:r>
        <w:rPr>
          <w:rFonts w:hint="eastAsia" w:ascii="Times New Roman" w:hAnsi="Times New Roman" w:eastAsia="仿宋_GB2312" w:cs="方正仿宋_GBK"/>
          <w:b w:val="0"/>
          <w:bCs w:val="0"/>
          <w:color w:val="auto"/>
          <w:highlight w:val="none"/>
          <w:lang w:val="en-US" w:eastAsia="zh-CN"/>
        </w:rPr>
        <w:t>坚持系统治理、依法治理、综合治理、源头治理，完善共建共治共享的社会治理制度机制，全面提升社会治理社会化、法治化、智能化、专业化水平。</w:t>
      </w:r>
    </w:p>
    <w:p w14:paraId="2DD87AEC">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lang w:val="en-US" w:eastAsia="zh-CN"/>
        </w:rPr>
      </w:pPr>
      <w:r>
        <w:rPr>
          <w:rFonts w:hint="eastAsia" w:ascii="Times New Roman" w:hAnsi="Times New Roman" w:eastAsia="仿宋_GB2312" w:cs="方正仿宋_GBK"/>
          <w:b w:val="0"/>
          <w:bCs w:val="0"/>
          <w:color w:val="auto"/>
          <w:highlight w:val="none"/>
          <w:lang w:val="en-US" w:eastAsia="zh-CN"/>
        </w:rPr>
        <w:t>加强新兴领域党建</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lang w:val="en-US" w:eastAsia="zh-CN"/>
        </w:rPr>
        <w:t>开展新兴领域党建提质增效三年行动，实施“八个专项计划”，不断增强党在新兴领域的号召力凝聚力影响力。持续优化“两新”工委运行机制，落实行业党委党建工作职责，加大党建工作指导员选派力度，探索党组织和党员作用发挥的有效形式。认真落实关心关爱新就业群体服务保障措施二十条，推进全域友好场景建设，切实保障新就业群体合法权益。</w:t>
      </w:r>
    </w:p>
    <w:p w14:paraId="2123436F">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lang w:val="en-US" w:eastAsia="zh-CN"/>
        </w:rPr>
      </w:pPr>
      <w:r>
        <w:rPr>
          <w:rFonts w:hint="eastAsia" w:ascii="Times New Roman" w:hAnsi="Times New Roman" w:eastAsia="仿宋_GB2312" w:cs="方正仿宋_GBK"/>
          <w:b w:val="0"/>
          <w:bCs w:val="0"/>
          <w:color w:val="auto"/>
          <w:highlight w:val="none"/>
          <w:lang w:val="en-US" w:eastAsia="zh-CN"/>
        </w:rPr>
        <w:t>筑牢基层治理根基</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lang w:val="en-US" w:eastAsia="zh-CN"/>
        </w:rPr>
        <w:t>坚持自治、法治、德治相结合，落实村（居）民会议、村（居）民代表会议、村（居）务</w:t>
      </w:r>
      <w:r>
        <w:rPr>
          <w:rFonts w:hint="eastAsia" w:eastAsia="仿宋_GB2312" w:cs="方正仿宋_GBK"/>
          <w:b w:val="0"/>
          <w:bCs w:val="0"/>
          <w:color w:val="auto"/>
          <w:highlight w:val="none"/>
          <w:lang w:val="en-US" w:eastAsia="zh-CN"/>
        </w:rPr>
        <w:t>公示</w:t>
      </w:r>
      <w:r>
        <w:rPr>
          <w:rFonts w:hint="eastAsia" w:ascii="Times New Roman" w:hAnsi="Times New Roman" w:eastAsia="仿宋_GB2312" w:cs="方正仿宋_GBK"/>
          <w:b w:val="0"/>
          <w:bCs w:val="0"/>
          <w:color w:val="auto"/>
          <w:highlight w:val="none"/>
          <w:lang w:val="en-US" w:eastAsia="zh-CN"/>
        </w:rPr>
        <w:t>和村（居）务监督等制度，全面实施乡镇（街道）履行职责事项清单，接续优化嘎查村（社区）工作事项清单。健全村（社区）工作事项准入制度，落实未经准入工作事项倒查机制，推动基层治理观察点</w:t>
      </w:r>
      <w:r>
        <w:rPr>
          <w:rFonts w:hint="eastAsia" w:eastAsia="仿宋_GB2312" w:cs="方正仿宋_GBK"/>
          <w:b w:val="0"/>
          <w:bCs w:val="0"/>
          <w:color w:val="auto"/>
          <w:highlight w:val="none"/>
          <w:lang w:val="en-US" w:eastAsia="zh-CN"/>
        </w:rPr>
        <w:t>充分</w:t>
      </w:r>
      <w:r>
        <w:rPr>
          <w:rFonts w:hint="eastAsia" w:ascii="Times New Roman" w:hAnsi="Times New Roman" w:eastAsia="仿宋_GB2312" w:cs="方正仿宋_GBK"/>
          <w:b w:val="0"/>
          <w:bCs w:val="0"/>
          <w:color w:val="auto"/>
          <w:highlight w:val="none"/>
          <w:lang w:val="en-US" w:eastAsia="zh-CN"/>
        </w:rPr>
        <w:t>发挥作用。全面推行村党组织书记通过法定程序担任村委会主任和村级集体经济组织、合作经济组织负责人。完善基层议事协商机制，拓展多元协商形式，建立健全协商成果采纳、落实和反馈机制。坚持和发展新时代“枫桥经验”，推深做实基层“微治理”工作，提升矛盾纠纷排查化解效能。发挥居民公约、村规民约作用，加强家庭家教家风建设，促进移风易俗。强化智慧治理支撑，推动数据资源整合共享，推进智慧社区基础设施、系统平台和应用终端等建设，加强基层服务管理力量配置，完善服务经费保障，切实提升基层治理效能。</w:t>
      </w:r>
    </w:p>
    <w:p w14:paraId="2773563F">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lang w:val="en-US" w:eastAsia="zh-CN"/>
        </w:rPr>
      </w:pPr>
      <w:r>
        <w:rPr>
          <w:rFonts w:hint="eastAsia" w:ascii="Times New Roman" w:hAnsi="Times New Roman" w:eastAsia="仿宋_GB2312" w:cs="方正仿宋_GBK"/>
          <w:b w:val="0"/>
          <w:bCs w:val="0"/>
          <w:color w:val="auto"/>
          <w:highlight w:val="none"/>
          <w:lang w:val="en-US" w:eastAsia="zh-CN"/>
        </w:rPr>
        <w:t>深化凝聚服务群众</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lang w:val="en-US" w:eastAsia="zh-CN"/>
        </w:rPr>
        <w:t>健全新时代志愿服务体系，加强志愿服务法治建设，引导各类志愿服务组织规范有序发展，推进志愿服务项目精准化、常态化、便利化、品牌化建设，持续强化“赤诚相助”志愿服务品牌创建。加强社会工作者队伍建设，健全社区工作者</w:t>
      </w:r>
      <w:r>
        <w:rPr>
          <w:rFonts w:hint="eastAsia" w:eastAsia="仿宋_GB2312" w:cs="方正仿宋_GBK"/>
          <w:b w:val="0"/>
          <w:bCs w:val="0"/>
          <w:color w:val="auto"/>
          <w:highlight w:val="none"/>
          <w:lang w:val="en-US" w:eastAsia="zh-CN"/>
        </w:rPr>
        <w:t>薪酬</w:t>
      </w:r>
      <w:r>
        <w:rPr>
          <w:rFonts w:hint="eastAsia" w:ascii="Times New Roman" w:hAnsi="Times New Roman" w:eastAsia="仿宋_GB2312" w:cs="方正仿宋_GBK"/>
          <w:b w:val="0"/>
          <w:bCs w:val="0"/>
          <w:color w:val="auto"/>
          <w:highlight w:val="none"/>
          <w:lang w:val="en-US" w:eastAsia="zh-CN"/>
        </w:rPr>
        <w:t>待遇体系和绩效考核制度，引导和鼓励各类人才到城乡社区从事社会工作。强化市民热线等公共服务平台功能，探索人民建议征集、基层治理和志愿服务投诉举报与“12345”便民服务热线协同联动工作路径，推动“接诉即办”向“未诉先办”转型升级。发挥人民群众主体作用，组建特邀建议人队伍，推广人民建议征集圆桌会议制度，有序开展人民建议征集工作优秀案例评选，推动群众合理化建议转化为社会治理的政策与实践。深化信访制度改革，推进信访工作法治化，完善信访工作责任体系，全面推行信访代办制，着力推进源头预防和前端化解。</w:t>
      </w:r>
    </w:p>
    <w:p w14:paraId="5B774626">
      <w:pPr>
        <w:keepNext w:val="0"/>
        <w:keepLines w:val="0"/>
        <w:pageBreakBefore w:val="0"/>
        <w:widowControl/>
        <w:numPr>
          <w:ilvl w:val="0"/>
          <w:numId w:val="2"/>
        </w:numPr>
        <w:kinsoku/>
        <w:wordWrap/>
        <w:overflowPunct/>
        <w:topLinePunct w:val="0"/>
        <w:autoSpaceDE/>
        <w:autoSpaceDN/>
        <w:bidi w:val="0"/>
        <w:adjustRightInd/>
        <w:snapToGrid/>
        <w:spacing w:before="157" w:beforeLines="50" w:after="157" w:afterLines="50" w:line="540" w:lineRule="exact"/>
        <w:jc w:val="center"/>
        <w:textAlignment w:val="auto"/>
        <w:outlineLvl w:val="1"/>
        <w:rPr>
          <w:rFonts w:hint="eastAsia" w:ascii="黑体" w:hAnsi="黑体" w:eastAsia="黑体" w:cs="黑体"/>
          <w:b w:val="0"/>
          <w:bCs w:val="0"/>
          <w:sz w:val="32"/>
          <w:szCs w:val="32"/>
          <w:highlight w:val="none"/>
          <w:u w:val="none"/>
          <w:lang w:eastAsia="zh-CN"/>
        </w:rPr>
      </w:pPr>
      <w:bookmarkStart w:id="1006" w:name="_Toc12413"/>
      <w:bookmarkStart w:id="1007" w:name="_Toc14839"/>
      <w:bookmarkStart w:id="1008" w:name="_Toc17802"/>
      <w:bookmarkStart w:id="1009" w:name="_Toc10859"/>
      <w:bookmarkStart w:id="1010" w:name="_Toc27955"/>
      <w:bookmarkStart w:id="1011" w:name="_Toc12186"/>
      <w:bookmarkStart w:id="1012" w:name="_Toc26522"/>
      <w:bookmarkStart w:id="1013" w:name="_Toc20051"/>
      <w:bookmarkStart w:id="1014" w:name="_Toc19773"/>
      <w:bookmarkStart w:id="1015" w:name="_Toc18732"/>
      <w:bookmarkStart w:id="1016" w:name="_Toc30545"/>
      <w:bookmarkStart w:id="1017" w:name="_Toc26270"/>
      <w:bookmarkStart w:id="1018" w:name="_Toc3516"/>
      <w:r>
        <w:rPr>
          <w:rFonts w:hint="eastAsia" w:ascii="黑体" w:hAnsi="黑体" w:eastAsia="黑体" w:cs="黑体"/>
          <w:b w:val="0"/>
          <w:bCs w:val="0"/>
          <w:sz w:val="32"/>
          <w:szCs w:val="32"/>
          <w:highlight w:val="none"/>
          <w:u w:val="none"/>
          <w:lang w:val="en-US" w:eastAsia="zh-CN"/>
        </w:rPr>
        <w:t>切实保障和改善民生</w:t>
      </w:r>
      <w:r>
        <w:rPr>
          <w:rFonts w:hint="eastAsia" w:ascii="黑体" w:hAnsi="黑体" w:eastAsia="黑体" w:cs="黑体"/>
          <w:b w:val="0"/>
          <w:bCs w:val="0"/>
          <w:sz w:val="32"/>
          <w:szCs w:val="32"/>
          <w:highlight w:val="none"/>
          <w:u w:val="none"/>
          <w:lang w:eastAsia="zh-CN"/>
        </w:rPr>
        <w:t>，</w:t>
      </w:r>
      <w:r>
        <w:rPr>
          <w:rFonts w:hint="eastAsia" w:ascii="黑体" w:hAnsi="黑体" w:eastAsia="黑体" w:cs="黑体"/>
          <w:b w:val="0"/>
          <w:bCs w:val="0"/>
          <w:sz w:val="32"/>
          <w:szCs w:val="32"/>
          <w:highlight w:val="none"/>
          <w:u w:val="none"/>
          <w:lang w:val="en-US" w:eastAsia="zh-CN"/>
        </w:rPr>
        <w:t>扎实推进共同富裕</w:t>
      </w:r>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1006"/>
      <w:bookmarkEnd w:id="1007"/>
      <w:bookmarkEnd w:id="1008"/>
      <w:bookmarkEnd w:id="1009"/>
      <w:bookmarkEnd w:id="1010"/>
      <w:bookmarkEnd w:id="1011"/>
      <w:bookmarkEnd w:id="1012"/>
      <w:bookmarkEnd w:id="1013"/>
      <w:bookmarkEnd w:id="1014"/>
      <w:bookmarkEnd w:id="1015"/>
      <w:bookmarkEnd w:id="1016"/>
      <w:bookmarkEnd w:id="1017"/>
      <w:bookmarkEnd w:id="1018"/>
    </w:p>
    <w:p w14:paraId="36F0FFF3">
      <w:pPr>
        <w:pStyle w:val="43"/>
        <w:keepNext w:val="0"/>
        <w:keepLines w:val="0"/>
        <w:pageBreakBefore w:val="0"/>
        <w:shd w:val="clear"/>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rPr>
      </w:pPr>
      <w:r>
        <w:rPr>
          <w:rFonts w:hint="eastAsia" w:eastAsia="仿宋_GB2312" w:cs="方正仿宋_GBK"/>
          <w:b w:val="0"/>
          <w:bCs w:val="0"/>
          <w:color w:val="auto"/>
          <w:highlight w:val="none"/>
          <w:lang w:val="en-US" w:eastAsia="zh-CN"/>
        </w:rPr>
        <w:t>深入践行</w:t>
      </w:r>
      <w:r>
        <w:rPr>
          <w:rFonts w:hint="eastAsia" w:ascii="Times New Roman" w:hAnsi="Times New Roman" w:eastAsia="仿宋_GB2312" w:cs="方正仿宋_GBK"/>
          <w:b w:val="0"/>
          <w:bCs w:val="0"/>
          <w:color w:val="auto"/>
          <w:highlight w:val="none"/>
          <w:lang w:val="en-US" w:eastAsia="zh-CN"/>
        </w:rPr>
        <w:t>以人民为中心的发展思想，</w:t>
      </w:r>
      <w:r>
        <w:rPr>
          <w:rFonts w:hint="eastAsia" w:eastAsia="仿宋_GB2312" w:cs="方正仿宋_GBK"/>
          <w:b w:val="0"/>
          <w:bCs w:val="0"/>
          <w:color w:val="auto"/>
          <w:highlight w:val="none"/>
          <w:lang w:val="en-US" w:eastAsia="zh-CN"/>
        </w:rPr>
        <w:t>坚持</w:t>
      </w:r>
      <w:r>
        <w:rPr>
          <w:rFonts w:hint="eastAsia" w:ascii="Times New Roman" w:hAnsi="Times New Roman" w:eastAsia="仿宋_GB2312" w:cs="方正仿宋_GBK"/>
          <w:b w:val="0"/>
          <w:bCs w:val="0"/>
          <w:color w:val="auto"/>
          <w:highlight w:val="none"/>
          <w:lang w:val="en-US" w:eastAsia="zh-CN"/>
        </w:rPr>
        <w:t>尽力而为、量力而行，</w:t>
      </w:r>
      <w:r>
        <w:rPr>
          <w:rFonts w:hint="eastAsia" w:eastAsia="仿宋_GB2312" w:cs="方正仿宋_GBK"/>
          <w:b w:val="0"/>
          <w:bCs w:val="0"/>
          <w:color w:val="auto"/>
          <w:highlight w:val="none"/>
          <w:lang w:val="en-US" w:eastAsia="zh-CN"/>
        </w:rPr>
        <w:t>持续</w:t>
      </w:r>
      <w:r>
        <w:rPr>
          <w:rFonts w:hint="eastAsia" w:ascii="Times New Roman" w:hAnsi="Times New Roman" w:eastAsia="仿宋_GB2312" w:cs="方正仿宋_GBK"/>
          <w:b w:val="0"/>
          <w:bCs w:val="0"/>
          <w:color w:val="auto"/>
          <w:highlight w:val="none"/>
        </w:rPr>
        <w:t>增强基本公共服务均衡性和可及性，</w:t>
      </w:r>
      <w:r>
        <w:rPr>
          <w:rFonts w:hint="eastAsia" w:ascii="Times New Roman" w:hAnsi="Times New Roman" w:eastAsia="仿宋_GB2312" w:cs="方正仿宋_GBK"/>
          <w:b w:val="0"/>
          <w:bCs w:val="0"/>
          <w:color w:val="auto"/>
          <w:highlight w:val="none"/>
          <w:lang w:val="en-US" w:eastAsia="zh-CN"/>
        </w:rPr>
        <w:t>常态化办好民生实事，解决好人民群众急难愁盼问题，不断提高人民生活品质，</w:t>
      </w:r>
      <w:r>
        <w:rPr>
          <w:rFonts w:hint="eastAsia" w:ascii="Times New Roman" w:hAnsi="Times New Roman" w:eastAsia="仿宋_GB2312" w:cs="方正仿宋_GBK"/>
          <w:b w:val="0"/>
          <w:bCs w:val="0"/>
          <w:color w:val="auto"/>
          <w:highlight w:val="none"/>
        </w:rPr>
        <w:t>推动全体人民共同富裕取得实质性进展。</w:t>
      </w:r>
    </w:p>
    <w:p w14:paraId="3FA0AC6A">
      <w:pPr>
        <w:keepNext w:val="0"/>
        <w:keepLines w:val="0"/>
        <w:pageBreakBefore w:val="0"/>
        <w:widowControl/>
        <w:numPr>
          <w:ilvl w:val="0"/>
          <w:numId w:val="13"/>
        </w:numPr>
        <w:shd w:val="clear" w:color="auto" w:fill="auto"/>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1019" w:name="_Toc22498"/>
      <w:bookmarkStart w:id="1020" w:name="_Toc18792"/>
      <w:bookmarkStart w:id="1021" w:name="_Toc14900"/>
      <w:bookmarkStart w:id="1022" w:name="_Toc9167"/>
      <w:bookmarkStart w:id="1023" w:name="_Toc14491"/>
      <w:bookmarkStart w:id="1024" w:name="_Toc10655"/>
      <w:bookmarkStart w:id="1025" w:name="_Toc5510"/>
      <w:bookmarkStart w:id="1026" w:name="_Toc9989"/>
      <w:bookmarkStart w:id="1027" w:name="_Toc22958"/>
      <w:bookmarkStart w:id="1028" w:name="_Toc4228"/>
      <w:bookmarkStart w:id="1029" w:name="_Toc22549"/>
      <w:bookmarkStart w:id="1030" w:name="_Toc13770"/>
      <w:bookmarkStart w:id="1031" w:name="_Toc13219"/>
      <w:bookmarkStart w:id="1032" w:name="_Toc265"/>
      <w:r>
        <w:rPr>
          <w:rFonts w:hint="eastAsia" w:ascii="楷体_GB2312" w:hAnsi="楷体_GB2312" w:eastAsia="楷体_GB2312" w:cs="楷体_GB2312"/>
          <w:b w:val="0"/>
          <w:bCs w:val="0"/>
          <w:color w:val="auto"/>
          <w:sz w:val="32"/>
          <w:szCs w:val="40"/>
          <w:highlight w:val="none"/>
          <w:lang w:val="en-US" w:eastAsia="zh-CN"/>
        </w:rPr>
        <w:t>促进高质量充分就业</w:t>
      </w:r>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p>
    <w:p w14:paraId="6AAA67D9">
      <w:pPr>
        <w:pStyle w:val="43"/>
        <w:keepNext w:val="0"/>
        <w:keepLines w:val="0"/>
        <w:pageBreakBefore w:val="0"/>
        <w:shd w:val="clear"/>
        <w:kinsoku/>
        <w:wordWrap/>
        <w:topLinePunct w:val="0"/>
        <w:autoSpaceDE/>
        <w:autoSpaceDN/>
        <w:bidi w:val="0"/>
        <w:adjustRightInd/>
        <w:spacing w:line="540" w:lineRule="exact"/>
        <w:textAlignment w:val="auto"/>
        <w:rPr>
          <w:rFonts w:hint="default"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color w:val="auto"/>
          <w:highlight w:val="none"/>
        </w:rPr>
        <w:t>深入实施就业优先战略，健全更加充分</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更高质量</w:t>
      </w:r>
      <w:r>
        <w:rPr>
          <w:rFonts w:hint="eastAsia" w:ascii="Times New Roman" w:hAnsi="Times New Roman" w:eastAsia="仿宋_GB2312" w:cs="方正仿宋_GBK"/>
          <w:b w:val="0"/>
          <w:bCs w:val="0"/>
          <w:color w:val="auto"/>
          <w:highlight w:val="none"/>
          <w:lang w:eastAsia="zh-CN"/>
        </w:rPr>
        <w:t>就业促进机制</w:t>
      </w:r>
      <w:r>
        <w:rPr>
          <w:rFonts w:hint="eastAsia" w:ascii="Times New Roman" w:hAnsi="Times New Roman" w:eastAsia="仿宋_GB2312" w:cs="方正仿宋_GBK"/>
          <w:b w:val="0"/>
          <w:bCs w:val="0"/>
          <w:color w:val="auto"/>
          <w:highlight w:val="none"/>
        </w:rPr>
        <w:t>，努力实现就业规模稳步扩大、就业结构持续优化、就业质量显著提升。</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十五五</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时期</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lang w:val="en-US" w:eastAsia="zh-CN"/>
        </w:rPr>
        <w:t>城镇新增就业</w:t>
      </w:r>
      <w:r>
        <w:rPr>
          <w:rFonts w:hint="eastAsia" w:eastAsia="仿宋_GB2312" w:cs="方正仿宋_GBK"/>
          <w:b w:val="0"/>
          <w:bCs w:val="0"/>
          <w:color w:val="auto"/>
          <w:highlight w:val="none"/>
          <w:lang w:val="en-US" w:eastAsia="zh-CN"/>
        </w:rPr>
        <w:t>累计7.5</w:t>
      </w:r>
      <w:r>
        <w:rPr>
          <w:rFonts w:hint="eastAsia" w:ascii="Times New Roman" w:hAnsi="Times New Roman" w:eastAsia="仿宋_GB2312" w:cs="方正仿宋_GBK"/>
          <w:b w:val="0"/>
          <w:bCs w:val="0"/>
          <w:color w:val="auto"/>
          <w:highlight w:val="none"/>
          <w:lang w:val="en-US" w:eastAsia="zh-CN"/>
        </w:rPr>
        <w:t>万人</w:t>
      </w:r>
      <w:r>
        <w:rPr>
          <w:rFonts w:hint="eastAsia" w:eastAsia="仿宋_GB2312" w:cs="方正仿宋_GBK"/>
          <w:b w:val="0"/>
          <w:bCs w:val="0"/>
          <w:color w:val="auto"/>
          <w:highlight w:val="none"/>
          <w:lang w:val="en-US" w:eastAsia="zh-CN"/>
        </w:rPr>
        <w:t>次</w:t>
      </w:r>
      <w:r>
        <w:rPr>
          <w:rFonts w:hint="eastAsia" w:ascii="Times New Roman" w:hAnsi="Times New Roman" w:eastAsia="仿宋_GB2312" w:cs="方正仿宋_GBK"/>
          <w:b w:val="0"/>
          <w:bCs w:val="0"/>
          <w:color w:val="auto"/>
          <w:highlight w:val="none"/>
          <w:lang w:val="en-US" w:eastAsia="zh-CN"/>
        </w:rPr>
        <w:t>。</w:t>
      </w:r>
    </w:p>
    <w:p w14:paraId="548969FB">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spacing w:val="-6"/>
          <w:highlight w:val="none"/>
        </w:rPr>
      </w:pPr>
      <w:bookmarkStart w:id="1033" w:name="_Toc23051"/>
      <w:r>
        <w:rPr>
          <w:rFonts w:hint="eastAsia" w:ascii="Times New Roman" w:hAnsi="Times New Roman" w:eastAsia="仿宋_GB2312" w:cs="方正仿宋_GBK"/>
          <w:b w:val="0"/>
          <w:bCs w:val="0"/>
          <w:color w:val="auto"/>
          <w:highlight w:val="none"/>
          <w:lang w:val="en-US" w:eastAsia="zh-CN"/>
        </w:rPr>
        <w:t>提高产业发展就业带动能力</w:t>
      </w:r>
      <w:bookmarkEnd w:id="1033"/>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lang w:val="en-US" w:eastAsia="zh-CN"/>
        </w:rPr>
        <w:t>持续强化就业优先导向，把高质量充分就业作为经济社会发展的优先目标</w:t>
      </w:r>
      <w:r>
        <w:rPr>
          <w:rFonts w:hint="eastAsia" w:ascii="Times New Roman" w:hAnsi="Times New Roman" w:eastAsia="仿宋_GB2312" w:cs="方正仿宋_GBK"/>
          <w:b w:val="0"/>
          <w:bCs w:val="0"/>
          <w:color w:val="auto"/>
          <w:highlight w:val="none"/>
        </w:rPr>
        <w:t>，在</w:t>
      </w:r>
      <w:r>
        <w:rPr>
          <w:rFonts w:hint="eastAsia" w:eastAsia="仿宋_GB2312" w:cs="方正仿宋_GBK"/>
          <w:b w:val="0"/>
          <w:bCs w:val="0"/>
          <w:color w:val="auto"/>
          <w:highlight w:val="none"/>
          <w:lang w:val="en-US" w:eastAsia="zh-CN"/>
        </w:rPr>
        <w:t>谋划</w:t>
      </w:r>
      <w:r>
        <w:rPr>
          <w:rFonts w:hint="eastAsia" w:ascii="Times New Roman" w:hAnsi="Times New Roman" w:eastAsia="仿宋_GB2312" w:cs="方正仿宋_GBK"/>
          <w:b w:val="0"/>
          <w:bCs w:val="0"/>
          <w:color w:val="auto"/>
          <w:highlight w:val="none"/>
        </w:rPr>
        <w:t>项目、布局产业时，</w:t>
      </w:r>
      <w:r>
        <w:rPr>
          <w:rFonts w:hint="eastAsia" w:eastAsia="仿宋_GB2312" w:cs="方正仿宋_GBK"/>
          <w:b w:val="0"/>
          <w:bCs w:val="0"/>
          <w:color w:val="auto"/>
          <w:highlight w:val="none"/>
          <w:lang w:val="en-US" w:eastAsia="zh-CN"/>
        </w:rPr>
        <w:t>注重</w:t>
      </w:r>
      <w:r>
        <w:rPr>
          <w:rFonts w:hint="eastAsia" w:ascii="Times New Roman" w:hAnsi="Times New Roman" w:eastAsia="仿宋_GB2312" w:cs="方正仿宋_GBK"/>
          <w:b w:val="0"/>
          <w:bCs w:val="0"/>
          <w:color w:val="auto"/>
          <w:highlight w:val="none"/>
        </w:rPr>
        <w:t>吸纳就业能力强的产业和企业，推动招商引资和产业落地与促进本地就业紧密结合。</w:t>
      </w:r>
      <w:r>
        <w:rPr>
          <w:rFonts w:hint="eastAsia" w:eastAsia="仿宋_GB2312" w:cs="方正仿宋_GBK"/>
          <w:b w:val="0"/>
          <w:bCs w:val="0"/>
          <w:color w:val="auto"/>
          <w:highlight w:val="none"/>
          <w:lang w:val="en-US" w:eastAsia="zh-CN"/>
        </w:rPr>
        <w:t>发展</w:t>
      </w:r>
      <w:r>
        <w:rPr>
          <w:rFonts w:hint="eastAsia" w:ascii="Times New Roman" w:hAnsi="Times New Roman" w:eastAsia="仿宋_GB2312" w:cs="方正仿宋_GBK"/>
          <w:b w:val="0"/>
          <w:bCs w:val="0"/>
          <w:color w:val="auto"/>
          <w:highlight w:val="none"/>
        </w:rPr>
        <w:t>农牧业带动就业</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重点培育农牧业产业化企业、农牧民合作社、家庭农牧场等新型农牧业经营主体带动就业。提升制造业吸纳就业能力</w:t>
      </w:r>
      <w:r>
        <w:rPr>
          <w:rFonts w:hint="eastAsia" w:ascii="Times New Roman" w:hAnsi="Times New Roman" w:eastAsia="仿宋_GB2312" w:cs="方正仿宋_GBK"/>
          <w:b w:val="0"/>
          <w:bCs w:val="0"/>
          <w:color w:val="auto"/>
          <w:highlight w:val="none"/>
          <w:lang w:eastAsia="zh-CN"/>
        </w:rPr>
        <w:t>，</w:t>
      </w:r>
      <w:r>
        <w:rPr>
          <w:rFonts w:hint="eastAsia" w:eastAsia="仿宋_GB2312" w:cs="方正仿宋_GBK"/>
          <w:b w:val="0"/>
          <w:bCs w:val="0"/>
          <w:color w:val="auto"/>
          <w:highlight w:val="none"/>
          <w:lang w:val="en-US" w:eastAsia="zh-CN"/>
        </w:rPr>
        <w:t>壮大</w:t>
      </w:r>
      <w:r>
        <w:rPr>
          <w:rFonts w:hint="eastAsia" w:ascii="Times New Roman" w:hAnsi="Times New Roman" w:eastAsia="仿宋_GB2312" w:cs="方正仿宋_GBK"/>
          <w:b w:val="0"/>
          <w:bCs w:val="0"/>
          <w:color w:val="auto"/>
          <w:highlight w:val="none"/>
        </w:rPr>
        <w:t>五个千亿级产业链条和新能源、新材料两大产业</w:t>
      </w:r>
      <w:r>
        <w:rPr>
          <w:rFonts w:hint="eastAsia" w:eastAsia="仿宋_GB2312" w:cs="方正仿宋_GBK"/>
          <w:b w:val="0"/>
          <w:bCs w:val="0"/>
          <w:color w:val="auto"/>
          <w:highlight w:val="none"/>
          <w:lang w:val="en-US" w:eastAsia="zh-CN"/>
        </w:rPr>
        <w:t>集群</w:t>
      </w:r>
      <w:r>
        <w:rPr>
          <w:rFonts w:hint="eastAsia" w:ascii="Times New Roman" w:hAnsi="Times New Roman" w:eastAsia="仿宋_GB2312" w:cs="方正仿宋_GBK"/>
          <w:b w:val="0"/>
          <w:bCs w:val="0"/>
          <w:color w:val="auto"/>
          <w:highlight w:val="none"/>
        </w:rPr>
        <w:t>，扩大就业岗位供给。拓展服务业就业空间</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大力发展现代物流、邮政快递、科技信息等生产性服务业，积极培育直</w:t>
      </w:r>
      <w:r>
        <w:rPr>
          <w:rFonts w:hint="eastAsia" w:ascii="Times New Roman" w:hAnsi="Times New Roman" w:eastAsia="仿宋_GB2312" w:cs="方正仿宋_GBK"/>
          <w:b w:val="0"/>
          <w:bCs w:val="0"/>
          <w:color w:val="auto"/>
          <w:spacing w:val="-6"/>
          <w:highlight w:val="none"/>
        </w:rPr>
        <w:t>播电商、网络货运、在线教育、数字文化等新业态</w:t>
      </w:r>
      <w:r>
        <w:rPr>
          <w:rFonts w:hint="eastAsia" w:ascii="Times New Roman" w:hAnsi="Times New Roman" w:eastAsia="仿宋_GB2312" w:cs="方正仿宋_GBK"/>
          <w:b w:val="0"/>
          <w:bCs w:val="0"/>
          <w:color w:val="auto"/>
          <w:spacing w:val="-6"/>
          <w:highlight w:val="none"/>
          <w:lang w:val="en-US" w:eastAsia="zh-CN"/>
        </w:rPr>
        <w:t>带动就业。促进灵活就业，积极发展平台就业、网络就业、共享用工等新就业形态。</w:t>
      </w:r>
    </w:p>
    <w:p w14:paraId="7FEA3E42">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lang w:eastAsia="zh-CN"/>
        </w:rPr>
      </w:pPr>
      <w:bookmarkStart w:id="1034" w:name="_Toc32497"/>
      <w:r>
        <w:rPr>
          <w:rFonts w:hint="eastAsia" w:ascii="Times New Roman" w:hAnsi="Times New Roman" w:eastAsia="仿宋_GB2312" w:cs="方正仿宋_GBK"/>
          <w:b w:val="0"/>
          <w:bCs w:val="0"/>
          <w:color w:val="auto"/>
          <w:highlight w:val="none"/>
        </w:rPr>
        <w:t>完善重点群体就业支持体系</w:t>
      </w:r>
      <w:bookmarkEnd w:id="1034"/>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稳定和扩大高校毕业生、农民工、退役军人等重点群体就业</w:t>
      </w:r>
      <w:r>
        <w:rPr>
          <w:rFonts w:hint="eastAsia" w:ascii="Times New Roman" w:hAnsi="Times New Roman" w:eastAsia="仿宋_GB2312" w:cs="方正仿宋_GBK"/>
          <w:b w:val="0"/>
          <w:bCs w:val="0"/>
          <w:color w:val="auto"/>
          <w:highlight w:val="none"/>
        </w:rPr>
        <w:t>。拓展高校毕业生就业渠道</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通过公务员招录、事业单位招聘、绿色通道人才引进、“文明红山·青春赤峰”校园专项引才等方式</w:t>
      </w:r>
      <w:r>
        <w:rPr>
          <w:rFonts w:hint="eastAsia" w:ascii="Times New Roman" w:hAnsi="Times New Roman" w:eastAsia="仿宋_GB2312" w:cs="方正仿宋_GBK"/>
          <w:b w:val="0"/>
          <w:bCs w:val="0"/>
          <w:color w:val="auto"/>
          <w:highlight w:val="none"/>
          <w:lang w:val="en-US" w:eastAsia="zh-CN"/>
        </w:rPr>
        <w:t>吸纳</w:t>
      </w:r>
      <w:r>
        <w:rPr>
          <w:rFonts w:hint="eastAsia" w:ascii="Times New Roman" w:hAnsi="Times New Roman" w:eastAsia="仿宋_GB2312" w:cs="方正仿宋_GBK"/>
          <w:b w:val="0"/>
          <w:bCs w:val="0"/>
          <w:color w:val="auto"/>
          <w:highlight w:val="none"/>
        </w:rPr>
        <w:t>高校毕业生就业</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引导高校毕业生等青年群体到企业就业、灵活就业、自主创业等多渠道就业。促进农牧民工就近就地就业</w:t>
      </w:r>
      <w:bookmarkStart w:id="1035" w:name="_Hlk188432213"/>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引导农牧民积极参与防沙治沙、交通水利、市政基础设施</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高标准农田</w:t>
      </w:r>
      <w:r>
        <w:rPr>
          <w:rFonts w:hint="eastAsia" w:ascii="Times New Roman" w:hAnsi="Times New Roman" w:eastAsia="仿宋_GB2312" w:cs="方正仿宋_GBK"/>
          <w:b w:val="0"/>
          <w:bCs w:val="0"/>
          <w:color w:val="auto"/>
          <w:highlight w:val="none"/>
        </w:rPr>
        <w:t>等工程建设</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实施</w:t>
      </w:r>
      <w:r>
        <w:rPr>
          <w:rFonts w:hint="eastAsia" w:ascii="Times New Roman" w:hAnsi="Times New Roman" w:eastAsia="仿宋_GB2312" w:cs="方正仿宋_GBK"/>
          <w:b w:val="0"/>
          <w:bCs w:val="0"/>
          <w:color w:val="auto"/>
          <w:highlight w:val="none"/>
        </w:rPr>
        <w:t>以工代赈项目</w:t>
      </w:r>
      <w:bookmarkEnd w:id="1035"/>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带动当地群众务工就业。加强退役军人就业安置</w:t>
      </w:r>
      <w:r>
        <w:rPr>
          <w:rFonts w:hint="eastAsia" w:eastAsia="仿宋_GB2312" w:cs="方正仿宋_GBK"/>
          <w:b w:val="0"/>
          <w:bCs w:val="0"/>
          <w:color w:val="auto"/>
          <w:highlight w:val="none"/>
          <w:lang w:val="en-US" w:eastAsia="zh-CN"/>
        </w:rPr>
        <w:t>和</w:t>
      </w:r>
      <w:r>
        <w:rPr>
          <w:rFonts w:hint="eastAsia" w:ascii="Times New Roman" w:hAnsi="Times New Roman" w:eastAsia="仿宋_GB2312" w:cs="方正仿宋_GBK"/>
          <w:b w:val="0"/>
          <w:bCs w:val="0"/>
          <w:color w:val="auto"/>
          <w:highlight w:val="none"/>
        </w:rPr>
        <w:t>创业扶持。加强对妇女、残疾人等群体就业支持，消除就业歧视。开展困难群体精准帮扶</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推动登记失业人员、就业困难人员精准服务向街道、社区下沉，摸清就业、培训等需求，“一对一”落实服务措施。</w:t>
      </w:r>
      <w:r>
        <w:rPr>
          <w:rFonts w:hint="eastAsia" w:eastAsia="仿宋_GB2312" w:cs="方正仿宋_GBK"/>
          <w:b w:val="0"/>
          <w:bCs w:val="0"/>
          <w:color w:val="auto"/>
          <w:highlight w:val="none"/>
          <w:lang w:val="en-US" w:eastAsia="zh-CN"/>
        </w:rPr>
        <w:t>推动</w:t>
      </w:r>
      <w:r>
        <w:rPr>
          <w:rFonts w:hint="eastAsia" w:ascii="Times New Roman" w:hAnsi="Times New Roman" w:eastAsia="仿宋_GB2312" w:cs="方正仿宋_GBK"/>
          <w:b w:val="0"/>
          <w:bCs w:val="0"/>
          <w:color w:val="auto"/>
          <w:highlight w:val="none"/>
        </w:rPr>
        <w:t>就业援助兜底和市场化就业相结合，通过公益性岗位兜底安置就业。</w:t>
      </w:r>
    </w:p>
    <w:p w14:paraId="78500AED">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rPr>
      </w:pPr>
      <w:bookmarkStart w:id="1036" w:name="_Toc19754"/>
      <w:r>
        <w:rPr>
          <w:rFonts w:hint="eastAsia" w:ascii="Times New Roman" w:hAnsi="Times New Roman" w:eastAsia="仿宋_GB2312" w:cs="方正仿宋_GBK"/>
          <w:b w:val="0"/>
          <w:bCs w:val="0"/>
          <w:color w:val="auto"/>
          <w:highlight w:val="none"/>
          <w:lang w:val="en-US" w:eastAsia="zh-CN"/>
        </w:rPr>
        <w:t>持续提升各类群体就业技能</w:t>
      </w:r>
      <w:bookmarkEnd w:id="1036"/>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lang w:val="en-US" w:eastAsia="zh-CN"/>
        </w:rPr>
        <w:t>完善人力资源供需匹配机制，强化择业和用人观念引导，促进人岗相适、用人所长、人尽其才。</w:t>
      </w:r>
      <w:r>
        <w:rPr>
          <w:rFonts w:hint="eastAsia" w:ascii="Times New Roman" w:hAnsi="Times New Roman" w:eastAsia="仿宋_GB2312" w:cs="方正仿宋_GBK"/>
          <w:b w:val="0"/>
          <w:bCs w:val="0"/>
          <w:color w:val="auto"/>
          <w:highlight w:val="none"/>
        </w:rPr>
        <w:t>紧扣市场需求和产业发展方向，</w:t>
      </w:r>
      <w:r>
        <w:rPr>
          <w:rFonts w:hint="eastAsia" w:ascii="Times New Roman" w:hAnsi="Times New Roman" w:eastAsia="仿宋_GB2312" w:cs="方正仿宋_GBK"/>
          <w:b w:val="0"/>
          <w:bCs w:val="0"/>
          <w:color w:val="auto"/>
          <w:highlight w:val="none"/>
          <w:lang w:val="en-US" w:eastAsia="zh-CN"/>
        </w:rPr>
        <w:t>分行业、领域</w:t>
      </w:r>
      <w:r>
        <w:rPr>
          <w:rFonts w:hint="eastAsia" w:ascii="Times New Roman" w:hAnsi="Times New Roman" w:eastAsia="仿宋_GB2312" w:cs="方正仿宋_GBK"/>
          <w:b w:val="0"/>
          <w:bCs w:val="0"/>
          <w:color w:val="auto"/>
          <w:highlight w:val="none"/>
        </w:rPr>
        <w:t>开展大规模多层次职业技能培训</w:t>
      </w:r>
      <w:r>
        <w:rPr>
          <w:rFonts w:hint="eastAsia" w:eastAsia="仿宋_GB2312" w:cs="方正仿宋_GBK"/>
          <w:b w:val="0"/>
          <w:bCs w:val="0"/>
          <w:color w:val="auto"/>
          <w:highlight w:val="none"/>
          <w:lang w:eastAsia="zh-CN"/>
        </w:rPr>
        <w:t>。</w:t>
      </w:r>
      <w:r>
        <w:rPr>
          <w:rFonts w:hint="eastAsia" w:eastAsia="仿宋_GB2312" w:cs="方正仿宋_GBK"/>
          <w:b w:val="0"/>
          <w:bCs w:val="0"/>
          <w:color w:val="auto"/>
          <w:highlight w:val="none"/>
          <w:lang w:val="en-US" w:eastAsia="zh-CN"/>
        </w:rPr>
        <w:t>实施“技能强企”行动，</w:t>
      </w:r>
      <w:r>
        <w:rPr>
          <w:rFonts w:hint="eastAsia" w:ascii="Times New Roman" w:hAnsi="Times New Roman" w:eastAsia="仿宋_GB2312" w:cs="方正仿宋_GBK"/>
          <w:b w:val="0"/>
          <w:bCs w:val="0"/>
          <w:color w:val="auto"/>
          <w:highlight w:val="none"/>
        </w:rPr>
        <w:t>鼓励企业全过程参与职业院校人才培养，开展订单式培养、新型学徒制培训。支持企业培养技工人才</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建设企业技能培训中心</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深入推行工学一体化技能人才培养模式。</w:t>
      </w:r>
      <w:r>
        <w:rPr>
          <w:rFonts w:hint="eastAsia" w:eastAsia="仿宋_GB2312" w:cs="方正仿宋_GBK"/>
          <w:b w:val="0"/>
          <w:bCs w:val="0"/>
          <w:color w:val="auto"/>
          <w:highlight w:val="none"/>
          <w:lang w:val="en-US" w:eastAsia="zh-CN"/>
        </w:rPr>
        <w:t>实施</w:t>
      </w:r>
      <w:r>
        <w:rPr>
          <w:rFonts w:hint="eastAsia" w:ascii="Times New Roman" w:hAnsi="Times New Roman" w:eastAsia="仿宋_GB2312" w:cs="方正仿宋_GBK"/>
          <w:b w:val="0"/>
          <w:bCs w:val="0"/>
          <w:color w:val="auto"/>
          <w:highlight w:val="none"/>
        </w:rPr>
        <w:t>“特色产业+特色劳务”</w:t>
      </w:r>
      <w:r>
        <w:rPr>
          <w:rFonts w:hint="eastAsia" w:eastAsia="仿宋_GB2312" w:cs="方正仿宋_GBK"/>
          <w:b w:val="0"/>
          <w:bCs w:val="0"/>
          <w:color w:val="auto"/>
          <w:highlight w:val="none"/>
          <w:lang w:val="en-US" w:eastAsia="zh-CN"/>
        </w:rPr>
        <w:t>品牌行动</w:t>
      </w:r>
      <w:r>
        <w:rPr>
          <w:rFonts w:hint="eastAsia" w:ascii="Times New Roman" w:hAnsi="Times New Roman" w:eastAsia="仿宋_GB2312" w:cs="方正仿宋_GBK"/>
          <w:b w:val="0"/>
          <w:bCs w:val="0"/>
          <w:color w:val="auto"/>
          <w:highlight w:val="none"/>
        </w:rPr>
        <w:t>，</w:t>
      </w:r>
      <w:r>
        <w:rPr>
          <w:rFonts w:hint="eastAsia" w:ascii="仿宋_GB2312" w:hAnsi="仿宋_GB2312" w:eastAsia="仿宋_GB2312" w:cs="仿宋_GB2312"/>
          <w:b w:val="0"/>
          <w:bCs w:val="0"/>
          <w:kern w:val="2"/>
          <w:sz w:val="32"/>
          <w:szCs w:val="32"/>
          <w:highlight w:val="none"/>
          <w:u w:val="none" w:color="auto"/>
          <w:lang w:val="en-US" w:eastAsia="zh-CN" w:bidi="ar-SA"/>
        </w:rPr>
        <w:t>打造敖汉架线工、京东家政、中药材农机工等更多劳务品牌</w:t>
      </w:r>
      <w:r>
        <w:rPr>
          <w:rFonts w:hint="eastAsia" w:ascii="Times New Roman" w:hAnsi="Times New Roman" w:eastAsia="仿宋_GB2312" w:cs="方正仿宋_GBK"/>
          <w:b w:val="0"/>
          <w:bCs w:val="0"/>
          <w:color w:val="auto"/>
          <w:highlight w:val="none"/>
        </w:rPr>
        <w:t>。</w:t>
      </w:r>
      <w:r>
        <w:rPr>
          <w:rFonts w:hint="eastAsia" w:eastAsia="仿宋_GB2312" w:cs="方正仿宋_GBK"/>
          <w:b w:val="0"/>
          <w:bCs w:val="0"/>
          <w:color w:val="auto"/>
          <w:highlight w:val="none"/>
          <w:lang w:val="en-US" w:eastAsia="zh-CN"/>
        </w:rPr>
        <w:t>加强区域合作，</w:t>
      </w:r>
      <w:r>
        <w:rPr>
          <w:rFonts w:hint="eastAsia" w:ascii="Times New Roman" w:hAnsi="Times New Roman" w:eastAsia="仿宋_GB2312" w:cs="方正仿宋_GBK"/>
          <w:b w:val="0"/>
          <w:bCs w:val="0"/>
          <w:color w:val="auto"/>
          <w:highlight w:val="none"/>
        </w:rPr>
        <w:t>依托内蒙古民族工业技师学院、内蒙古自治区民族交通技师学院等院校，广泛吸纳内蒙古东部地区以及东三省优质技工院校，联合建设具有区域性辐射优势的蒙东技工院校联盟，实现共享资源、共同发展。加强高技能人才队伍建设，畅通技能人才职业发展通道。</w:t>
      </w:r>
    </w:p>
    <w:p w14:paraId="205B2B8D">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仿宋_GB2312" w:hAnsi="仿宋_GB2312" w:eastAsia="仿宋_GB2312" w:cs="仿宋_GB2312"/>
          <w:b w:val="0"/>
          <w:bCs w:val="0"/>
          <w:kern w:val="2"/>
          <w:sz w:val="32"/>
          <w:szCs w:val="32"/>
          <w:highlight w:val="none"/>
          <w:u w:val="none" w:color="auto"/>
          <w:lang w:val="en-US" w:eastAsia="zh-CN" w:bidi="ar-SA"/>
        </w:rPr>
      </w:pPr>
      <w:bookmarkStart w:id="1037" w:name="_Toc3379"/>
      <w:r>
        <w:rPr>
          <w:rFonts w:hint="eastAsia" w:ascii="Times New Roman" w:hAnsi="Times New Roman" w:eastAsia="仿宋_GB2312" w:cs="方正仿宋_GBK"/>
          <w:b w:val="0"/>
          <w:bCs w:val="0"/>
          <w:color w:val="auto"/>
          <w:highlight w:val="none"/>
        </w:rPr>
        <w:t>全面提升公共就业服务水平</w:t>
      </w:r>
      <w:bookmarkEnd w:id="1037"/>
      <w:r>
        <w:rPr>
          <w:rFonts w:hint="eastAsia" w:eastAsia="仿宋_GB2312" w:cs="方正仿宋_GBK"/>
          <w:b w:val="0"/>
          <w:bCs w:val="0"/>
          <w:color w:val="auto"/>
          <w:highlight w:val="none"/>
          <w:lang w:eastAsia="zh-CN"/>
        </w:rPr>
        <w:t>。</w:t>
      </w:r>
      <w:r>
        <w:rPr>
          <w:rFonts w:hint="eastAsia" w:eastAsia="仿宋_GB2312" w:cs="方正仿宋_GBK"/>
          <w:b w:val="0"/>
          <w:bCs w:val="0"/>
          <w:color w:val="auto"/>
          <w:highlight w:val="none"/>
          <w:lang w:val="en-US" w:eastAsia="zh-CN"/>
        </w:rPr>
        <w:t>强化就业公共服务体系建设，提升就业公共服务水平。</w:t>
      </w:r>
      <w:r>
        <w:rPr>
          <w:rFonts w:hint="eastAsia" w:ascii="Times New Roman" w:hAnsi="Times New Roman" w:eastAsia="仿宋_GB2312" w:cs="方正仿宋_GBK"/>
          <w:b w:val="0"/>
          <w:bCs w:val="0"/>
          <w:color w:val="auto"/>
          <w:highlight w:val="none"/>
        </w:rPr>
        <w:t>实施公共就业服务能力提升示范项目，</w:t>
      </w:r>
      <w:r>
        <w:rPr>
          <w:rFonts w:hint="eastAsia" w:eastAsia="仿宋_GB2312" w:cs="方正仿宋_GBK"/>
          <w:b w:val="0"/>
          <w:bCs w:val="0"/>
          <w:color w:val="auto"/>
          <w:highlight w:val="none"/>
          <w:lang w:val="en-US" w:eastAsia="zh-CN"/>
        </w:rPr>
        <w:t>加快推进</w:t>
      </w:r>
      <w:r>
        <w:rPr>
          <w:rFonts w:hint="eastAsia" w:ascii="Times New Roman" w:hAnsi="Times New Roman" w:eastAsia="仿宋_GB2312" w:cs="方正仿宋_GBK"/>
          <w:b w:val="0"/>
          <w:bCs w:val="0"/>
          <w:color w:val="auto"/>
          <w:highlight w:val="none"/>
        </w:rPr>
        <w:t>“玉龙腾飞”就业促进工程</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“草原匠心”</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“温暖龙乡”</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“红山智谷”计划。</w:t>
      </w:r>
      <w:r>
        <w:rPr>
          <w:rFonts w:hint="eastAsia" w:eastAsia="仿宋_GB2312" w:cs="方正仿宋_GBK"/>
          <w:b w:val="0"/>
          <w:bCs w:val="0"/>
          <w:color w:val="auto"/>
          <w:highlight w:val="none"/>
          <w:lang w:val="en-US" w:eastAsia="zh-CN"/>
        </w:rPr>
        <w:t>推动就业公共服务下沉基层，</w:t>
      </w:r>
      <w:r>
        <w:rPr>
          <w:rFonts w:hint="eastAsia" w:ascii="Times New Roman" w:hAnsi="Times New Roman" w:eastAsia="仿宋_GB2312" w:cs="方正仿宋_GBK"/>
          <w:b w:val="0"/>
          <w:bCs w:val="0"/>
          <w:color w:val="auto"/>
          <w:highlight w:val="none"/>
        </w:rPr>
        <w:t>依托党群服务中心、高校、零工市场、工会驿站、商圈等</w:t>
      </w:r>
      <w:r>
        <w:rPr>
          <w:rFonts w:hint="eastAsia" w:ascii="Times New Roman" w:hAnsi="Times New Roman" w:eastAsia="仿宋_GB2312" w:cs="方正仿宋_GBK"/>
          <w:b w:val="0"/>
          <w:bCs w:val="0"/>
          <w:color w:val="auto"/>
          <w:highlight w:val="none"/>
          <w:lang w:val="en-US" w:eastAsia="zh-CN"/>
        </w:rPr>
        <w:t>建设</w:t>
      </w:r>
      <w:r>
        <w:rPr>
          <w:rFonts w:hint="eastAsia" w:ascii="Times New Roman" w:hAnsi="Times New Roman" w:eastAsia="仿宋_GB2312" w:cs="方正仿宋_GBK"/>
          <w:b w:val="0"/>
          <w:bCs w:val="0"/>
          <w:color w:val="auto"/>
          <w:highlight w:val="none"/>
        </w:rPr>
        <w:t>“家门口”就业服务站，强化网格员、社区民生志愿服务计划人员等力量配备</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打造“15分钟就业服务圈”。创新公共就业服务模式</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主动对接自治区“一网通”公共就业服务平台，依托人工智能工具库，建设赤峰人社智能客服，提供7</w:t>
      </w:r>
      <w:r>
        <w:rPr>
          <w:rFonts w:hint="default" w:ascii="Arial" w:hAnsi="Arial" w:eastAsia="仿宋_GB2312" w:cs="Arial"/>
          <w:b w:val="0"/>
          <w:bCs w:val="0"/>
          <w:color w:val="auto"/>
          <w:highlight w:val="none"/>
          <w:lang w:val="en-US"/>
        </w:rPr>
        <w:t>×</w:t>
      </w:r>
      <w:r>
        <w:rPr>
          <w:rFonts w:hint="eastAsia" w:ascii="Times New Roman" w:hAnsi="Times New Roman" w:eastAsia="仿宋_GB2312" w:cs="方正仿宋_GBK"/>
          <w:b w:val="0"/>
          <w:bCs w:val="0"/>
          <w:color w:val="auto"/>
          <w:highlight w:val="none"/>
        </w:rPr>
        <w:t>24小时不间断服务。打造“赤峰就业红娘”IP形象，提供精准职业介绍，开发人社助企服务小程序，全面提升公共就业服务智能化、信息化水平。</w:t>
      </w:r>
      <w:r>
        <w:rPr>
          <w:rFonts w:hint="eastAsia" w:eastAsia="仿宋_GB2312" w:cs="方正仿宋_GBK"/>
          <w:b w:val="0"/>
          <w:bCs w:val="0"/>
          <w:color w:val="auto"/>
          <w:highlight w:val="none"/>
          <w:lang w:val="en-US" w:eastAsia="zh-CN"/>
        </w:rPr>
        <w:t>加强平台载体建设，</w:t>
      </w:r>
      <w:r>
        <w:rPr>
          <w:rFonts w:hint="eastAsia" w:ascii="Times New Roman" w:hAnsi="Times New Roman" w:eastAsia="仿宋_GB2312" w:cs="方正仿宋_GBK"/>
          <w:b w:val="0"/>
          <w:bCs w:val="0"/>
          <w:color w:val="auto"/>
          <w:highlight w:val="none"/>
        </w:rPr>
        <w:t>推动赤峰人力资源服务产业园提质增效，引进</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培育一批具有核心竞争力的</w:t>
      </w:r>
      <w:r>
        <w:rPr>
          <w:rFonts w:hint="eastAsia" w:eastAsia="仿宋_GB2312" w:cs="方正仿宋_GBK"/>
          <w:b w:val="0"/>
          <w:bCs w:val="0"/>
          <w:color w:val="auto"/>
          <w:highlight w:val="none"/>
          <w:lang w:val="en-US" w:eastAsia="zh-CN"/>
        </w:rPr>
        <w:t>服务</w:t>
      </w:r>
      <w:r>
        <w:rPr>
          <w:rFonts w:hint="eastAsia" w:ascii="Times New Roman" w:hAnsi="Times New Roman" w:eastAsia="仿宋_GB2312" w:cs="方正仿宋_GBK"/>
          <w:b w:val="0"/>
          <w:bCs w:val="0"/>
          <w:color w:val="auto"/>
          <w:highlight w:val="none"/>
        </w:rPr>
        <w:t>机构</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加快推进创业孵化基地</w:t>
      </w:r>
      <w:r>
        <w:rPr>
          <w:rFonts w:hint="eastAsia" w:eastAsia="仿宋_GB2312" w:cs="方正仿宋_GBK"/>
          <w:b w:val="0"/>
          <w:bCs w:val="0"/>
          <w:color w:val="auto"/>
          <w:highlight w:val="none"/>
          <w:lang w:val="en-US" w:eastAsia="zh-CN"/>
        </w:rPr>
        <w:t>和</w:t>
      </w:r>
      <w:r>
        <w:rPr>
          <w:rFonts w:hint="eastAsia" w:ascii="仿宋_GB2312" w:hAnsi="仿宋_GB2312" w:eastAsia="仿宋_GB2312" w:cs="仿宋_GB2312"/>
          <w:b w:val="0"/>
          <w:bCs w:val="0"/>
          <w:kern w:val="2"/>
          <w:sz w:val="32"/>
          <w:szCs w:val="32"/>
          <w:highlight w:val="none"/>
          <w:u w:val="none" w:color="auto"/>
          <w:lang w:val="en-US" w:eastAsia="zh-CN" w:bidi="ar-SA"/>
        </w:rPr>
        <w:t>家政类就业服务基地建设。</w:t>
      </w:r>
      <w:r>
        <w:rPr>
          <w:rFonts w:hint="eastAsia" w:ascii="Times New Roman" w:hAnsi="Times New Roman" w:eastAsia="仿宋_GB2312" w:cs="方正仿宋_GBK"/>
          <w:b w:val="0"/>
          <w:bCs w:val="0"/>
          <w:color w:val="auto"/>
          <w:highlight w:val="none"/>
        </w:rPr>
        <w:t>加强同京津冀地区合作，建立蒙东人力资源共享联盟，辐射东北地区，巩固区域中心地位</w:t>
      </w:r>
      <w:r>
        <w:rPr>
          <w:rFonts w:hint="eastAsia" w:ascii="仿宋_GB2312" w:hAnsi="仿宋_GB2312" w:eastAsia="仿宋_GB2312" w:cs="仿宋_GB2312"/>
          <w:b w:val="0"/>
          <w:bCs w:val="0"/>
          <w:kern w:val="2"/>
          <w:sz w:val="32"/>
          <w:szCs w:val="32"/>
          <w:highlight w:val="none"/>
          <w:u w:val="none" w:color="auto"/>
          <w:lang w:val="en-US" w:eastAsia="zh-CN" w:bidi="ar-SA"/>
        </w:rPr>
        <w:t>。</w:t>
      </w:r>
      <w:r>
        <w:rPr>
          <w:rFonts w:hint="eastAsia" w:ascii="Times New Roman" w:hAnsi="Times New Roman" w:eastAsia="仿宋_GB2312" w:cs="方正仿宋_GBK"/>
          <w:b w:val="0"/>
          <w:bCs w:val="0"/>
          <w:color w:val="auto"/>
          <w:highlight w:val="none"/>
        </w:rPr>
        <w:t>强化劳动者权益保障</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加强劳动保障监察、劳动关系协调、劳动人事争议调解仲裁队伍建设，严厉打击欠薪欠保、违法裁员、虚假招聘、“黑中介”等违法违规行为。</w:t>
      </w:r>
    </w:p>
    <w:p w14:paraId="5B7755A1">
      <w:pPr>
        <w:keepNext w:val="0"/>
        <w:keepLines w:val="0"/>
        <w:pageBreakBefore w:val="0"/>
        <w:widowControl/>
        <w:numPr>
          <w:ilvl w:val="0"/>
          <w:numId w:val="13"/>
        </w:numPr>
        <w:shd w:val="clear" w:color="auto" w:fill="auto"/>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1038" w:name="_Toc17119"/>
      <w:bookmarkStart w:id="1039" w:name="_Toc26799"/>
      <w:bookmarkStart w:id="1040" w:name="_Toc651"/>
      <w:bookmarkStart w:id="1041" w:name="_Toc32052"/>
      <w:bookmarkStart w:id="1042" w:name="_Toc10826"/>
      <w:bookmarkStart w:id="1043" w:name="_Toc17082"/>
      <w:bookmarkStart w:id="1044" w:name="_Toc9036"/>
      <w:bookmarkStart w:id="1045" w:name="_Toc14692"/>
      <w:bookmarkStart w:id="1046" w:name="_Toc17009"/>
      <w:bookmarkStart w:id="1047" w:name="_Toc28841"/>
      <w:bookmarkStart w:id="1048" w:name="_Toc31732"/>
      <w:bookmarkStart w:id="1049" w:name="_Toc5860"/>
      <w:bookmarkStart w:id="1050" w:name="_Toc9900"/>
      <w:bookmarkStart w:id="1051" w:name="_Toc27745"/>
      <w:bookmarkStart w:id="1052" w:name="_Toc20350"/>
      <w:bookmarkStart w:id="1053" w:name="_Toc18185"/>
      <w:bookmarkStart w:id="1054" w:name="_Toc31964"/>
      <w:bookmarkStart w:id="1055" w:name="_Toc28994"/>
      <w:bookmarkStart w:id="1056" w:name="_Toc13690"/>
      <w:bookmarkStart w:id="1057" w:name="_Toc392"/>
      <w:bookmarkStart w:id="1058" w:name="_Toc22692"/>
      <w:bookmarkStart w:id="1059" w:name="_Toc8932"/>
      <w:bookmarkStart w:id="1060" w:name="_Toc3936"/>
      <w:r>
        <w:rPr>
          <w:rFonts w:hint="eastAsia" w:ascii="楷体_GB2312" w:hAnsi="楷体_GB2312" w:eastAsia="楷体_GB2312" w:cs="楷体_GB2312"/>
          <w:b w:val="0"/>
          <w:bCs w:val="0"/>
          <w:color w:val="auto"/>
          <w:sz w:val="32"/>
          <w:szCs w:val="40"/>
          <w:highlight w:val="none"/>
          <w:lang w:val="en-US" w:eastAsia="zh-CN"/>
        </w:rPr>
        <w:t>促进居民持续增收</w:t>
      </w:r>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p>
    <w:p w14:paraId="7E77CDA8">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color w:val="auto"/>
          <w:highlight w:val="none"/>
        </w:rPr>
        <w:t>坚持按劳分配为主体、多种分配方式并存，着重保护劳动所得，提高劳动报酬在初次分配中的比重，健全再分配调节机制，重视发挥第三次分配作用，</w:t>
      </w:r>
      <w:r>
        <w:rPr>
          <w:rFonts w:hint="eastAsia" w:ascii="Times New Roman" w:hAnsi="Times New Roman" w:eastAsia="仿宋_GB2312" w:cs="方正仿宋_GBK"/>
          <w:b w:val="0"/>
          <w:bCs w:val="0"/>
          <w:color w:val="auto"/>
          <w:highlight w:val="none"/>
          <w:lang w:val="en-US" w:eastAsia="zh-CN"/>
        </w:rPr>
        <w:t>确保居民收入</w:t>
      </w:r>
      <w:r>
        <w:rPr>
          <w:rFonts w:hint="eastAsia" w:eastAsia="仿宋_GB2312" w:cs="方正仿宋_GBK"/>
          <w:b w:val="0"/>
          <w:bCs w:val="0"/>
          <w:color w:val="auto"/>
          <w:highlight w:val="none"/>
          <w:lang w:val="en-US" w:eastAsia="zh-CN"/>
        </w:rPr>
        <w:t>稳步增长</w:t>
      </w:r>
      <w:r>
        <w:rPr>
          <w:rFonts w:hint="eastAsia" w:ascii="Times New Roman" w:hAnsi="Times New Roman" w:eastAsia="仿宋_GB2312" w:cs="方正仿宋_GBK"/>
          <w:b w:val="0"/>
          <w:bCs w:val="0"/>
          <w:color w:val="auto"/>
          <w:highlight w:val="none"/>
          <w:lang w:val="en-US" w:eastAsia="zh-CN"/>
        </w:rPr>
        <w:t>。</w:t>
      </w:r>
    </w:p>
    <w:p w14:paraId="71DE413D">
      <w:pPr>
        <w:pStyle w:val="43"/>
        <w:keepNext w:val="0"/>
        <w:keepLines w:val="0"/>
        <w:pageBreakBefore w:val="0"/>
        <w:shd w:val="clear" w:color="auto" w:fill="auto"/>
        <w:kinsoku/>
        <w:wordWrap/>
        <w:topLinePunct w:val="0"/>
        <w:autoSpaceDE/>
        <w:autoSpaceDN/>
        <w:bidi w:val="0"/>
        <w:adjustRightInd/>
        <w:spacing w:line="540" w:lineRule="exact"/>
        <w:textAlignment w:val="auto"/>
        <w:outlineLvl w:val="3"/>
        <w:rPr>
          <w:rFonts w:hint="eastAsia" w:ascii="Times New Roman" w:hAnsi="Times New Roman" w:eastAsia="仿宋_GB2312" w:cs="方正仿宋_GBK"/>
          <w:b w:val="0"/>
          <w:bCs w:val="0"/>
          <w:color w:val="auto"/>
          <w:highlight w:val="none"/>
        </w:rPr>
      </w:pPr>
      <w:r>
        <w:rPr>
          <w:rFonts w:hint="eastAsia" w:eastAsia="仿宋_GB2312" w:cs="方正仿宋_GBK"/>
          <w:b w:val="0"/>
          <w:bCs w:val="0"/>
          <w:color w:val="auto"/>
          <w:kern w:val="2"/>
          <w:sz w:val="32"/>
          <w:szCs w:val="32"/>
          <w:highlight w:val="none"/>
          <w:u w:val="none" w:color="auto"/>
          <w:lang w:val="en-US" w:eastAsia="zh-CN" w:bidi="ar-SA"/>
        </w:rPr>
        <w:t>多渠道增加居民收入。</w:t>
      </w:r>
      <w:r>
        <w:rPr>
          <w:rFonts w:hint="eastAsia" w:ascii="Times New Roman" w:hAnsi="Times New Roman" w:eastAsia="仿宋_GB2312" w:cs="方正仿宋_GBK"/>
          <w:b w:val="0"/>
          <w:bCs w:val="0"/>
          <w:color w:val="auto"/>
          <w:highlight w:val="none"/>
          <w:lang w:val="en-US" w:eastAsia="zh-CN"/>
        </w:rPr>
        <w:t>实施城乡居民增收计划，有效增加低收入群体收入，提高中等收入群体比重，推动形成橄榄型分配格局。提高居民工资性收入，落实工资合理增长、</w:t>
      </w:r>
      <w:r>
        <w:rPr>
          <w:rFonts w:hint="eastAsia" w:eastAsia="仿宋_GB2312" w:cs="方正仿宋_GBK"/>
          <w:b w:val="0"/>
          <w:bCs w:val="0"/>
          <w:color w:val="auto"/>
          <w:highlight w:val="none"/>
          <w:lang w:val="en-US" w:eastAsia="zh-CN"/>
        </w:rPr>
        <w:t>支付保障和</w:t>
      </w:r>
      <w:r>
        <w:rPr>
          <w:rFonts w:hint="eastAsia" w:ascii="Times New Roman" w:hAnsi="Times New Roman" w:eastAsia="仿宋_GB2312" w:cs="方正仿宋_GBK"/>
          <w:b w:val="0"/>
          <w:bCs w:val="0"/>
          <w:color w:val="auto"/>
          <w:highlight w:val="none"/>
          <w:lang w:val="en-US" w:eastAsia="zh-CN"/>
        </w:rPr>
        <w:t>最低工资标准调整机制</w:t>
      </w:r>
      <w:r>
        <w:rPr>
          <w:rFonts w:hint="eastAsia" w:eastAsia="仿宋_GB2312" w:cs="方正仿宋_GBK"/>
          <w:b w:val="0"/>
          <w:bCs w:val="0"/>
          <w:color w:val="auto"/>
          <w:highlight w:val="none"/>
          <w:lang w:val="en-US" w:eastAsia="zh-CN"/>
        </w:rPr>
        <w:t>，推行工资集体协商制度</w:t>
      </w:r>
      <w:r>
        <w:rPr>
          <w:rFonts w:hint="eastAsia" w:ascii="Times New Roman" w:hAnsi="Times New Roman" w:eastAsia="仿宋_GB2312" w:cs="方正仿宋_GBK"/>
          <w:b w:val="0"/>
          <w:bCs w:val="0"/>
          <w:color w:val="auto"/>
          <w:highlight w:val="none"/>
          <w:lang w:val="en-US" w:eastAsia="zh-CN"/>
        </w:rPr>
        <w:t>。</w:t>
      </w:r>
      <w:r>
        <w:rPr>
          <w:rFonts w:hint="eastAsia" w:eastAsia="仿宋_GB2312" w:cs="方正仿宋_GBK"/>
          <w:b w:val="0"/>
          <w:bCs w:val="0"/>
          <w:color w:val="auto"/>
          <w:highlight w:val="none"/>
          <w:lang w:val="en-US" w:eastAsia="zh-CN"/>
        </w:rPr>
        <w:t>落实</w:t>
      </w:r>
      <w:r>
        <w:rPr>
          <w:rFonts w:hint="eastAsia" w:ascii="Times New Roman" w:hAnsi="Times New Roman" w:eastAsia="仿宋_GB2312" w:cs="方正仿宋_GBK"/>
          <w:b w:val="0"/>
          <w:bCs w:val="0"/>
          <w:color w:val="auto"/>
          <w:highlight w:val="none"/>
          <w:lang w:val="en-US" w:eastAsia="zh-CN"/>
        </w:rPr>
        <w:t>国有企业工资决定机制</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lang w:val="en-US" w:eastAsia="zh-CN"/>
        </w:rPr>
        <w:t>机关事业单位工资和津补贴制度。加力扩围实施以工代赈，鼓励有条件的苏木乡镇、嘎查村建立劳务合作社和乡村施工队参与工程建设。大力发展富民产业，完善联农带农机制，让农牧民获得更多产业收益。积极发展乡村旅游，推进文旅富民。鼓励引导农牧户合法拥有的住房通过出租、入股、合作等方式盘活利用，有效增加农牧民财产性收入。落实惠农强农政策，将各类惠农补贴及时足额发放到农牧民手中，增加群众转移性收入。</w:t>
      </w:r>
    </w:p>
    <w:p w14:paraId="6A40B134">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lang w:val="en-US" w:eastAsia="zh-CN"/>
        </w:rPr>
      </w:pPr>
      <w:bookmarkStart w:id="1061" w:name="_Toc1004"/>
      <w:r>
        <w:rPr>
          <w:rFonts w:hint="eastAsia" w:eastAsia="仿宋_GB2312" w:cs="方正仿宋_GBK"/>
          <w:b w:val="0"/>
          <w:bCs w:val="0"/>
          <w:color w:val="auto"/>
          <w:sz w:val="32"/>
          <w:szCs w:val="32"/>
          <w:highlight w:val="none"/>
          <w:lang w:val="en-US" w:eastAsia="zh-CN"/>
        </w:rPr>
        <w:t>健全收入分配制度</w:t>
      </w:r>
      <w:bookmarkEnd w:id="1061"/>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highlight w:val="none"/>
          <w:lang w:val="en-US" w:eastAsia="zh-CN"/>
        </w:rPr>
        <w:t>提高居民收入在国民收入分配中的比重，提高劳动报酬在初次分配中的比重。</w:t>
      </w:r>
      <w:r>
        <w:rPr>
          <w:rFonts w:hint="eastAsia" w:ascii="Times New Roman" w:hAnsi="Times New Roman" w:eastAsia="仿宋_GB2312" w:cs="方正仿宋_GBK"/>
          <w:b w:val="0"/>
          <w:bCs w:val="0"/>
          <w:color w:val="auto"/>
          <w:highlight w:val="none"/>
        </w:rPr>
        <w:t>充分发挥市场对企业工资分配的决定性作用，完善企业工资决定及正常增长机制</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发挥再分配调节作用，落实个人所得税专项附加扣除及税收优惠政策</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lang w:val="en-US" w:eastAsia="zh-CN"/>
        </w:rPr>
        <w:t>社会保险、社会救助、转移支付等政策。</w:t>
      </w:r>
      <w:r>
        <w:rPr>
          <w:rFonts w:hint="eastAsia" w:ascii="Times New Roman" w:hAnsi="Times New Roman" w:eastAsia="仿宋_GB2312" w:cs="方正仿宋_GBK"/>
          <w:b w:val="0"/>
          <w:bCs w:val="0"/>
          <w:color w:val="auto"/>
          <w:highlight w:val="none"/>
        </w:rPr>
        <w:t>发挥第三次分配作用</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促进和规范公益慈善事业发展，</w:t>
      </w:r>
      <w:r>
        <w:rPr>
          <w:rFonts w:hint="eastAsia" w:ascii="Times New Roman" w:hAnsi="Times New Roman" w:eastAsia="仿宋_GB2312" w:cs="方正仿宋_GBK"/>
          <w:b w:val="0"/>
          <w:bCs w:val="0"/>
          <w:color w:val="auto"/>
          <w:highlight w:val="none"/>
        </w:rPr>
        <w:t>引导</w:t>
      </w:r>
      <w:r>
        <w:rPr>
          <w:rFonts w:hint="eastAsia" w:ascii="Times New Roman" w:hAnsi="Times New Roman" w:eastAsia="仿宋_GB2312" w:cs="方正仿宋_GBK"/>
          <w:b w:val="0"/>
          <w:bCs w:val="0"/>
          <w:color w:val="auto"/>
          <w:highlight w:val="none"/>
          <w:lang w:val="en-US" w:eastAsia="zh-CN"/>
        </w:rPr>
        <w:t>支持有意愿有能力的企业、社会组织和个人积极参与公益慈善事业</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rPr>
        <w:t>加强慈善活动和资金监管，提升公信力和透明度。</w:t>
      </w:r>
      <w:r>
        <w:rPr>
          <w:rFonts w:hint="eastAsia" w:ascii="Times New Roman" w:hAnsi="Times New Roman" w:eastAsia="仿宋_GB2312" w:cs="方正仿宋_GBK"/>
          <w:b w:val="0"/>
          <w:bCs w:val="0"/>
          <w:color w:val="auto"/>
          <w:highlight w:val="none"/>
          <w:lang w:val="en-US" w:eastAsia="zh-CN"/>
        </w:rPr>
        <w:t>规范收入分配秩序和财富积累机制，支持勤劳创新合法致富，鼓励</w:t>
      </w:r>
      <w:r>
        <w:rPr>
          <w:rFonts w:hint="eastAsia" w:eastAsia="仿宋_GB2312" w:cs="方正仿宋_GBK"/>
          <w:b w:val="0"/>
          <w:bCs w:val="0"/>
          <w:color w:val="auto"/>
          <w:highlight w:val="none"/>
          <w:lang w:val="en-US" w:eastAsia="zh-CN"/>
        </w:rPr>
        <w:t>先富带后富促共富</w:t>
      </w:r>
      <w:r>
        <w:rPr>
          <w:rFonts w:hint="eastAsia" w:ascii="Times New Roman" w:hAnsi="Times New Roman" w:eastAsia="仿宋_GB2312" w:cs="方正仿宋_GBK"/>
          <w:b w:val="0"/>
          <w:bCs w:val="0"/>
          <w:color w:val="auto"/>
          <w:highlight w:val="none"/>
          <w:lang w:val="en-US" w:eastAsia="zh-CN"/>
        </w:rPr>
        <w:t>，合理调节过高收入，取缔非法收入。</w:t>
      </w:r>
    </w:p>
    <w:p w14:paraId="1F154D35">
      <w:pPr>
        <w:keepNext w:val="0"/>
        <w:keepLines w:val="0"/>
        <w:pageBreakBefore w:val="0"/>
        <w:widowControl/>
        <w:numPr>
          <w:ilvl w:val="0"/>
          <w:numId w:val="13"/>
        </w:numPr>
        <w:shd w:val="clear" w:color="auto" w:fill="auto"/>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1062" w:name="_Toc12107"/>
      <w:bookmarkStart w:id="1063" w:name="_Toc15550"/>
      <w:bookmarkStart w:id="1064" w:name="_Toc27823"/>
      <w:bookmarkStart w:id="1065" w:name="_Toc2679"/>
      <w:bookmarkStart w:id="1066" w:name="_Toc16506"/>
      <w:bookmarkStart w:id="1067" w:name="_Toc24127"/>
      <w:bookmarkStart w:id="1068" w:name="_Toc13214"/>
      <w:bookmarkStart w:id="1069" w:name="_Toc29602"/>
      <w:bookmarkStart w:id="1070" w:name="_Toc28446"/>
      <w:bookmarkStart w:id="1071" w:name="_Toc24005"/>
      <w:bookmarkStart w:id="1072" w:name="_Toc7625"/>
      <w:bookmarkStart w:id="1073" w:name="_Toc935"/>
      <w:bookmarkStart w:id="1074" w:name="_Toc1219"/>
      <w:bookmarkStart w:id="1075" w:name="_Toc20840"/>
      <w:r>
        <w:rPr>
          <w:rFonts w:hint="eastAsia" w:ascii="楷体_GB2312" w:hAnsi="楷体_GB2312" w:eastAsia="楷体_GB2312" w:cs="楷体_GB2312"/>
          <w:b w:val="0"/>
          <w:bCs w:val="0"/>
          <w:color w:val="auto"/>
          <w:sz w:val="32"/>
          <w:szCs w:val="40"/>
          <w:highlight w:val="none"/>
          <w:lang w:val="en-US" w:eastAsia="zh-CN"/>
        </w:rPr>
        <w:t>着力建设教育强市</w:t>
      </w:r>
      <w:bookmarkEnd w:id="1052"/>
      <w:bookmarkEnd w:id="1053"/>
      <w:bookmarkEnd w:id="1054"/>
      <w:bookmarkEnd w:id="1055"/>
      <w:bookmarkEnd w:id="1056"/>
      <w:bookmarkEnd w:id="1057"/>
      <w:bookmarkEnd w:id="1058"/>
      <w:bookmarkEnd w:id="1059"/>
      <w:bookmarkEnd w:id="1060"/>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p>
    <w:p w14:paraId="5E6F2D4E">
      <w:pPr>
        <w:pStyle w:val="43"/>
        <w:keepNext w:val="0"/>
        <w:keepLines w:val="0"/>
        <w:pageBreakBefore w:val="0"/>
        <w:shd w:val="clear"/>
        <w:kinsoku/>
        <w:wordWrap/>
        <w:topLinePunct w:val="0"/>
        <w:autoSpaceDE/>
        <w:autoSpaceDN/>
        <w:bidi w:val="0"/>
        <w:adjustRightInd/>
        <w:spacing w:line="540" w:lineRule="exact"/>
        <w:textAlignment w:val="auto"/>
        <w:rPr>
          <w:rFonts w:hint="default" w:ascii="Times New Roman" w:hAnsi="Times New Roman" w:eastAsia="仿宋_GB2312" w:cs="方正仿宋_GBK"/>
          <w:b w:val="0"/>
          <w:bCs w:val="0"/>
          <w:color w:val="auto"/>
          <w:highlight w:val="none"/>
          <w:lang w:eastAsia="zh-CN"/>
        </w:rPr>
      </w:pPr>
      <w:r>
        <w:rPr>
          <w:rFonts w:hint="eastAsia" w:ascii="Times New Roman" w:hAnsi="Times New Roman" w:eastAsia="仿宋_GB2312" w:cs="方正仿宋_GBK"/>
          <w:b w:val="0"/>
          <w:bCs w:val="0"/>
          <w:color w:val="auto"/>
          <w:highlight w:val="none"/>
          <w:lang w:val="en-US" w:eastAsia="zh-CN"/>
        </w:rPr>
        <w:t>坚持和加强党对教育工作的全面领导，实施新时代立德树人工程，</w:t>
      </w:r>
      <w:r>
        <w:rPr>
          <w:rFonts w:hint="eastAsia" w:ascii="Times New Roman" w:hAnsi="Times New Roman" w:eastAsia="仿宋_GB2312" w:cs="方正仿宋_GBK"/>
          <w:b w:val="0"/>
          <w:bCs w:val="0"/>
          <w:color w:val="auto"/>
          <w:highlight w:val="none"/>
        </w:rPr>
        <w:t>深入实施</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教育强市</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战略，</w:t>
      </w:r>
      <w:r>
        <w:rPr>
          <w:rFonts w:hint="eastAsia" w:ascii="Times New Roman" w:hAnsi="Times New Roman" w:eastAsia="仿宋_GB2312" w:cs="方正仿宋_GBK"/>
          <w:b w:val="0"/>
          <w:bCs w:val="0"/>
          <w:color w:val="auto"/>
          <w:highlight w:val="none"/>
          <w:lang w:val="en-US" w:eastAsia="zh-CN"/>
        </w:rPr>
        <w:t>以“教育提质行动”为抓手，</w:t>
      </w:r>
      <w:r>
        <w:rPr>
          <w:rFonts w:hint="eastAsia" w:ascii="Times New Roman" w:hAnsi="Times New Roman" w:eastAsia="仿宋_GB2312" w:cs="方正仿宋_GBK"/>
          <w:b w:val="0"/>
          <w:bCs w:val="0"/>
          <w:color w:val="auto"/>
          <w:highlight w:val="none"/>
        </w:rPr>
        <w:t>着眼教育现代化需求，加快建设高质量教育体系</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到2030年，劳动年龄人口平均受教育年限达到</w:t>
      </w:r>
      <w:r>
        <w:rPr>
          <w:rFonts w:hint="eastAsia" w:eastAsia="仿宋_GB2312" w:cs="方正仿宋_GBK"/>
          <w:b w:val="0"/>
          <w:bCs w:val="0"/>
          <w:color w:val="auto"/>
          <w:highlight w:val="none"/>
          <w:lang w:val="en-US" w:eastAsia="zh-CN"/>
        </w:rPr>
        <w:t>11.7</w:t>
      </w:r>
      <w:r>
        <w:rPr>
          <w:rFonts w:hint="eastAsia" w:ascii="Times New Roman" w:hAnsi="Times New Roman" w:eastAsia="仿宋_GB2312" w:cs="方正仿宋_GBK"/>
          <w:b w:val="0"/>
          <w:bCs w:val="0"/>
          <w:color w:val="auto"/>
          <w:highlight w:val="none"/>
          <w:lang w:val="en-US" w:eastAsia="zh-CN"/>
        </w:rPr>
        <w:t>年。</w:t>
      </w:r>
    </w:p>
    <w:p w14:paraId="0AB8E3F0">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lang w:eastAsia="zh-CN"/>
        </w:rPr>
      </w:pPr>
      <w:bookmarkStart w:id="1076" w:name="_Toc5520"/>
      <w:r>
        <w:rPr>
          <w:rFonts w:hint="eastAsia" w:ascii="Times New Roman" w:hAnsi="Times New Roman" w:eastAsia="仿宋_GB2312" w:cs="方正仿宋_GBK"/>
          <w:b w:val="0"/>
          <w:bCs w:val="0"/>
          <w:color w:val="auto"/>
          <w:highlight w:val="none"/>
          <w:lang w:val="en-US" w:eastAsia="zh-CN"/>
        </w:rPr>
        <w:t>建设高质量教育体系</w:t>
      </w:r>
      <w:bookmarkEnd w:id="1076"/>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lang w:val="en-US" w:eastAsia="zh-CN"/>
        </w:rPr>
        <w:t>推动学前教育优质均衡发展，扩大公办园学位供给，到2030年，普惠性幼儿园覆盖率、公办幼儿园在园幼儿占比分别稳定在</w:t>
      </w:r>
      <w:r>
        <w:rPr>
          <w:rFonts w:hint="eastAsia" w:eastAsia="仿宋_GB2312" w:cs="方正仿宋_GBK"/>
          <w:b w:val="0"/>
          <w:bCs w:val="0"/>
          <w:color w:val="auto"/>
          <w:highlight w:val="none"/>
          <w:lang w:val="en-US" w:eastAsia="zh-CN"/>
        </w:rPr>
        <w:t>95</w:t>
      </w:r>
      <w:r>
        <w:rPr>
          <w:rFonts w:hint="default" w:ascii="Times New Roman" w:hAnsi="Times New Roman" w:eastAsia="仿宋_GB2312" w:cs="Times New Roman"/>
          <w:b w:val="0"/>
          <w:bCs w:val="0"/>
          <w:color w:val="auto"/>
          <w:highlight w:val="none"/>
          <w:lang w:val="en-US" w:eastAsia="zh-CN"/>
        </w:rPr>
        <w:t>％</w:t>
      </w:r>
      <w:r>
        <w:rPr>
          <w:rFonts w:hint="eastAsia" w:ascii="Times New Roman" w:hAnsi="Times New Roman" w:eastAsia="仿宋_GB2312" w:cs="方正仿宋_GBK"/>
          <w:b w:val="0"/>
          <w:bCs w:val="0"/>
          <w:color w:val="auto"/>
          <w:highlight w:val="none"/>
          <w:lang w:val="en-US" w:eastAsia="zh-CN"/>
        </w:rPr>
        <w:t>、</w:t>
      </w:r>
      <w:r>
        <w:rPr>
          <w:rFonts w:hint="eastAsia" w:eastAsia="仿宋_GB2312" w:cs="方正仿宋_GBK"/>
          <w:b w:val="0"/>
          <w:bCs w:val="0"/>
          <w:color w:val="auto"/>
          <w:highlight w:val="none"/>
          <w:lang w:val="en-US" w:eastAsia="zh-CN"/>
        </w:rPr>
        <w:t>80</w:t>
      </w:r>
      <w:r>
        <w:rPr>
          <w:rFonts w:hint="default" w:ascii="Times New Roman" w:hAnsi="Times New Roman" w:eastAsia="仿宋_GB2312" w:cs="Times New Roman"/>
          <w:b w:val="0"/>
          <w:bCs w:val="0"/>
          <w:color w:val="auto"/>
          <w:highlight w:val="none"/>
          <w:lang w:val="en-US" w:eastAsia="zh-CN"/>
        </w:rPr>
        <w:t>％</w:t>
      </w:r>
      <w:r>
        <w:rPr>
          <w:rFonts w:hint="eastAsia" w:ascii="Times New Roman" w:hAnsi="Times New Roman" w:eastAsia="仿宋_GB2312" w:cs="方正仿宋_GBK"/>
          <w:b w:val="0"/>
          <w:bCs w:val="0"/>
          <w:color w:val="auto"/>
          <w:highlight w:val="none"/>
          <w:lang w:val="en-US" w:eastAsia="zh-CN"/>
        </w:rPr>
        <w:t>以上</w:t>
      </w:r>
      <w:r>
        <w:rPr>
          <w:rFonts w:hint="eastAsia" w:eastAsia="仿宋_GB2312" w:cs="方正仿宋_GBK"/>
          <w:b w:val="0"/>
          <w:bCs w:val="0"/>
          <w:color w:val="auto"/>
          <w:highlight w:val="none"/>
          <w:lang w:val="en-US" w:eastAsia="zh-CN"/>
        </w:rPr>
        <w:t>，全面完成“国家学前教育普及普惠县”创建任务。</w:t>
      </w:r>
      <w:r>
        <w:rPr>
          <w:rFonts w:hint="eastAsia" w:ascii="Times New Roman" w:hAnsi="Times New Roman" w:eastAsia="仿宋_GB2312" w:cs="方正仿宋_GBK"/>
          <w:b w:val="0"/>
          <w:bCs w:val="0"/>
          <w:color w:val="auto"/>
          <w:highlight w:val="none"/>
          <w:lang w:val="en-US" w:eastAsia="zh-CN"/>
        </w:rPr>
        <w:t>推动义务教育优质均衡发展，进一步缩小区域、城乡、校际、群体差距，基本完成“全国义务教育优质均衡县”创建任务。</w:t>
      </w:r>
      <w:r>
        <w:rPr>
          <w:rFonts w:hint="eastAsia" w:eastAsia="仿宋_GB2312" w:cs="方正仿宋_GBK"/>
          <w:b w:val="0"/>
          <w:bCs w:val="0"/>
          <w:color w:val="auto"/>
          <w:highlight w:val="none"/>
          <w:lang w:val="en-US" w:eastAsia="zh-CN"/>
        </w:rPr>
        <w:t>深入实施</w:t>
      </w:r>
      <w:r>
        <w:rPr>
          <w:rFonts w:hint="eastAsia" w:ascii="Times New Roman" w:hAnsi="Times New Roman" w:eastAsia="仿宋_GB2312" w:cs="方正仿宋_GBK"/>
          <w:b w:val="0"/>
          <w:bCs w:val="0"/>
          <w:color w:val="auto"/>
          <w:highlight w:val="none"/>
          <w:lang w:val="en-US" w:eastAsia="zh-CN"/>
        </w:rPr>
        <w:t>“县中振兴”</w:t>
      </w:r>
      <w:r>
        <w:rPr>
          <w:rFonts w:hint="eastAsia" w:eastAsia="仿宋_GB2312" w:cs="方正仿宋_GBK"/>
          <w:b w:val="0"/>
          <w:bCs w:val="0"/>
          <w:color w:val="auto"/>
          <w:highlight w:val="none"/>
          <w:lang w:val="en-US" w:eastAsia="zh-CN"/>
        </w:rPr>
        <w:t>计划，</w:t>
      </w:r>
      <w:r>
        <w:rPr>
          <w:rFonts w:hint="eastAsia" w:ascii="Times New Roman" w:hAnsi="Times New Roman" w:eastAsia="仿宋_GB2312" w:cs="方正仿宋_GBK"/>
          <w:b w:val="0"/>
          <w:bCs w:val="0"/>
          <w:color w:val="auto"/>
          <w:highlight w:val="none"/>
          <w:lang w:val="en-US" w:eastAsia="zh-CN"/>
        </w:rPr>
        <w:t>深化“高中带动战略”，推动普通高中优质特色多样发展</w:t>
      </w:r>
      <w:r>
        <w:rPr>
          <w:rFonts w:hint="eastAsia" w:eastAsia="仿宋_GB2312" w:cs="方正仿宋_GBK"/>
          <w:b w:val="0"/>
          <w:bCs w:val="0"/>
          <w:color w:val="auto"/>
          <w:highlight w:val="none"/>
          <w:lang w:val="en-US" w:eastAsia="zh-CN"/>
        </w:rPr>
        <w:t>。实施好</w:t>
      </w:r>
      <w:r>
        <w:rPr>
          <w:rFonts w:hint="eastAsia" w:ascii="Times New Roman" w:hAnsi="Times New Roman" w:eastAsia="仿宋_GB2312" w:cs="方正仿宋_GBK"/>
          <w:b w:val="0"/>
          <w:bCs w:val="0"/>
          <w:color w:val="auto"/>
          <w:highlight w:val="none"/>
        </w:rPr>
        <w:t>“强基计划培养基地”</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“高水平特长生培养基地”</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“学科基地”建设培育工作</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全力推行基础教育“1+3”拔尖创新人才贯通式一体化培养策略</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强化特殊教育保障，推动特殊教育优质融合发展。推进现代职业教育体系建设改革，打造自治区职业教育综合改革试验区</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lang w:val="en-US" w:eastAsia="zh-CN"/>
        </w:rPr>
        <w:t>推动内涵式高质量发展，加强“双高双优”建设，提升职业学校办学能力，推动中等职业教育优质特色多元化发展；推动高等职业教育扩优提质，依托优质中职学校新建1-2所高职院校</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lang w:val="en-US" w:eastAsia="zh-CN"/>
        </w:rPr>
        <w:t>整合现有高等职业教育资源，推动创建赤峰职业本科大学。推进普通高等教育提质扩容，加强高校学科专业建设，深化人才培养模式改革，提高高校人才培养质量；加大对赤峰大学投入力度，努力建成特色鲜明的区域性高水平应用型大学。</w:t>
      </w:r>
    </w:p>
    <w:p w14:paraId="492CBBBA">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rPr>
      </w:pPr>
      <w:bookmarkStart w:id="1077" w:name="_Toc22036"/>
      <w:r>
        <w:rPr>
          <w:rFonts w:hint="eastAsia" w:ascii="Times New Roman" w:hAnsi="Times New Roman" w:eastAsia="仿宋_GB2312" w:cs="方正仿宋_GBK"/>
          <w:b w:val="0"/>
          <w:bCs w:val="0"/>
          <w:color w:val="auto"/>
          <w:highlight w:val="none"/>
          <w:lang w:val="en-US" w:eastAsia="zh-CN"/>
        </w:rPr>
        <w:t>优化教育资源配置</w:t>
      </w:r>
      <w:bookmarkEnd w:id="1077"/>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rPr>
        <w:t>进一步优化学位供给</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建立健全与人口变化相协调的基本公共教育服务供给机制，建立分学段、分区域学龄人口变化监测制度，科学调整学校布局。完善教育投入保障机制，确保一般公共预算教育支出逐年只增不减。全面推进集团化办学</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扩大优质资源带动作用，以市直教育集团引领带动旗县区推行集团化办学，推动优质学校与薄弱学校深度融合、协同发展。大力开展联优联强合作办学</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加大对现有京蒙帮扶合作校的指导力度，着力在教师培养、课程建设、研学活动等方面提升合作帮扶质效。实施教育数字化战略行动，</w:t>
      </w:r>
      <w:r>
        <w:rPr>
          <w:rFonts w:hint="eastAsia" w:ascii="Times New Roman" w:hAnsi="Times New Roman" w:eastAsia="仿宋_GB2312" w:cs="方正仿宋_GBK"/>
          <w:b w:val="0"/>
          <w:bCs w:val="0"/>
          <w:color w:val="auto"/>
          <w:highlight w:val="none"/>
          <w:lang w:val="en-US" w:eastAsia="zh-CN"/>
        </w:rPr>
        <w:t>建立完善人工智能赋能教育体系，</w:t>
      </w:r>
      <w:r>
        <w:rPr>
          <w:rFonts w:hint="eastAsia" w:ascii="Times New Roman" w:hAnsi="Times New Roman" w:eastAsia="仿宋_GB2312" w:cs="方正仿宋_GBK"/>
          <w:b w:val="0"/>
          <w:bCs w:val="0"/>
          <w:color w:val="auto"/>
          <w:highlight w:val="none"/>
        </w:rPr>
        <w:t>建设</w:t>
      </w:r>
      <w:r>
        <w:rPr>
          <w:rFonts w:hint="eastAsia" w:eastAsia="仿宋_GB2312" w:cs="方正仿宋_GBK"/>
          <w:b w:val="0"/>
          <w:bCs w:val="0"/>
          <w:color w:val="auto"/>
          <w:highlight w:val="none"/>
          <w:lang w:val="en-US" w:eastAsia="zh-CN"/>
        </w:rPr>
        <w:t>并优化升级“赤峰市</w:t>
      </w:r>
      <w:r>
        <w:rPr>
          <w:rFonts w:hint="eastAsia" w:ascii="Times New Roman" w:hAnsi="Times New Roman" w:eastAsia="仿宋_GB2312" w:cs="方正仿宋_GBK"/>
          <w:b w:val="0"/>
          <w:bCs w:val="0"/>
          <w:color w:val="auto"/>
          <w:highlight w:val="none"/>
        </w:rPr>
        <w:t>智慧教育</w:t>
      </w:r>
      <w:r>
        <w:rPr>
          <w:rFonts w:hint="eastAsia" w:eastAsia="仿宋_GB2312" w:cs="方正仿宋_GBK"/>
          <w:b w:val="0"/>
          <w:bCs w:val="0"/>
          <w:color w:val="auto"/>
          <w:highlight w:val="none"/>
          <w:lang w:val="en-US" w:eastAsia="zh-CN"/>
        </w:rPr>
        <w:t>云</w:t>
      </w:r>
      <w:r>
        <w:rPr>
          <w:rFonts w:hint="eastAsia" w:ascii="Times New Roman" w:hAnsi="Times New Roman" w:eastAsia="仿宋_GB2312" w:cs="方正仿宋_GBK"/>
          <w:b w:val="0"/>
          <w:bCs w:val="0"/>
          <w:color w:val="auto"/>
          <w:highlight w:val="none"/>
        </w:rPr>
        <w:t>平台</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rPr>
        <w:t>，</w:t>
      </w:r>
      <w:r>
        <w:rPr>
          <w:rFonts w:hint="eastAsia" w:ascii="Times New Roman" w:hAnsi="Times New Roman" w:eastAsia="仿宋_GB2312" w:cs="方正仿宋_GBK"/>
          <w:b w:val="0"/>
          <w:bCs w:val="0"/>
          <w:color w:val="auto"/>
          <w:highlight w:val="none"/>
          <w:lang w:val="en-US" w:eastAsia="zh-CN"/>
        </w:rPr>
        <w:t>促进教育教学与数字化技术融合创新，进一步提升教育数字化水平。</w:t>
      </w:r>
    </w:p>
    <w:p w14:paraId="21C6846B">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lang w:val="en-US" w:eastAsia="zh-CN"/>
        </w:rPr>
      </w:pPr>
      <w:bookmarkStart w:id="1078" w:name="_Toc29998"/>
      <w:r>
        <w:rPr>
          <w:rFonts w:hint="eastAsia" w:ascii="Times New Roman" w:hAnsi="Times New Roman" w:eastAsia="仿宋_GB2312" w:cs="方正仿宋_GBK"/>
          <w:b w:val="0"/>
          <w:bCs w:val="0"/>
          <w:color w:val="auto"/>
          <w:highlight w:val="none"/>
          <w:lang w:val="en-US" w:eastAsia="zh-CN"/>
        </w:rPr>
        <w:t>建设高素质专业化教师队伍</w:t>
      </w:r>
      <w:bookmarkEnd w:id="1078"/>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lang w:val="en-US" w:eastAsia="zh-CN"/>
        </w:rPr>
        <w:t>健全师德师风建设长效机制，将教育家精神融入教师培养、管理全职业周期，加强教师队伍思想政治建设。选树宣传优秀教师典型，营造尊师重教的社会氛围。完善教师培养培训体系，提升教师教书育人能力。深化教师管理体制机制改革，健全完善职称评定、绩效考核等奖励激励机制。加快补齐教师队伍建设突出短板，打造一支师德高尚、业务精湛、结构合理、充满活力的高素质专业化教师队伍。</w:t>
      </w:r>
    </w:p>
    <w:p w14:paraId="100DED8A">
      <w:pPr>
        <w:keepNext w:val="0"/>
        <w:keepLines w:val="0"/>
        <w:pageBreakBefore w:val="0"/>
        <w:shd w:val="clear"/>
        <w:kinsoku/>
        <w:wordWrap/>
        <w:topLinePunct w:val="0"/>
        <w:autoSpaceDE/>
        <w:autoSpaceDN/>
        <w:bidi w:val="0"/>
        <w:adjustRightInd/>
        <w:spacing w:line="540" w:lineRule="exact"/>
        <w:textAlignment w:val="auto"/>
        <w:rPr>
          <w:rFonts w:hint="eastAsia"/>
          <w:b w:val="0"/>
          <w:bCs w:val="0"/>
          <w:highlight w:val="none"/>
          <w:lang w:val="en-US" w:eastAsia="zh-CN"/>
        </w:rPr>
      </w:pP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9"/>
      </w:tblGrid>
      <w:tr w14:paraId="46BB7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859" w:type="dxa"/>
            <w:noWrap w:val="0"/>
            <w:vAlign w:val="top"/>
          </w:tcPr>
          <w:p w14:paraId="09E4CDC9">
            <w:pPr>
              <w:keepNext w:val="0"/>
              <w:keepLines w:val="0"/>
              <w:pageBreakBefore w:val="0"/>
              <w:kinsoku/>
              <w:wordWrap/>
              <w:topLinePunct w:val="0"/>
              <w:autoSpaceDE/>
              <w:autoSpaceDN/>
              <w:bidi w:val="0"/>
              <w:adjustRightInd/>
              <w:spacing w:line="540" w:lineRule="exact"/>
              <w:ind w:firstLine="464" w:firstLineChars="200"/>
              <w:jc w:val="center"/>
              <w:textAlignment w:val="auto"/>
              <w:rPr>
                <w:rFonts w:ascii="Times New Roman" w:hAnsi="Times New Roman" w:eastAsia="方正仿宋_GBK" w:cs="Times New Roman"/>
                <w:b w:val="0"/>
                <w:bCs w:val="0"/>
                <w:sz w:val="24"/>
                <w:highlight w:val="none"/>
              </w:rPr>
            </w:pPr>
            <w:r>
              <w:rPr>
                <w:rFonts w:hint="eastAsia" w:ascii="Times New Roman" w:hAnsi="Times New Roman" w:eastAsia="仿宋_GB2312" w:cs="Times New Roman"/>
                <w:b w:val="0"/>
                <w:bCs w:val="0"/>
                <w:sz w:val="24"/>
                <w:highlight w:val="none"/>
              </w:rPr>
              <w:t>专栏</w:t>
            </w:r>
            <w:r>
              <w:rPr>
                <w:rFonts w:hint="eastAsia" w:ascii="Times New Roman" w:hAnsi="Times New Roman" w:eastAsia="仿宋_GB2312" w:cs="Times New Roman"/>
                <w:b w:val="0"/>
                <w:bCs w:val="0"/>
                <w:sz w:val="24"/>
                <w:highlight w:val="none"/>
                <w:lang w:val="en-US" w:eastAsia="zh-CN"/>
              </w:rPr>
              <w:t>17 教育事业</w:t>
            </w:r>
            <w:r>
              <w:rPr>
                <w:rFonts w:hint="eastAsia" w:ascii="Times New Roman" w:hAnsi="Times New Roman" w:eastAsia="仿宋_GB2312" w:cs="Times New Roman"/>
                <w:b w:val="0"/>
                <w:bCs w:val="0"/>
                <w:sz w:val="24"/>
                <w:highlight w:val="none"/>
              </w:rPr>
              <w:t>重大工程</w:t>
            </w:r>
          </w:p>
        </w:tc>
      </w:tr>
      <w:tr w14:paraId="6DAC6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859" w:type="dxa"/>
            <w:noWrap w:val="0"/>
            <w:vAlign w:val="top"/>
          </w:tcPr>
          <w:p w14:paraId="1671A6A4">
            <w:pPr>
              <w:keepNext w:val="0"/>
              <w:keepLines w:val="0"/>
              <w:pageBreakBefore w:val="0"/>
              <w:kinsoku/>
              <w:wordWrap/>
              <w:topLinePunct w:val="0"/>
              <w:autoSpaceDE/>
              <w:autoSpaceDN/>
              <w:bidi w:val="0"/>
              <w:adjustRightInd/>
              <w:spacing w:line="540" w:lineRule="exact"/>
              <w:ind w:firstLine="404" w:firstLineChars="200"/>
              <w:textAlignment w:val="auto"/>
              <w:rPr>
                <w:rFonts w:hint="default" w:ascii="Times New Roman" w:hAnsi="Times New Roman" w:eastAsia="仿宋_GB2312"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基础教育重点工程：适应学龄人口变化趋势，优化基础教育资源配置，推进人口流入和学位短缺地区新建、改扩建学校，解决学位紧张问题，补齐基础设施短板，持续改善办学条件，重点推进赤诚中学、乌丹一中易址新建、红山区第三十八小学等工程项目。</w:t>
            </w:r>
          </w:p>
          <w:p w14:paraId="1B9D89E5">
            <w:pPr>
              <w:keepNext w:val="0"/>
              <w:keepLines w:val="0"/>
              <w:pageBreakBefore w:val="0"/>
              <w:kinsoku/>
              <w:wordWrap/>
              <w:topLinePunct w:val="0"/>
              <w:autoSpaceDE/>
              <w:autoSpaceDN/>
              <w:bidi w:val="0"/>
              <w:adjustRightInd/>
              <w:spacing w:line="540" w:lineRule="exact"/>
              <w:ind w:firstLine="404" w:firstLineChars="200"/>
              <w:textAlignment w:val="auto"/>
              <w:rPr>
                <w:rFonts w:hint="eastAsia" w:ascii="Times New Roman" w:hAnsi="Times New Roman" w:eastAsia="仿宋_GB2312"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职业教育重点工程：聚焦提升职业教育服务地方经济社会发展能力，提高职业院校办学育人水平，重点推进赤峰职业本科大学建设、赤峰工业职业技术学院教学设备更新置换、内蒙古交通职业技术学院节能与新能源汽车产教融合实训基地等项目。</w:t>
            </w:r>
          </w:p>
          <w:p w14:paraId="31ACC01A">
            <w:pPr>
              <w:keepNext w:val="0"/>
              <w:keepLines w:val="0"/>
              <w:pageBreakBefore w:val="0"/>
              <w:kinsoku/>
              <w:wordWrap/>
              <w:topLinePunct w:val="0"/>
              <w:autoSpaceDE/>
              <w:autoSpaceDN/>
              <w:bidi w:val="0"/>
              <w:adjustRightInd/>
              <w:spacing w:line="540" w:lineRule="exact"/>
              <w:ind w:firstLine="404" w:firstLineChars="200"/>
              <w:textAlignment w:val="auto"/>
              <w:rPr>
                <w:rFonts w:hint="default" w:ascii="Times New Roman" w:hAnsi="Times New Roman" w:eastAsia="方正仿宋_GBK"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高等教育重点工程：推动高等教育提质扩容，着力推进</w:t>
            </w:r>
            <w:r>
              <w:rPr>
                <w:rFonts w:hint="default" w:ascii="Times New Roman" w:hAnsi="Times New Roman" w:eastAsia="仿宋_GB2312" w:cs="Times New Roman"/>
                <w:b w:val="0"/>
                <w:bCs w:val="0"/>
                <w:highlight w:val="none"/>
              </w:rPr>
              <w:t>赤峰</w:t>
            </w:r>
            <w:r>
              <w:rPr>
                <w:rFonts w:hint="eastAsia" w:ascii="Times New Roman" w:hAnsi="Times New Roman" w:eastAsia="仿宋_GB2312" w:cs="Times New Roman"/>
                <w:b w:val="0"/>
                <w:bCs w:val="0"/>
                <w:highlight w:val="none"/>
                <w:lang w:val="en-US" w:eastAsia="zh-CN"/>
              </w:rPr>
              <w:t>大学</w:t>
            </w:r>
            <w:r>
              <w:rPr>
                <w:rFonts w:hint="default" w:ascii="Times New Roman" w:hAnsi="Times New Roman" w:eastAsia="仿宋_GB2312" w:cs="Times New Roman"/>
                <w:b w:val="0"/>
                <w:bCs w:val="0"/>
                <w:highlight w:val="none"/>
              </w:rPr>
              <w:t>学生宿舍楼</w:t>
            </w:r>
            <w:r>
              <w:rPr>
                <w:rFonts w:hint="eastAsia" w:ascii="Times New Roman" w:hAnsi="Times New Roman" w:eastAsia="仿宋_GB2312" w:cs="Times New Roman"/>
                <w:b w:val="0"/>
                <w:bCs w:val="0"/>
                <w:highlight w:val="none"/>
                <w:lang w:eastAsia="zh-CN"/>
              </w:rPr>
              <w:t>、室内体育场馆</w:t>
            </w:r>
            <w:r>
              <w:rPr>
                <w:rFonts w:hint="eastAsia" w:ascii="Times New Roman" w:hAnsi="Times New Roman" w:eastAsia="仿宋_GB2312" w:cs="Times New Roman"/>
                <w:b w:val="0"/>
                <w:bCs w:val="0"/>
                <w:highlight w:val="none"/>
                <w:lang w:val="en-US" w:eastAsia="zh-CN"/>
              </w:rPr>
              <w:t>、赤峰有色金属矿产学院楼</w:t>
            </w:r>
            <w:r>
              <w:rPr>
                <w:rFonts w:hint="eastAsia" w:ascii="Times New Roman" w:hAnsi="Times New Roman" w:eastAsia="仿宋_GB2312" w:cs="Times New Roman"/>
                <w:b w:val="0"/>
                <w:bCs w:val="0"/>
                <w:highlight w:val="none"/>
                <w:lang w:eastAsia="zh-CN"/>
              </w:rPr>
              <w:t>、</w:t>
            </w:r>
            <w:r>
              <w:rPr>
                <w:rFonts w:hint="default" w:ascii="Times New Roman" w:hAnsi="Times New Roman" w:eastAsia="仿宋_GB2312" w:cs="Times New Roman"/>
                <w:b w:val="0"/>
                <w:bCs w:val="0"/>
                <w:highlight w:val="none"/>
              </w:rPr>
              <w:t>生物医药产教融合实训基地</w:t>
            </w:r>
            <w:r>
              <w:rPr>
                <w:rFonts w:hint="eastAsia" w:ascii="Times New Roman" w:hAnsi="Times New Roman" w:eastAsia="仿宋_GB2312" w:cs="Times New Roman"/>
                <w:b w:val="0"/>
                <w:bCs w:val="0"/>
                <w:highlight w:val="none"/>
                <w:lang w:eastAsia="zh-CN"/>
              </w:rPr>
              <w:t>、</w:t>
            </w:r>
            <w:r>
              <w:rPr>
                <w:rFonts w:hint="default" w:ascii="Times New Roman" w:hAnsi="Times New Roman" w:eastAsia="仿宋_GB2312" w:cs="Times New Roman"/>
                <w:b w:val="0"/>
                <w:bCs w:val="0"/>
                <w:highlight w:val="none"/>
              </w:rPr>
              <w:t>素质教育基地</w:t>
            </w:r>
            <w:r>
              <w:rPr>
                <w:rFonts w:hint="eastAsia" w:ascii="Times New Roman" w:hAnsi="Times New Roman" w:eastAsia="仿宋_GB2312" w:cs="Times New Roman"/>
                <w:b w:val="0"/>
                <w:bCs w:val="0"/>
                <w:highlight w:val="none"/>
                <w:lang w:val="en-US" w:eastAsia="zh-CN"/>
              </w:rPr>
              <w:t>等项目建设。</w:t>
            </w:r>
          </w:p>
        </w:tc>
      </w:tr>
    </w:tbl>
    <w:p w14:paraId="7B8B20D7">
      <w:pPr>
        <w:keepNext w:val="0"/>
        <w:keepLines w:val="0"/>
        <w:pageBreakBefore w:val="0"/>
        <w:kinsoku/>
        <w:wordWrap/>
        <w:topLinePunct w:val="0"/>
        <w:autoSpaceDE/>
        <w:autoSpaceDN/>
        <w:bidi w:val="0"/>
        <w:adjustRightInd/>
        <w:spacing w:line="540" w:lineRule="exact"/>
        <w:textAlignment w:val="auto"/>
        <w:rPr>
          <w:rFonts w:hint="eastAsia" w:ascii="Times New Roman" w:hAnsi="Times New Roman"/>
          <w:b w:val="0"/>
          <w:bCs w:val="0"/>
          <w:highlight w:val="none"/>
          <w:lang w:val="en-US" w:eastAsia="zh-CN"/>
        </w:rPr>
      </w:pPr>
    </w:p>
    <w:p w14:paraId="3E6C4A6E">
      <w:pPr>
        <w:keepNext w:val="0"/>
        <w:keepLines w:val="0"/>
        <w:pageBreakBefore w:val="0"/>
        <w:widowControl/>
        <w:numPr>
          <w:ilvl w:val="0"/>
          <w:numId w:val="13"/>
        </w:numPr>
        <w:shd w:val="clear" w:color="auto" w:fill="auto"/>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1079" w:name="_Toc29428"/>
      <w:bookmarkStart w:id="1080" w:name="_Toc10910"/>
      <w:bookmarkStart w:id="1081" w:name="_Toc2022"/>
      <w:bookmarkStart w:id="1082" w:name="_Toc15777"/>
      <w:bookmarkStart w:id="1083" w:name="_Toc23910"/>
      <w:bookmarkStart w:id="1084" w:name="_Toc32523"/>
      <w:bookmarkStart w:id="1085" w:name="_Toc11611"/>
      <w:bookmarkStart w:id="1086" w:name="_Toc10627"/>
      <w:bookmarkStart w:id="1087" w:name="_Toc15900"/>
      <w:bookmarkStart w:id="1088" w:name="_Toc15249"/>
      <w:bookmarkStart w:id="1089" w:name="_Toc1396"/>
      <w:bookmarkStart w:id="1090" w:name="_Toc3929"/>
      <w:bookmarkStart w:id="1091" w:name="_Toc22716"/>
      <w:bookmarkStart w:id="1092" w:name="_Toc15459"/>
      <w:bookmarkStart w:id="1093" w:name="_Toc10578"/>
      <w:bookmarkStart w:id="1094" w:name="_Toc26998"/>
      <w:bookmarkStart w:id="1095" w:name="_Toc15518"/>
      <w:bookmarkStart w:id="1096" w:name="_Toc6723"/>
      <w:bookmarkStart w:id="1097" w:name="_Toc10758"/>
      <w:bookmarkStart w:id="1098" w:name="_Toc21282"/>
      <w:bookmarkStart w:id="1099" w:name="_Toc15325"/>
      <w:bookmarkStart w:id="1100" w:name="_Toc6267"/>
      <w:bookmarkStart w:id="1101" w:name="_Toc29400"/>
      <w:r>
        <w:rPr>
          <w:rFonts w:hint="eastAsia" w:ascii="楷体_GB2312" w:hAnsi="楷体_GB2312" w:eastAsia="楷体_GB2312" w:cs="楷体_GB2312"/>
          <w:b w:val="0"/>
          <w:bCs w:val="0"/>
          <w:color w:val="auto"/>
          <w:sz w:val="32"/>
          <w:szCs w:val="40"/>
          <w:highlight w:val="none"/>
          <w:lang w:val="en-US" w:eastAsia="zh-CN"/>
        </w:rPr>
        <w:t>推进健康赤峰建设</w:t>
      </w:r>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p>
    <w:p w14:paraId="31ADB2EF">
      <w:pPr>
        <w:pStyle w:val="43"/>
        <w:keepNext w:val="0"/>
        <w:keepLines w:val="0"/>
        <w:pageBreakBefore w:val="0"/>
        <w:shd w:val="clear"/>
        <w:kinsoku/>
        <w:wordWrap/>
        <w:topLinePunct w:val="0"/>
        <w:autoSpaceDE/>
        <w:autoSpaceDN/>
        <w:bidi w:val="0"/>
        <w:adjustRightInd/>
        <w:spacing w:line="540" w:lineRule="exact"/>
        <w:ind w:firstLine="624" w:firstLineChars="200"/>
        <w:textAlignment w:val="auto"/>
        <w:rPr>
          <w:rFonts w:hint="eastAsia" w:ascii="Times New Roman" w:hAnsi="Times New Roman" w:eastAsia="仿宋_GB2312" w:cs="方正仿宋_GBK"/>
          <w:b w:val="0"/>
          <w:bCs w:val="0"/>
          <w:color w:val="auto"/>
          <w:highlight w:val="none"/>
          <w:lang w:val="en-US" w:eastAsia="zh-CN"/>
        </w:rPr>
      </w:pPr>
      <w:r>
        <w:rPr>
          <w:rFonts w:hint="eastAsia" w:ascii="Times New Roman" w:hAnsi="Times New Roman" w:eastAsia="仿宋_GB2312" w:cs="方正仿宋_GBK"/>
          <w:b w:val="0"/>
          <w:bCs w:val="0"/>
          <w:color w:val="auto"/>
          <w:highlight w:val="none"/>
          <w:lang w:val="en-US" w:eastAsia="zh-CN"/>
        </w:rPr>
        <w:t>坚持把人民健康放在优先发展的战略位置，落实新时代党的卫生与健康工作方针，深入实施“医疗提质行动”，推动从以治病为中心向以健康为中心转变，提高</w:t>
      </w:r>
      <w:r>
        <w:rPr>
          <w:rFonts w:hint="eastAsia" w:eastAsia="仿宋_GB2312" w:cs="方正仿宋_GBK"/>
          <w:b w:val="0"/>
          <w:bCs w:val="0"/>
          <w:color w:val="auto"/>
          <w:highlight w:val="none"/>
          <w:lang w:val="en-US" w:eastAsia="zh-CN"/>
        </w:rPr>
        <w:t>全民</w:t>
      </w:r>
      <w:r>
        <w:rPr>
          <w:rFonts w:hint="eastAsia" w:ascii="Times New Roman" w:hAnsi="Times New Roman" w:eastAsia="仿宋_GB2312" w:cs="方正仿宋_GBK"/>
          <w:b w:val="0"/>
          <w:bCs w:val="0"/>
          <w:color w:val="auto"/>
          <w:highlight w:val="none"/>
          <w:lang w:val="en-US" w:eastAsia="zh-CN"/>
        </w:rPr>
        <w:t>健康水平。</w:t>
      </w:r>
    </w:p>
    <w:p w14:paraId="38134F66">
      <w:pPr>
        <w:pStyle w:val="43"/>
        <w:keepNext w:val="0"/>
        <w:keepLines w:val="0"/>
        <w:pageBreakBefore w:val="0"/>
        <w:shd w:val="clear" w:color="auto" w:fill="auto"/>
        <w:kinsoku/>
        <w:wordWrap/>
        <w:topLinePunct w:val="0"/>
        <w:autoSpaceDE/>
        <w:autoSpaceDN/>
        <w:bidi w:val="0"/>
        <w:adjustRightInd/>
        <w:spacing w:line="540" w:lineRule="exact"/>
        <w:ind w:firstLine="643" w:firstLineChars="0"/>
        <w:jc w:val="left"/>
        <w:textAlignment w:val="auto"/>
        <w:outlineLvl w:val="3"/>
        <w:rPr>
          <w:rFonts w:hint="eastAsia"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color w:val="auto"/>
          <w:sz w:val="32"/>
          <w:szCs w:val="32"/>
          <w:highlight w:val="none"/>
          <w:lang w:val="en-US" w:eastAsia="zh-CN"/>
        </w:rPr>
        <w:t>健全公共卫生体系</w:t>
      </w:r>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highlight w:val="none"/>
        </w:rPr>
        <w:t>强化公共卫生</w:t>
      </w:r>
      <w:r>
        <w:rPr>
          <w:rFonts w:hint="eastAsia" w:ascii="Times New Roman" w:hAnsi="Times New Roman" w:eastAsia="仿宋_GB2312" w:cs="方正仿宋_GBK"/>
          <w:b w:val="0"/>
          <w:bCs w:val="0"/>
          <w:color w:val="auto"/>
          <w:highlight w:val="none"/>
          <w:lang w:val="en-US"/>
        </w:rPr>
        <w:t>能力</w:t>
      </w:r>
      <w:r>
        <w:rPr>
          <w:rFonts w:hint="eastAsia" w:ascii="Times New Roman" w:hAnsi="Times New Roman" w:eastAsia="仿宋_GB2312" w:cs="方正仿宋_GBK"/>
          <w:b w:val="0"/>
          <w:bCs w:val="0"/>
          <w:color w:val="auto"/>
          <w:highlight w:val="none"/>
        </w:rPr>
        <w:t>，</w:t>
      </w:r>
      <w:r>
        <w:rPr>
          <w:rFonts w:hint="eastAsia" w:ascii="Times New Roman" w:hAnsi="Times New Roman" w:eastAsia="仿宋_GB2312" w:cs="方正仿宋_GBK"/>
          <w:b w:val="0"/>
          <w:bCs w:val="0"/>
          <w:color w:val="auto"/>
          <w:highlight w:val="none"/>
          <w:lang w:val="en-US" w:eastAsia="zh-CN"/>
        </w:rPr>
        <w:t>强化医疗机构疾病预防控制职能，</w:t>
      </w:r>
      <w:r>
        <w:rPr>
          <w:rFonts w:hint="eastAsia" w:ascii="Times New Roman" w:hAnsi="Times New Roman" w:eastAsia="仿宋_GB2312" w:cs="方正仿宋_GBK"/>
          <w:b w:val="0"/>
          <w:bCs w:val="0"/>
          <w:color w:val="auto"/>
          <w:highlight w:val="none"/>
          <w:lang w:val="en-US"/>
        </w:rPr>
        <w:t>促进社会共治、医防协同、医防融合</w:t>
      </w:r>
      <w:r>
        <w:rPr>
          <w:rFonts w:hint="eastAsia" w:ascii="Times New Roman" w:hAnsi="Times New Roman" w:eastAsia="仿宋_GB2312" w:cs="方正仿宋_GBK"/>
          <w:b w:val="0"/>
          <w:bCs w:val="0"/>
          <w:color w:val="auto"/>
          <w:highlight w:val="none"/>
        </w:rPr>
        <w:t>。巩固拓展国家级传染病防控医防协同医防融合试点城市建设成果</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推进自治区级区域公共卫生中心建设</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rPr>
        <w:t>健全传染病预防控制、应急处置、医疗救治、物资保障和监督管理体系，加强鼠疫、布病等重大传染病防治</w:t>
      </w:r>
      <w:r>
        <w:rPr>
          <w:rFonts w:hint="eastAsia" w:ascii="Times New Roman" w:hAnsi="Times New Roman" w:eastAsia="仿宋_GB2312" w:cs="方正仿宋_GBK"/>
          <w:b w:val="0"/>
          <w:bCs w:val="0"/>
          <w:color w:val="auto"/>
          <w:highlight w:val="none"/>
        </w:rPr>
        <w:t>。加强检验检测、流行病学调查、传染病救治、公共卫生干预、宣传教育等疾控专业能力建设。</w:t>
      </w:r>
      <w:r>
        <w:rPr>
          <w:rFonts w:hint="eastAsia" w:ascii="Times New Roman" w:hAnsi="Times New Roman" w:eastAsia="仿宋_GB2312" w:cs="方正仿宋_GBK"/>
          <w:b w:val="0"/>
          <w:bCs w:val="0"/>
          <w:color w:val="auto"/>
          <w:highlight w:val="none"/>
          <w:lang w:val="en-US"/>
        </w:rPr>
        <w:t>巩固提升慢性病综合防控和地方病防治能力。提升血液保障能力</w:t>
      </w:r>
      <w:r>
        <w:rPr>
          <w:rFonts w:hint="eastAsia" w:eastAsia="仿宋_GB2312" w:cs="方正仿宋_GBK"/>
          <w:b w:val="0"/>
          <w:bCs w:val="0"/>
          <w:color w:val="auto"/>
          <w:highlight w:val="none"/>
          <w:lang w:val="en-US" w:eastAsia="zh-CN"/>
        </w:rPr>
        <w:t>，加强全市血液采集、检测和供应能力建设，提升血液安全和信息化水平，全方位强化区域血液安全保障能力</w:t>
      </w:r>
      <w:r>
        <w:rPr>
          <w:rFonts w:hint="eastAsia" w:ascii="Times New Roman" w:hAnsi="Times New Roman" w:eastAsia="仿宋_GB2312" w:cs="方正仿宋_GBK"/>
          <w:b w:val="0"/>
          <w:bCs w:val="0"/>
          <w:color w:val="auto"/>
          <w:highlight w:val="none"/>
          <w:lang w:val="en-US"/>
        </w:rPr>
        <w:t>。</w:t>
      </w:r>
      <w:r>
        <w:rPr>
          <w:rFonts w:hint="eastAsia" w:ascii="Times New Roman" w:hAnsi="Times New Roman" w:eastAsia="仿宋_GB2312" w:cs="方正仿宋_GBK"/>
          <w:b w:val="0"/>
          <w:bCs w:val="0"/>
          <w:color w:val="auto"/>
          <w:highlight w:val="none"/>
        </w:rPr>
        <w:t>健全完善职业病监测评估和诊断救治技术支撑体系</w:t>
      </w:r>
      <w:r>
        <w:rPr>
          <w:rFonts w:hint="eastAsia" w:eastAsia="仿宋_GB2312" w:cs="方正仿宋_GBK"/>
          <w:b w:val="0"/>
          <w:bCs w:val="0"/>
          <w:color w:val="auto"/>
          <w:highlight w:val="none"/>
          <w:lang w:eastAsia="zh-CN"/>
        </w:rPr>
        <w:t>。</w:t>
      </w:r>
    </w:p>
    <w:p w14:paraId="562C148E">
      <w:pPr>
        <w:pStyle w:val="43"/>
        <w:keepNext w:val="0"/>
        <w:keepLines w:val="0"/>
        <w:pageBreakBefore w:val="0"/>
        <w:shd w:val="clear" w:color="auto" w:fill="auto"/>
        <w:kinsoku/>
        <w:wordWrap/>
        <w:topLinePunct w:val="0"/>
        <w:autoSpaceDE/>
        <w:autoSpaceDN/>
        <w:bidi w:val="0"/>
        <w:adjustRightInd/>
        <w:spacing w:line="540" w:lineRule="exact"/>
        <w:ind w:firstLine="643" w:firstLineChars="0"/>
        <w:jc w:val="left"/>
        <w:textAlignment w:val="auto"/>
        <w:outlineLvl w:val="3"/>
        <w:rPr>
          <w:rFonts w:hint="eastAsia" w:ascii="Times New Roman" w:hAnsi="Times New Roman" w:eastAsia="仿宋_GB2312" w:cs="方正仿宋_GBK"/>
          <w:b w:val="0"/>
          <w:bCs w:val="0"/>
          <w:color w:val="auto"/>
          <w:highlight w:val="none"/>
        </w:rPr>
      </w:pPr>
      <w:r>
        <w:rPr>
          <w:rFonts w:hint="eastAsia" w:ascii="Times New Roman" w:hAnsi="Times New Roman" w:eastAsia="仿宋_GB2312" w:cs="方正仿宋_GBK"/>
          <w:b w:val="0"/>
          <w:bCs w:val="0"/>
          <w:color w:val="auto"/>
          <w:sz w:val="32"/>
          <w:szCs w:val="32"/>
          <w:highlight w:val="none"/>
          <w:lang w:val="en-US" w:eastAsia="zh-CN"/>
        </w:rPr>
        <w:t>提升医疗服务能力</w:t>
      </w:r>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highlight w:val="none"/>
          <w:lang w:val="en-US"/>
        </w:rPr>
        <w:t>优化医疗机构功能定位和布局，促进优质医疗资源扩容下沉和均衡布局。加快建设国家、</w:t>
      </w:r>
      <w:r>
        <w:rPr>
          <w:rFonts w:hint="eastAsia" w:ascii="Times New Roman" w:hAnsi="Times New Roman" w:eastAsia="仿宋_GB2312" w:cs="方正仿宋_GBK"/>
          <w:b w:val="0"/>
          <w:bCs w:val="0"/>
          <w:color w:val="auto"/>
          <w:highlight w:val="none"/>
        </w:rPr>
        <w:t>自治区级区域医疗中心</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加强</w:t>
      </w:r>
      <w:r>
        <w:rPr>
          <w:rFonts w:hint="eastAsia" w:ascii="Times New Roman" w:hAnsi="Times New Roman" w:eastAsia="仿宋_GB2312" w:cs="方正仿宋_GBK"/>
          <w:b w:val="0"/>
          <w:bCs w:val="0"/>
          <w:color w:val="auto"/>
          <w:highlight w:val="none"/>
          <w:lang w:val="en-US"/>
        </w:rPr>
        <w:t>与区内外高水平医院对口协作</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提升市级医院服务能力，遴选建设一批国家、自治区、市级临床重点专科。强化旗县级医院综合能力建设，实现区域医疗资源整合共享</w:t>
      </w:r>
      <w:r>
        <w:rPr>
          <w:rFonts w:hint="eastAsia" w:ascii="Times New Roman" w:hAnsi="Times New Roman" w:eastAsia="仿宋_GB2312" w:cs="方正仿宋_GBK"/>
          <w:b w:val="0"/>
          <w:bCs w:val="0"/>
          <w:color w:val="auto"/>
          <w:highlight w:val="none"/>
        </w:rPr>
        <w:t>。实施</w:t>
      </w:r>
      <w:r>
        <w:rPr>
          <w:rFonts w:hint="eastAsia" w:eastAsia="仿宋_GB2312" w:cs="方正仿宋_GBK"/>
          <w:b w:val="0"/>
          <w:bCs w:val="0"/>
          <w:color w:val="auto"/>
          <w:highlight w:val="none"/>
          <w:lang w:eastAsia="zh-CN"/>
        </w:rPr>
        <w:t>医疗卫生“强基工程”</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推动</w:t>
      </w:r>
      <w:r>
        <w:rPr>
          <w:rFonts w:hint="eastAsia" w:ascii="Times New Roman" w:hAnsi="Times New Roman" w:eastAsia="仿宋_GB2312" w:cs="方正仿宋_GBK"/>
          <w:b w:val="0"/>
          <w:bCs w:val="0"/>
          <w:color w:val="auto"/>
          <w:highlight w:val="none"/>
        </w:rPr>
        <w:t>社区医院</w:t>
      </w:r>
      <w:r>
        <w:rPr>
          <w:rFonts w:hint="eastAsia" w:ascii="Times New Roman" w:hAnsi="Times New Roman" w:eastAsia="仿宋_GB2312" w:cs="方正仿宋_GBK"/>
          <w:b w:val="0"/>
          <w:bCs w:val="0"/>
          <w:color w:val="auto"/>
          <w:highlight w:val="none"/>
          <w:lang w:val="en-US" w:eastAsia="zh-CN"/>
        </w:rPr>
        <w:t>建设。</w:t>
      </w:r>
      <w:r>
        <w:rPr>
          <w:rFonts w:hint="eastAsia" w:ascii="Times New Roman" w:hAnsi="Times New Roman" w:eastAsia="仿宋_GB2312" w:cs="方正仿宋_GBK"/>
          <w:b w:val="0"/>
          <w:bCs w:val="0"/>
          <w:color w:val="auto"/>
          <w:highlight w:val="none"/>
        </w:rPr>
        <w:t>促进中（蒙）西医协同发展，推进旗县级及以上公立综合医院中医（蒙医）科全覆盖、专科医院和妇幼保健机构中医药（蒙医药）服务全覆盖。组建基层中医药（蒙医药）特色健康服务综合体，全面提升中医药（蒙医药）治未病、疾病治疗、康复、公共卫生、健康宣教等整体服务水平。</w:t>
      </w:r>
      <w:r>
        <w:rPr>
          <w:rFonts w:hint="eastAsia" w:ascii="Times New Roman" w:hAnsi="Times New Roman" w:eastAsia="仿宋_GB2312" w:cs="方正仿宋_GBK"/>
          <w:b w:val="0"/>
          <w:bCs w:val="0"/>
          <w:color w:val="auto"/>
          <w:highlight w:val="none"/>
          <w:lang w:val="en-US"/>
        </w:rPr>
        <w:t>实施医疗机构能力提升、病房楼改造和设备更新项目，推动卫生健康信息一体化应用，大力发展“互联网+医疗健康”。</w:t>
      </w:r>
    </w:p>
    <w:p w14:paraId="704B3509">
      <w:pPr>
        <w:pStyle w:val="43"/>
        <w:keepNext w:val="0"/>
        <w:keepLines w:val="0"/>
        <w:pageBreakBefore w:val="0"/>
        <w:shd w:val="clear" w:color="auto" w:fill="auto"/>
        <w:kinsoku/>
        <w:wordWrap/>
        <w:topLinePunct w:val="0"/>
        <w:autoSpaceDE/>
        <w:autoSpaceDN/>
        <w:bidi w:val="0"/>
        <w:adjustRightInd/>
        <w:spacing w:line="540" w:lineRule="exact"/>
        <w:ind w:firstLine="643" w:firstLineChars="0"/>
        <w:jc w:val="left"/>
        <w:textAlignment w:val="auto"/>
        <w:outlineLvl w:val="3"/>
        <w:rPr>
          <w:rFonts w:hint="eastAsia" w:ascii="Times New Roman" w:hAnsi="Times New Roman" w:eastAsia="仿宋_GB2312" w:cs="方正仿宋_GBK"/>
          <w:b w:val="0"/>
          <w:bCs w:val="0"/>
          <w:color w:val="auto"/>
          <w:highlight w:val="none"/>
          <w:lang w:eastAsia="zh-CN"/>
        </w:rPr>
      </w:pPr>
      <w:r>
        <w:rPr>
          <w:rFonts w:hint="eastAsia" w:ascii="Times New Roman" w:hAnsi="Times New Roman" w:eastAsia="仿宋_GB2312" w:cs="方正仿宋_GBK"/>
          <w:b w:val="0"/>
          <w:bCs w:val="0"/>
          <w:color w:val="auto"/>
          <w:sz w:val="32"/>
          <w:szCs w:val="32"/>
          <w:highlight w:val="none"/>
          <w:lang w:val="en-US" w:eastAsia="zh-CN"/>
        </w:rPr>
        <w:t>深化医药卫生体制改革</w:t>
      </w:r>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highlight w:val="none"/>
          <w:lang w:val="en-US" w:eastAsia="zh-CN"/>
        </w:rPr>
        <w:t>因地制宜学习推广三明医改经验，</w:t>
      </w:r>
      <w:r>
        <w:rPr>
          <w:rFonts w:hint="eastAsia" w:ascii="Times New Roman" w:hAnsi="Times New Roman" w:eastAsia="仿宋_GB2312" w:cs="方正仿宋_GBK"/>
          <w:b w:val="0"/>
          <w:bCs w:val="0"/>
          <w:color w:val="auto"/>
          <w:highlight w:val="none"/>
        </w:rPr>
        <w:t>推进医疗、医保、医药协同发展</w:t>
      </w:r>
      <w:r>
        <w:rPr>
          <w:rFonts w:hint="eastAsia" w:ascii="Times New Roman" w:hAnsi="Times New Roman" w:eastAsia="仿宋_GB2312" w:cs="方正仿宋_GBK"/>
          <w:b w:val="0"/>
          <w:bCs w:val="0"/>
          <w:color w:val="auto"/>
          <w:highlight w:val="none"/>
          <w:lang w:val="en-US" w:eastAsia="zh-CN"/>
        </w:rPr>
        <w:t>和治理。</w:t>
      </w:r>
      <w:r>
        <w:rPr>
          <w:rFonts w:hint="eastAsia" w:ascii="Times New Roman" w:hAnsi="Times New Roman" w:eastAsia="仿宋_GB2312" w:cs="方正仿宋_GBK"/>
          <w:b w:val="0"/>
          <w:bCs w:val="0"/>
          <w:color w:val="auto"/>
          <w:highlight w:val="none"/>
        </w:rPr>
        <w:t>深化紧密型城市医疗集团</w:t>
      </w:r>
      <w:r>
        <w:rPr>
          <w:rFonts w:hint="eastAsia" w:ascii="Times New Roman" w:hAnsi="Times New Roman" w:eastAsia="仿宋_GB2312" w:cs="方正仿宋_GBK"/>
          <w:b w:val="0"/>
          <w:bCs w:val="0"/>
          <w:color w:val="auto"/>
          <w:highlight w:val="none"/>
          <w:lang w:val="en-US" w:eastAsia="zh-CN"/>
        </w:rPr>
        <w:t>和</w:t>
      </w:r>
      <w:r>
        <w:rPr>
          <w:rFonts w:hint="eastAsia" w:ascii="Times New Roman" w:hAnsi="Times New Roman" w:eastAsia="仿宋_GB2312" w:cs="方正仿宋_GBK"/>
          <w:b w:val="0"/>
          <w:bCs w:val="0"/>
          <w:color w:val="auto"/>
          <w:highlight w:val="none"/>
        </w:rPr>
        <w:t>紧密型县域医共体建设</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健全</w:t>
      </w:r>
      <w:r>
        <w:rPr>
          <w:rFonts w:hint="eastAsia" w:ascii="Times New Roman" w:hAnsi="Times New Roman" w:eastAsia="仿宋_GB2312" w:cs="方正仿宋_GBK"/>
          <w:b w:val="0"/>
          <w:bCs w:val="0"/>
          <w:color w:val="auto"/>
          <w:highlight w:val="none"/>
          <w:lang w:val="en-US" w:eastAsia="zh-CN"/>
        </w:rPr>
        <w:t>医共体内部</w:t>
      </w:r>
      <w:r>
        <w:rPr>
          <w:rFonts w:hint="eastAsia" w:ascii="Times New Roman" w:hAnsi="Times New Roman" w:eastAsia="仿宋_GB2312" w:cs="方正仿宋_GBK"/>
          <w:b w:val="0"/>
          <w:bCs w:val="0"/>
          <w:color w:val="auto"/>
          <w:highlight w:val="none"/>
        </w:rPr>
        <w:t>医保总额付费制度，实现</w:t>
      </w:r>
      <w:r>
        <w:rPr>
          <w:rFonts w:hint="eastAsia" w:ascii="Times New Roman" w:hAnsi="Times New Roman" w:eastAsia="仿宋_GB2312" w:cs="方正仿宋_GBK"/>
          <w:b w:val="0"/>
          <w:bCs w:val="0"/>
          <w:color w:val="auto"/>
          <w:highlight w:val="none"/>
          <w:lang w:val="en-US" w:eastAsia="zh-CN"/>
        </w:rPr>
        <w:t>医联体</w:t>
      </w:r>
      <w:r>
        <w:rPr>
          <w:rFonts w:hint="eastAsia" w:ascii="Times New Roman" w:hAnsi="Times New Roman" w:eastAsia="仿宋_GB2312" w:cs="方正仿宋_GBK"/>
          <w:b w:val="0"/>
          <w:bCs w:val="0"/>
          <w:color w:val="auto"/>
          <w:highlight w:val="none"/>
        </w:rPr>
        <w:t>成员单位检查检验结果互认</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促进</w:t>
      </w:r>
      <w:r>
        <w:rPr>
          <w:rFonts w:hint="eastAsia" w:ascii="Times New Roman" w:hAnsi="Times New Roman" w:eastAsia="仿宋_GB2312" w:cs="方正仿宋_GBK"/>
          <w:b w:val="0"/>
          <w:bCs w:val="0"/>
          <w:color w:val="auto"/>
          <w:highlight w:val="none"/>
        </w:rPr>
        <w:t>分级诊疗。深化以公益性为导向的公立医院综合改革，</w:t>
      </w:r>
      <w:r>
        <w:rPr>
          <w:rFonts w:hint="eastAsia" w:ascii="Times New Roman" w:hAnsi="Times New Roman" w:eastAsia="仿宋_GB2312" w:cs="方正仿宋_GBK"/>
          <w:b w:val="0"/>
          <w:bCs w:val="0"/>
          <w:color w:val="auto"/>
          <w:highlight w:val="none"/>
          <w:lang w:val="en-US" w:eastAsia="zh-CN"/>
        </w:rPr>
        <w:t>加快</w:t>
      </w:r>
      <w:r>
        <w:rPr>
          <w:rFonts w:hint="eastAsia" w:ascii="Times New Roman" w:hAnsi="Times New Roman" w:eastAsia="仿宋_GB2312" w:cs="方正仿宋_GBK"/>
          <w:b w:val="0"/>
          <w:bCs w:val="0"/>
          <w:color w:val="auto"/>
          <w:highlight w:val="none"/>
        </w:rPr>
        <w:t>公立医院编制、服务价格、薪酬制度、综合监管改革</w:t>
      </w:r>
      <w:r>
        <w:rPr>
          <w:rFonts w:hint="eastAsia" w:ascii="Times New Roman" w:hAnsi="Times New Roman" w:eastAsia="仿宋_GB2312" w:cs="方正仿宋_GBK"/>
          <w:b w:val="0"/>
          <w:bCs w:val="0"/>
          <w:color w:val="auto"/>
          <w:highlight w:val="none"/>
          <w:lang w:val="en-US" w:eastAsia="zh-CN"/>
        </w:rPr>
        <w:t>进程</w:t>
      </w:r>
      <w:r>
        <w:rPr>
          <w:rFonts w:hint="eastAsia" w:ascii="Times New Roman" w:hAnsi="Times New Roman" w:eastAsia="仿宋_GB2312" w:cs="方正仿宋_GBK"/>
          <w:b w:val="0"/>
          <w:bCs w:val="0"/>
          <w:color w:val="auto"/>
          <w:highlight w:val="none"/>
          <w:lang w:eastAsia="zh-CN"/>
        </w:rPr>
        <w:t>。加强</w:t>
      </w:r>
      <w:r>
        <w:rPr>
          <w:rFonts w:hint="eastAsia" w:ascii="Times New Roman" w:hAnsi="Times New Roman" w:eastAsia="仿宋_GB2312" w:cs="方正仿宋_GBK"/>
          <w:b w:val="0"/>
          <w:bCs w:val="0"/>
          <w:color w:val="auto"/>
          <w:highlight w:val="none"/>
          <w:lang w:val="en-US" w:eastAsia="zh-CN"/>
        </w:rPr>
        <w:t>公立医疗机构</w:t>
      </w:r>
      <w:r>
        <w:rPr>
          <w:rFonts w:hint="eastAsia" w:ascii="Times New Roman" w:hAnsi="Times New Roman" w:eastAsia="仿宋_GB2312" w:cs="方正仿宋_GBK"/>
          <w:b w:val="0"/>
          <w:bCs w:val="0"/>
          <w:color w:val="auto"/>
          <w:highlight w:val="none"/>
          <w:lang w:eastAsia="zh-CN"/>
        </w:rPr>
        <w:t>运行保障。</w:t>
      </w:r>
    </w:p>
    <w:p w14:paraId="0E8F8921">
      <w:pPr>
        <w:pStyle w:val="43"/>
        <w:keepNext w:val="0"/>
        <w:keepLines w:val="0"/>
        <w:pageBreakBefore w:val="0"/>
        <w:shd w:val="clear" w:color="auto" w:fill="auto"/>
        <w:kinsoku/>
        <w:wordWrap/>
        <w:topLinePunct w:val="0"/>
        <w:autoSpaceDE/>
        <w:autoSpaceDN/>
        <w:bidi w:val="0"/>
        <w:adjustRightInd/>
        <w:spacing w:line="540" w:lineRule="exact"/>
        <w:ind w:firstLine="643" w:firstLineChars="0"/>
        <w:jc w:val="left"/>
        <w:textAlignment w:val="auto"/>
        <w:outlineLvl w:val="3"/>
        <w:rPr>
          <w:rFonts w:hint="eastAsia" w:ascii="Times New Roman" w:hAnsi="Times New Roman" w:eastAsia="仿宋_GB2312" w:cs="方正仿宋_GBK"/>
          <w:b w:val="0"/>
          <w:bCs w:val="0"/>
          <w:color w:val="auto"/>
          <w:highlight w:val="none"/>
          <w:lang w:val="en-US" w:eastAsia="zh-CN"/>
        </w:rPr>
      </w:pPr>
      <w:bookmarkStart w:id="1102" w:name="_Toc17287"/>
      <w:r>
        <w:rPr>
          <w:rFonts w:hint="eastAsia" w:ascii="Times New Roman" w:hAnsi="Times New Roman" w:eastAsia="仿宋_GB2312" w:cs="方正仿宋_GBK"/>
          <w:b w:val="0"/>
          <w:bCs w:val="0"/>
          <w:color w:val="auto"/>
          <w:sz w:val="32"/>
          <w:szCs w:val="32"/>
          <w:highlight w:val="none"/>
          <w:lang w:val="en-US" w:eastAsia="zh-CN"/>
        </w:rPr>
        <w:t>强化医疗人才队伍建设</w:t>
      </w:r>
      <w:bookmarkEnd w:id="1102"/>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highlight w:val="none"/>
          <w:lang w:val="en-US" w:eastAsia="zh-CN"/>
        </w:rPr>
        <w:t>实施急需紧缺人才培养计划，加强公共卫生、全科、儿科、重症医学、呼吸、精神科、传染病、老年医学等领域急需紧缺专业人才培养培训，完善公共卫生与临床医学复合型人才培养机制。加强基层医疗卫生人才队伍建设</w:t>
      </w:r>
      <w:r>
        <w:rPr>
          <w:rFonts w:hint="eastAsia"/>
          <w:b w:val="0"/>
          <w:bCs w:val="0"/>
          <w:highlight w:val="none"/>
          <w:lang w:eastAsia="zh-CN"/>
        </w:rPr>
        <w:t>，</w:t>
      </w:r>
      <w:r>
        <w:rPr>
          <w:rFonts w:hint="eastAsia" w:ascii="Times New Roman" w:hAnsi="Times New Roman" w:eastAsia="仿宋_GB2312" w:cs="方正仿宋_GBK"/>
          <w:b w:val="0"/>
          <w:bCs w:val="0"/>
          <w:color w:val="auto"/>
          <w:highlight w:val="none"/>
          <w:lang w:val="en-US" w:eastAsia="zh-CN"/>
        </w:rPr>
        <w:t>落实执业医师服务基层制度。强化住院医师规范化培训基地建设，扩大“西学中”培训规模，夯实基层人才能力基础，落实卫生人才评价机制。</w:t>
      </w:r>
    </w:p>
    <w:p w14:paraId="705233A2">
      <w:pPr>
        <w:pStyle w:val="43"/>
        <w:keepNext w:val="0"/>
        <w:keepLines w:val="0"/>
        <w:pageBreakBefore w:val="0"/>
        <w:shd w:val="clear" w:color="auto" w:fill="auto"/>
        <w:kinsoku/>
        <w:wordWrap/>
        <w:topLinePunct w:val="0"/>
        <w:autoSpaceDE/>
        <w:autoSpaceDN/>
        <w:bidi w:val="0"/>
        <w:adjustRightInd/>
        <w:spacing w:line="540" w:lineRule="exact"/>
        <w:ind w:firstLine="643" w:firstLineChars="0"/>
        <w:jc w:val="left"/>
        <w:textAlignment w:val="auto"/>
        <w:outlineLvl w:val="3"/>
        <w:rPr>
          <w:rFonts w:hint="eastAsia" w:ascii="Times New Roman" w:hAnsi="Times New Roman" w:eastAsia="方正仿宋_GBK" w:cs="方正仿宋_GBK"/>
          <w:b w:val="0"/>
          <w:bCs w:val="0"/>
          <w:color w:val="auto"/>
          <w:highlight w:val="none"/>
        </w:rPr>
      </w:pPr>
      <w:bookmarkStart w:id="1103" w:name="_Toc27121"/>
      <w:r>
        <w:rPr>
          <w:rFonts w:hint="eastAsia" w:ascii="Times New Roman" w:hAnsi="Times New Roman" w:eastAsia="仿宋_GB2312" w:cs="方正仿宋_GBK"/>
          <w:b w:val="0"/>
          <w:bCs w:val="0"/>
          <w:color w:val="auto"/>
          <w:sz w:val="32"/>
          <w:szCs w:val="32"/>
          <w:highlight w:val="none"/>
          <w:lang w:val="en-US" w:eastAsia="zh-CN"/>
        </w:rPr>
        <w:t>提升全民健康水平</w:t>
      </w:r>
      <w:bookmarkEnd w:id="1103"/>
      <w:r>
        <w:rPr>
          <w:rFonts w:hint="eastAsia" w:eastAsia="仿宋_GB2312" w:cs="方正仿宋_GBK"/>
          <w:b w:val="0"/>
          <w:bCs w:val="0"/>
          <w:color w:val="auto"/>
          <w:sz w:val="32"/>
          <w:szCs w:val="32"/>
          <w:highlight w:val="none"/>
          <w:lang w:val="en-US" w:eastAsia="zh-CN"/>
        </w:rPr>
        <w:t>。</w:t>
      </w:r>
      <w:r>
        <w:rPr>
          <w:rFonts w:hint="eastAsia" w:ascii="Times New Roman" w:hAnsi="Times New Roman" w:eastAsia="仿宋_GB2312" w:cs="方正仿宋_GBK"/>
          <w:b w:val="0"/>
          <w:bCs w:val="0"/>
          <w:color w:val="auto"/>
          <w:highlight w:val="none"/>
        </w:rPr>
        <w:t>普及健康知识，倡导文明健康的生活方式。加强重点人群健康服务，完善老年健康服务体系，保障妇幼健康，促进儿童青少年健康成长</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加强职业病防治。完善心理健康和精神卫生服务体系。</w:t>
      </w:r>
      <w:r>
        <w:rPr>
          <w:rFonts w:hint="eastAsia" w:ascii="Times New Roman" w:hAnsi="Times New Roman" w:eastAsia="仿宋_GB2312" w:cs="方正仿宋_GBK"/>
          <w:b w:val="0"/>
          <w:bCs w:val="0"/>
          <w:color w:val="auto"/>
          <w:highlight w:val="none"/>
          <w:lang w:val="en-US"/>
        </w:rPr>
        <w:t>实施合理膳食行动和国民营养计划，持续开展健康体重管理行动</w:t>
      </w:r>
      <w:r>
        <w:rPr>
          <w:rFonts w:hint="eastAsia" w:ascii="Times New Roman" w:hAnsi="Times New Roman" w:eastAsia="仿宋_GB2312" w:cs="方正仿宋_GBK"/>
          <w:b w:val="0"/>
          <w:bCs w:val="0"/>
          <w:color w:val="auto"/>
          <w:highlight w:val="none"/>
        </w:rPr>
        <w:t>。深入开展爱国卫生运动。</w:t>
      </w:r>
      <w:r>
        <w:rPr>
          <w:rFonts w:hint="eastAsia" w:ascii="Times New Roman" w:hAnsi="Times New Roman" w:eastAsia="仿宋_GB2312" w:cs="方正仿宋_GBK"/>
          <w:b w:val="0"/>
          <w:bCs w:val="0"/>
          <w:color w:val="auto"/>
          <w:highlight w:val="none"/>
          <w:lang w:val="en-US" w:eastAsia="zh-CN"/>
        </w:rPr>
        <w:t>完善全民健身公共服务体系，积极发展群众体育、竞技体育。</w:t>
      </w:r>
      <w:r>
        <w:rPr>
          <w:rFonts w:hint="eastAsia" w:ascii="Times New Roman" w:hAnsi="Times New Roman" w:eastAsia="仿宋_GB2312" w:cs="方正仿宋_GBK"/>
          <w:b w:val="0"/>
          <w:bCs w:val="0"/>
          <w:color w:val="auto"/>
          <w:highlight w:val="none"/>
        </w:rPr>
        <w:t>提高全民身体素质</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均衡布局构建城市公园绿地体系，打造“1</w:t>
      </w:r>
      <w:r>
        <w:rPr>
          <w:rFonts w:hint="eastAsia" w:eastAsia="仿宋_GB2312" w:cs="方正仿宋_GBK"/>
          <w:b w:val="0"/>
          <w:bCs w:val="0"/>
          <w:color w:val="auto"/>
          <w:highlight w:val="none"/>
          <w:lang w:val="en-US" w:eastAsia="zh-CN"/>
        </w:rPr>
        <w:t>0</w:t>
      </w:r>
      <w:r>
        <w:rPr>
          <w:rFonts w:hint="eastAsia" w:ascii="Times New Roman" w:hAnsi="Times New Roman" w:eastAsia="仿宋_GB2312" w:cs="方正仿宋_GBK"/>
          <w:b w:val="0"/>
          <w:bCs w:val="0"/>
          <w:color w:val="auto"/>
          <w:highlight w:val="none"/>
        </w:rPr>
        <w:t>分钟健身圈”。支持社会力量参与全民健身设施的建设、管理和运营，推动企事业单位体育设施向社会开放，推进公共体育设施免费或低收费开放。推动各类体育社会组织向基层群众身边覆盖延伸，加强社会体育指导员队伍建设。整合公共体育和医疗卫生资源，推广建设体医融合服务机构和平台，创新体医融合的疾病管理和健康服务模式。</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9"/>
      </w:tblGrid>
      <w:tr w14:paraId="10BAF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5120AD03">
            <w:pPr>
              <w:keepNext w:val="0"/>
              <w:keepLines w:val="0"/>
              <w:pageBreakBefore w:val="0"/>
              <w:kinsoku/>
              <w:wordWrap/>
              <w:topLinePunct w:val="0"/>
              <w:autoSpaceDE/>
              <w:autoSpaceDN/>
              <w:bidi w:val="0"/>
              <w:adjustRightInd/>
              <w:spacing w:line="540" w:lineRule="exact"/>
              <w:ind w:firstLine="464" w:firstLineChars="200"/>
              <w:jc w:val="center"/>
              <w:textAlignment w:val="auto"/>
              <w:rPr>
                <w:rFonts w:ascii="Times New Roman" w:hAnsi="Times New Roman" w:eastAsia="方正仿宋_GBK" w:cs="Times New Roman"/>
                <w:b w:val="0"/>
                <w:bCs w:val="0"/>
                <w:sz w:val="24"/>
                <w:highlight w:val="none"/>
              </w:rPr>
            </w:pPr>
            <w:r>
              <w:rPr>
                <w:rFonts w:hint="eastAsia" w:ascii="Times New Roman" w:hAnsi="Times New Roman" w:eastAsia="仿宋_GB2312" w:cs="Times New Roman"/>
                <w:b w:val="0"/>
                <w:bCs w:val="0"/>
                <w:sz w:val="24"/>
                <w:highlight w:val="none"/>
              </w:rPr>
              <w:t>专栏</w:t>
            </w:r>
            <w:r>
              <w:rPr>
                <w:rFonts w:hint="eastAsia" w:ascii="Times New Roman" w:hAnsi="Times New Roman" w:eastAsia="仿宋_GB2312" w:cs="Times New Roman"/>
                <w:b w:val="0"/>
                <w:bCs w:val="0"/>
                <w:sz w:val="24"/>
                <w:highlight w:val="none"/>
                <w:lang w:val="en-US" w:eastAsia="zh-CN"/>
              </w:rPr>
              <w:t>18 健康赤峰</w:t>
            </w:r>
            <w:r>
              <w:rPr>
                <w:rFonts w:hint="eastAsia" w:ascii="Times New Roman" w:hAnsi="Times New Roman" w:eastAsia="仿宋_GB2312" w:cs="Times New Roman"/>
                <w:b w:val="0"/>
                <w:bCs w:val="0"/>
                <w:sz w:val="24"/>
                <w:highlight w:val="none"/>
              </w:rPr>
              <w:t>重大工程</w:t>
            </w:r>
          </w:p>
        </w:tc>
      </w:tr>
      <w:tr w14:paraId="0DBAC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9" w:type="dxa"/>
            <w:noWrap w:val="0"/>
            <w:vAlign w:val="top"/>
          </w:tcPr>
          <w:p w14:paraId="6C38DAAD">
            <w:pPr>
              <w:keepNext w:val="0"/>
              <w:keepLines w:val="0"/>
              <w:pageBreakBefore w:val="0"/>
              <w:kinsoku/>
              <w:wordWrap/>
              <w:topLinePunct w:val="0"/>
              <w:autoSpaceDE/>
              <w:autoSpaceDN/>
              <w:bidi w:val="0"/>
              <w:adjustRightInd/>
              <w:spacing w:line="540" w:lineRule="exact"/>
              <w:ind w:firstLine="404" w:firstLineChars="200"/>
              <w:textAlignment w:val="auto"/>
              <w:rPr>
                <w:rFonts w:hint="default" w:ascii="Times New Roman" w:hAnsi="Times New Roman" w:eastAsia="仿宋_GB2312"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医疗服务能力提升工程：实现国家区域医疗中心、自治区级专科区域医疗中心高效运营。推进医疗机构病房改造及能力提升，开展医疗设备设施更新，提升医疗机构康复护理能力。</w:t>
            </w:r>
          </w:p>
          <w:p w14:paraId="1BEC8AB8">
            <w:pPr>
              <w:keepNext w:val="0"/>
              <w:keepLines w:val="0"/>
              <w:pageBreakBefore w:val="0"/>
              <w:kinsoku/>
              <w:wordWrap/>
              <w:topLinePunct w:val="0"/>
              <w:autoSpaceDE/>
              <w:autoSpaceDN/>
              <w:bidi w:val="0"/>
              <w:adjustRightInd/>
              <w:spacing w:line="540" w:lineRule="exact"/>
              <w:ind w:firstLine="404" w:firstLineChars="200"/>
              <w:textAlignment w:val="auto"/>
              <w:rPr>
                <w:rFonts w:hint="default" w:ascii="Times New Roman" w:hAnsi="Times New Roman" w:eastAsia="仿宋_GB2312"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医疗卫生“强基工程”：实施紧密型县域医共体设备更新项目。推进旗县级医院、重点中心乡镇卫生院提质升级，建设紧密型县域医共体五大中心。</w:t>
            </w:r>
          </w:p>
          <w:p w14:paraId="52F4A9F4">
            <w:pPr>
              <w:keepNext w:val="0"/>
              <w:keepLines w:val="0"/>
              <w:pageBreakBefore w:val="0"/>
              <w:kinsoku/>
              <w:wordWrap/>
              <w:topLinePunct w:val="0"/>
              <w:autoSpaceDE/>
              <w:autoSpaceDN/>
              <w:bidi w:val="0"/>
              <w:adjustRightInd/>
              <w:spacing w:line="540" w:lineRule="exact"/>
              <w:ind w:firstLine="404" w:firstLineChars="200"/>
              <w:textAlignment w:val="auto"/>
              <w:rPr>
                <w:rFonts w:hint="default" w:ascii="Times New Roman" w:hAnsi="Times New Roman" w:eastAsia="仿宋_GB2312"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中医药（蒙医药）传承创新工程：开展中医（蒙医）优势专科中心建设，提升中医药（蒙医药）防病治病能力。</w:t>
            </w:r>
          </w:p>
          <w:p w14:paraId="7CA262C1">
            <w:pPr>
              <w:keepNext w:val="0"/>
              <w:keepLines w:val="0"/>
              <w:pageBreakBefore w:val="0"/>
              <w:kinsoku/>
              <w:wordWrap/>
              <w:topLinePunct w:val="0"/>
              <w:autoSpaceDE/>
              <w:autoSpaceDN/>
              <w:bidi w:val="0"/>
              <w:adjustRightInd/>
              <w:spacing w:line="540" w:lineRule="exact"/>
              <w:ind w:firstLine="404" w:firstLineChars="200"/>
              <w:textAlignment w:val="auto"/>
              <w:rPr>
                <w:rFonts w:hint="default" w:ascii="Times New Roman" w:hAnsi="Times New Roman" w:eastAsia="仿宋_GB2312"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血液安全保障工程：实施血液安全保障体系建设项目，加强血液采集、监测、储备能力。</w:t>
            </w:r>
          </w:p>
          <w:p w14:paraId="7DAE7178">
            <w:pPr>
              <w:keepNext w:val="0"/>
              <w:keepLines w:val="0"/>
              <w:pageBreakBefore w:val="0"/>
              <w:kinsoku/>
              <w:wordWrap/>
              <w:topLinePunct w:val="0"/>
              <w:autoSpaceDE/>
              <w:autoSpaceDN/>
              <w:bidi w:val="0"/>
              <w:adjustRightInd/>
              <w:spacing w:line="540" w:lineRule="exact"/>
              <w:ind w:firstLine="404" w:firstLineChars="200"/>
              <w:textAlignment w:val="auto"/>
              <w:rPr>
                <w:rFonts w:hint="default" w:ascii="Times New Roman" w:hAnsi="Times New Roman" w:eastAsia="仿宋_GB2312"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疾病预防控制体系建设工程：建设国家级传染病防控医防协同医防融合试点，建成自治区区域公共卫生中心，提升传染病智能监测预警能力。</w:t>
            </w:r>
          </w:p>
          <w:p w14:paraId="5E188360">
            <w:pPr>
              <w:keepNext w:val="0"/>
              <w:keepLines w:val="0"/>
              <w:pageBreakBefore w:val="0"/>
              <w:kinsoku/>
              <w:wordWrap/>
              <w:topLinePunct w:val="0"/>
              <w:autoSpaceDE/>
              <w:autoSpaceDN/>
              <w:bidi w:val="0"/>
              <w:adjustRightInd/>
              <w:spacing w:line="540" w:lineRule="exact"/>
              <w:ind w:firstLine="404" w:firstLineChars="200"/>
              <w:textAlignment w:val="auto"/>
              <w:rPr>
                <w:rFonts w:hint="default" w:ascii="Times New Roman" w:hAnsi="Times New Roman" w:eastAsia="方正仿宋_GBK" w:cs="Times New Roman"/>
                <w:b w:val="0"/>
                <w:bCs w:val="0"/>
                <w:highlight w:val="none"/>
                <w:lang w:val="en-US" w:eastAsia="zh-CN"/>
              </w:rPr>
            </w:pPr>
            <w:r>
              <w:rPr>
                <w:rFonts w:hint="eastAsia" w:ascii="Times New Roman" w:hAnsi="Times New Roman" w:eastAsia="仿宋_GB2312" w:cs="Times New Roman"/>
                <w:b w:val="0"/>
                <w:bCs w:val="0"/>
                <w:highlight w:val="none"/>
                <w:lang w:val="en-US" w:eastAsia="zh-CN"/>
              </w:rPr>
              <w:t>医疗卫生信息化重点工程：完善市级区域全民健康信息平台。探索AI辅助诊断、智能分诊、慢病管理等场景应用。提升紧密型县域医共体、紧密型城市医疗集团信息化管理水平。</w:t>
            </w:r>
          </w:p>
        </w:tc>
      </w:tr>
    </w:tbl>
    <w:p w14:paraId="661F8D1B">
      <w:pPr>
        <w:keepNext w:val="0"/>
        <w:keepLines w:val="0"/>
        <w:pageBreakBefore w:val="0"/>
        <w:kinsoku/>
        <w:wordWrap/>
        <w:topLinePunct w:val="0"/>
        <w:autoSpaceDE/>
        <w:autoSpaceDN/>
        <w:bidi w:val="0"/>
        <w:adjustRightInd/>
        <w:spacing w:line="540" w:lineRule="exact"/>
        <w:textAlignment w:val="auto"/>
        <w:rPr>
          <w:rFonts w:hint="eastAsia" w:ascii="Times New Roman" w:hAnsi="Times New Roman"/>
          <w:b w:val="0"/>
          <w:bCs w:val="0"/>
          <w:highlight w:val="none"/>
          <w:lang w:val="en-US" w:eastAsia="zh-CN"/>
        </w:rPr>
      </w:pPr>
    </w:p>
    <w:p w14:paraId="40D8C080">
      <w:pPr>
        <w:keepNext w:val="0"/>
        <w:keepLines w:val="0"/>
        <w:pageBreakBefore w:val="0"/>
        <w:widowControl/>
        <w:numPr>
          <w:ilvl w:val="0"/>
          <w:numId w:val="13"/>
        </w:numPr>
        <w:shd w:val="clear" w:color="auto" w:fill="auto"/>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1104" w:name="_Toc15022"/>
      <w:bookmarkStart w:id="1105" w:name="_Toc523"/>
      <w:bookmarkStart w:id="1106" w:name="_Toc27052"/>
      <w:bookmarkStart w:id="1107" w:name="_Toc5286"/>
      <w:bookmarkStart w:id="1108" w:name="_Toc15837"/>
      <w:bookmarkStart w:id="1109" w:name="_Toc4195"/>
      <w:bookmarkStart w:id="1110" w:name="_Toc26064"/>
      <w:bookmarkStart w:id="1111" w:name="_Toc1980"/>
      <w:bookmarkStart w:id="1112" w:name="_Toc15405"/>
      <w:bookmarkStart w:id="1113" w:name="_Toc30594"/>
      <w:bookmarkStart w:id="1114" w:name="_Toc19626"/>
      <w:bookmarkStart w:id="1115" w:name="_Toc13021"/>
      <w:bookmarkStart w:id="1116" w:name="_Toc17904"/>
      <w:bookmarkStart w:id="1117" w:name="_Toc22945"/>
      <w:bookmarkStart w:id="1118" w:name="_Toc2541"/>
      <w:bookmarkStart w:id="1119" w:name="_Toc21958"/>
      <w:bookmarkStart w:id="1120" w:name="_Toc7153"/>
      <w:bookmarkStart w:id="1121" w:name="_Toc7763"/>
      <w:bookmarkStart w:id="1122" w:name="_Toc1010"/>
      <w:bookmarkStart w:id="1123" w:name="_Toc3267"/>
      <w:bookmarkStart w:id="1124" w:name="_Toc239"/>
      <w:bookmarkStart w:id="1125" w:name="_Toc20833"/>
      <w:bookmarkStart w:id="1126" w:name="_Toc720"/>
      <w:r>
        <w:rPr>
          <w:rFonts w:hint="eastAsia" w:ascii="楷体_GB2312" w:hAnsi="楷体_GB2312" w:eastAsia="楷体_GB2312" w:cs="楷体_GB2312"/>
          <w:b w:val="0"/>
          <w:bCs w:val="0"/>
          <w:color w:val="auto"/>
          <w:sz w:val="32"/>
          <w:szCs w:val="40"/>
          <w:highlight w:val="none"/>
          <w:lang w:val="en-US" w:eastAsia="zh-CN"/>
        </w:rPr>
        <w:t>健全社会保障体系</w:t>
      </w:r>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p>
    <w:p w14:paraId="62323D64">
      <w:pPr>
        <w:pStyle w:val="43"/>
        <w:keepNext w:val="0"/>
        <w:keepLines w:val="0"/>
        <w:pageBreakBefore w:val="0"/>
        <w:shd w:val="clear"/>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lang w:eastAsia="zh-CN"/>
        </w:rPr>
      </w:pPr>
      <w:r>
        <w:rPr>
          <w:rFonts w:hint="eastAsia" w:ascii="Times New Roman" w:hAnsi="Times New Roman" w:eastAsia="仿宋_GB2312" w:cs="方正仿宋_GBK"/>
          <w:b w:val="0"/>
          <w:bCs w:val="0"/>
          <w:color w:val="auto"/>
          <w:highlight w:val="none"/>
        </w:rPr>
        <w:t>围绕建设覆盖全民、统筹城乡、公平统一、安全规范、可持续的多层次社会保障体系，织密扎牢社会保障安全网。</w:t>
      </w:r>
    </w:p>
    <w:p w14:paraId="22D20073">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lang w:val="en-US" w:eastAsia="zh-CN"/>
        </w:rPr>
      </w:pPr>
      <w:bookmarkStart w:id="1127" w:name="_Toc24797"/>
      <w:r>
        <w:rPr>
          <w:rFonts w:hint="eastAsia" w:ascii="Times New Roman" w:hAnsi="Times New Roman" w:eastAsia="仿宋_GB2312" w:cs="方正仿宋_GBK"/>
          <w:b w:val="0"/>
          <w:bCs w:val="0"/>
          <w:color w:val="auto"/>
          <w:highlight w:val="none"/>
        </w:rPr>
        <w:t>完善</w:t>
      </w:r>
      <w:r>
        <w:rPr>
          <w:rFonts w:hint="eastAsia" w:ascii="Times New Roman" w:hAnsi="Times New Roman" w:eastAsia="仿宋_GB2312" w:cs="方正仿宋_GBK"/>
          <w:b w:val="0"/>
          <w:bCs w:val="0"/>
          <w:color w:val="auto"/>
          <w:highlight w:val="none"/>
          <w:lang w:val="en-US" w:eastAsia="zh-CN"/>
        </w:rPr>
        <w:t>社会</w:t>
      </w:r>
      <w:r>
        <w:rPr>
          <w:rFonts w:hint="eastAsia" w:ascii="Times New Roman" w:hAnsi="Times New Roman" w:eastAsia="仿宋_GB2312" w:cs="方正仿宋_GBK"/>
          <w:b w:val="0"/>
          <w:bCs w:val="0"/>
          <w:color w:val="auto"/>
          <w:highlight w:val="none"/>
        </w:rPr>
        <w:t>保险体系</w:t>
      </w:r>
      <w:bookmarkEnd w:id="1127"/>
      <w:r>
        <w:rPr>
          <w:rFonts w:hint="eastAsia" w:eastAsia="仿宋_GB2312" w:cs="方正仿宋_GBK"/>
          <w:b w:val="0"/>
          <w:bCs w:val="0"/>
          <w:color w:val="auto"/>
          <w:highlight w:val="none"/>
          <w:lang w:eastAsia="zh-CN"/>
        </w:rPr>
        <w:t>。</w:t>
      </w:r>
      <w:r>
        <w:rPr>
          <w:rFonts w:hint="eastAsia" w:eastAsia="仿宋_GB2312" w:cs="方正仿宋_GBK"/>
          <w:b w:val="0"/>
          <w:bCs w:val="0"/>
          <w:color w:val="auto"/>
          <w:highlight w:val="none"/>
          <w:lang w:val="en-US" w:eastAsia="zh-CN"/>
        </w:rPr>
        <w:t>高质量实施全民参保计划</w:t>
      </w:r>
      <w:r>
        <w:rPr>
          <w:rFonts w:hint="eastAsia" w:ascii="Times New Roman" w:hAnsi="Times New Roman" w:eastAsia="仿宋_GB2312" w:cs="方正仿宋_GBK"/>
          <w:b w:val="0"/>
          <w:bCs w:val="0"/>
          <w:color w:val="auto"/>
          <w:highlight w:val="none"/>
          <w:lang w:val="en-US" w:eastAsia="zh-CN"/>
        </w:rPr>
        <w:t>，</w:t>
      </w:r>
      <w:r>
        <w:rPr>
          <w:rFonts w:hint="eastAsia" w:eastAsia="仿宋_GB2312" w:cs="方正仿宋_GBK"/>
          <w:b w:val="0"/>
          <w:bCs w:val="0"/>
          <w:color w:val="auto"/>
          <w:highlight w:val="none"/>
          <w:lang w:val="en-US" w:eastAsia="zh-CN"/>
        </w:rPr>
        <w:t>提高</w:t>
      </w:r>
      <w:r>
        <w:rPr>
          <w:rFonts w:hint="eastAsia" w:ascii="Times New Roman" w:hAnsi="Times New Roman" w:eastAsia="仿宋_GB2312" w:cs="方正仿宋_GBK"/>
          <w:b w:val="0"/>
          <w:bCs w:val="0"/>
          <w:color w:val="auto"/>
          <w:highlight w:val="none"/>
          <w:lang w:val="en-US" w:eastAsia="zh-CN"/>
        </w:rPr>
        <w:t>灵活就业人员</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lang w:val="en-US" w:eastAsia="zh-CN"/>
        </w:rPr>
        <w:t>农牧民工</w:t>
      </w:r>
      <w:r>
        <w:rPr>
          <w:rFonts w:hint="eastAsia" w:eastAsia="仿宋_GB2312" w:cs="方正仿宋_GBK"/>
          <w:b w:val="0"/>
          <w:bCs w:val="0"/>
          <w:color w:val="auto"/>
          <w:highlight w:val="none"/>
          <w:lang w:val="en-US" w:eastAsia="zh-CN"/>
        </w:rPr>
        <w:t>、新就业形态人员参保率</w:t>
      </w:r>
      <w:r>
        <w:rPr>
          <w:rFonts w:hint="eastAsia" w:ascii="Times New Roman" w:hAnsi="Times New Roman" w:eastAsia="仿宋_GB2312" w:cs="方正仿宋_GBK"/>
          <w:b w:val="0"/>
          <w:bCs w:val="0"/>
          <w:color w:val="auto"/>
          <w:highlight w:val="none"/>
          <w:lang w:val="en-US" w:eastAsia="zh-CN"/>
        </w:rPr>
        <w:t>，</w:t>
      </w:r>
      <w:r>
        <w:rPr>
          <w:rFonts w:hint="eastAsia" w:eastAsia="仿宋_GB2312" w:cs="方正仿宋_GBK"/>
          <w:b w:val="0"/>
          <w:bCs w:val="0"/>
          <w:color w:val="auto"/>
          <w:highlight w:val="none"/>
          <w:lang w:val="en-US" w:eastAsia="zh-CN"/>
        </w:rPr>
        <w:t>推动社会保险扩面提质。</w:t>
      </w:r>
      <w:r>
        <w:rPr>
          <w:rFonts w:hint="eastAsia" w:ascii="Times New Roman" w:hAnsi="Times New Roman" w:eastAsia="仿宋_GB2312" w:cs="方正仿宋_GBK"/>
          <w:b w:val="0"/>
          <w:bCs w:val="0"/>
          <w:color w:val="auto"/>
          <w:highlight w:val="none"/>
          <w:lang w:val="en-US" w:eastAsia="zh-CN"/>
        </w:rPr>
        <w:t>完善多层次多支柱养老保险体系，全面落实企业职工基本养老保险全国统筹，执行统一的机关事业单位养老保险政策；完善城乡居民养老保险制度体系，建立多缴多得、长缴多得的激励机制。</w:t>
      </w:r>
      <w:r>
        <w:rPr>
          <w:rFonts w:hint="eastAsia" w:eastAsia="仿宋_GB2312" w:cs="方正仿宋_GBK"/>
          <w:b w:val="0"/>
          <w:bCs w:val="0"/>
          <w:color w:val="auto"/>
          <w:highlight w:val="none"/>
          <w:lang w:val="en-US" w:eastAsia="zh-CN"/>
        </w:rPr>
        <w:t>落实</w:t>
      </w:r>
      <w:r>
        <w:rPr>
          <w:rFonts w:hint="eastAsia" w:ascii="Times New Roman" w:hAnsi="Times New Roman" w:eastAsia="仿宋_GB2312" w:cs="方正仿宋_GBK"/>
          <w:b w:val="0"/>
          <w:bCs w:val="0"/>
          <w:color w:val="auto"/>
          <w:highlight w:val="none"/>
          <w:lang w:val="en-US" w:eastAsia="zh-CN"/>
        </w:rPr>
        <w:t>城乡居民养老保险待遇调整机制。大力发展企业年金和职业年金，鼓励用人单位建立年金制度。推动发展个人养老金，提高个人养老储备能力，形成基本养老保险、单位年金、个人养老金相互衔接的养老保险体系。</w:t>
      </w:r>
      <w:r>
        <w:rPr>
          <w:rFonts w:hint="eastAsia" w:eastAsia="仿宋_GB2312" w:cs="方正仿宋_GBK"/>
          <w:b w:val="0"/>
          <w:bCs w:val="0"/>
          <w:color w:val="auto"/>
          <w:highlight w:val="none"/>
          <w:lang w:val="en-US" w:eastAsia="zh-CN"/>
        </w:rPr>
        <w:t>健全多层次医疗保障体系，</w:t>
      </w:r>
      <w:r>
        <w:rPr>
          <w:rFonts w:hint="eastAsia" w:ascii="Times New Roman" w:hAnsi="Times New Roman" w:eastAsia="仿宋_GB2312" w:cs="方正仿宋_GBK"/>
          <w:b w:val="0"/>
          <w:bCs w:val="0"/>
          <w:color w:val="auto"/>
          <w:highlight w:val="none"/>
        </w:rPr>
        <w:t>完善</w:t>
      </w:r>
      <w:r>
        <w:rPr>
          <w:rFonts w:hint="eastAsia" w:ascii="Times New Roman" w:hAnsi="Times New Roman" w:eastAsia="仿宋_GB2312" w:cs="方正仿宋_GBK"/>
          <w:b w:val="0"/>
          <w:bCs w:val="0"/>
          <w:color w:val="auto"/>
          <w:highlight w:val="none"/>
          <w:lang w:val="en-US" w:eastAsia="zh-CN"/>
        </w:rPr>
        <w:t>基本医疗、</w:t>
      </w:r>
      <w:r>
        <w:rPr>
          <w:rFonts w:hint="eastAsia" w:ascii="Times New Roman" w:hAnsi="Times New Roman" w:eastAsia="仿宋_GB2312" w:cs="方正仿宋_GBK"/>
          <w:b w:val="0"/>
          <w:bCs w:val="0"/>
          <w:color w:val="auto"/>
          <w:highlight w:val="none"/>
        </w:rPr>
        <w:t>大病保险和医疗救助</w:t>
      </w:r>
      <w:r>
        <w:rPr>
          <w:rFonts w:hint="eastAsia" w:eastAsia="仿宋_GB2312" w:cs="方正仿宋_GBK"/>
          <w:b w:val="0"/>
          <w:bCs w:val="0"/>
          <w:color w:val="auto"/>
          <w:highlight w:val="none"/>
          <w:lang w:val="en-US" w:eastAsia="zh-CN"/>
        </w:rPr>
        <w:t>三重</w:t>
      </w:r>
      <w:r>
        <w:rPr>
          <w:rFonts w:hint="eastAsia" w:ascii="Times New Roman" w:hAnsi="Times New Roman" w:eastAsia="仿宋_GB2312" w:cs="方正仿宋_GBK"/>
          <w:b w:val="0"/>
          <w:bCs w:val="0"/>
          <w:color w:val="auto"/>
          <w:highlight w:val="none"/>
        </w:rPr>
        <w:t>制度</w:t>
      </w:r>
      <w:r>
        <w:rPr>
          <w:rFonts w:hint="eastAsia" w:eastAsia="仿宋_GB2312" w:cs="方正仿宋_GBK"/>
          <w:b w:val="0"/>
          <w:bCs w:val="0"/>
          <w:color w:val="auto"/>
          <w:highlight w:val="none"/>
          <w:lang w:val="en-US" w:eastAsia="zh-CN"/>
        </w:rPr>
        <w:t>保障体系</w:t>
      </w:r>
      <w:r>
        <w:rPr>
          <w:rFonts w:hint="eastAsia" w:ascii="Times New Roman" w:hAnsi="Times New Roman" w:eastAsia="仿宋_GB2312" w:cs="方正仿宋_GBK"/>
          <w:b w:val="0"/>
          <w:bCs w:val="0"/>
          <w:color w:val="auto"/>
          <w:highlight w:val="none"/>
        </w:rPr>
        <w:t>。强化失业保险保障功能</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扩展失业保险覆盖范围，将更多职业群体纳入保障体系</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加强失业保险防失业促就业功能</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建立健全新业态从业人员失业保障机制，探索适应新就业形态的失业保险参保和待遇支付方式。推进工伤保险扩面提质</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重点推进建筑业、高危行业等领域从业人员工伤保险全覆盖</w:t>
      </w:r>
      <w:r>
        <w:rPr>
          <w:rFonts w:hint="eastAsia" w:eastAsia="仿宋_GB2312" w:cs="方正仿宋_GBK"/>
          <w:b w:val="0"/>
          <w:bCs w:val="0"/>
          <w:color w:val="auto"/>
          <w:highlight w:val="none"/>
          <w:lang w:eastAsia="zh-CN"/>
        </w:rPr>
        <w:t>。</w:t>
      </w:r>
      <w:r>
        <w:rPr>
          <w:rFonts w:hint="eastAsia" w:eastAsia="仿宋_GB2312" w:cs="方正仿宋_GBK"/>
          <w:b w:val="0"/>
          <w:bCs w:val="0"/>
          <w:color w:val="auto"/>
          <w:highlight w:val="none"/>
          <w:lang w:val="en-US" w:eastAsia="zh-CN"/>
        </w:rPr>
        <w:t>落实</w:t>
      </w:r>
      <w:r>
        <w:rPr>
          <w:rFonts w:hint="eastAsia" w:ascii="Times New Roman" w:hAnsi="Times New Roman" w:eastAsia="仿宋_GB2312" w:cs="方正仿宋_GBK"/>
          <w:b w:val="0"/>
          <w:bCs w:val="0"/>
          <w:color w:val="auto"/>
          <w:highlight w:val="none"/>
        </w:rPr>
        <w:t>职业伤害保障制度。深入推行以社会保障卡为载体的“一卡通”服务管理新模式</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到2030年，基本养老保险参保率</w:t>
      </w:r>
      <w:r>
        <w:rPr>
          <w:rFonts w:hint="eastAsia" w:eastAsia="仿宋_GB2312" w:cs="方正仿宋_GBK"/>
          <w:b w:val="0"/>
          <w:bCs w:val="0"/>
          <w:color w:val="auto"/>
          <w:highlight w:val="none"/>
          <w:lang w:val="en-US" w:eastAsia="zh-CN"/>
        </w:rPr>
        <w:t>保持在95</w:t>
      </w:r>
      <w:r>
        <w:rPr>
          <w:rFonts w:hint="eastAsia" w:ascii="Times New Roman" w:hAnsi="Times New Roman" w:eastAsia="仿宋_GB2312" w:cs="方正仿宋_GBK"/>
          <w:b w:val="0"/>
          <w:bCs w:val="0"/>
          <w:color w:val="auto"/>
          <w:highlight w:val="none"/>
          <w:lang w:val="en-US" w:eastAsia="zh-CN"/>
        </w:rPr>
        <w:t>%以上，基本医疗保险</w:t>
      </w:r>
      <w:r>
        <w:rPr>
          <w:rFonts w:hint="eastAsia" w:eastAsia="仿宋_GB2312" w:cs="方正仿宋_GBK"/>
          <w:b w:val="0"/>
          <w:bCs w:val="0"/>
          <w:color w:val="auto"/>
          <w:highlight w:val="none"/>
          <w:lang w:val="en-US" w:eastAsia="zh-CN"/>
        </w:rPr>
        <w:t>常住人口</w:t>
      </w:r>
      <w:r>
        <w:rPr>
          <w:rFonts w:hint="eastAsia" w:ascii="Times New Roman" w:hAnsi="Times New Roman" w:eastAsia="仿宋_GB2312" w:cs="方正仿宋_GBK"/>
          <w:b w:val="0"/>
          <w:bCs w:val="0"/>
          <w:color w:val="auto"/>
          <w:highlight w:val="none"/>
          <w:lang w:val="en-US" w:eastAsia="zh-CN"/>
        </w:rPr>
        <w:t>参保率稳定在</w:t>
      </w:r>
      <w:r>
        <w:rPr>
          <w:rFonts w:hint="eastAsia" w:eastAsia="仿宋_GB2312" w:cs="方正仿宋_GBK"/>
          <w:b w:val="0"/>
          <w:bCs w:val="0"/>
          <w:color w:val="auto"/>
          <w:highlight w:val="none"/>
          <w:lang w:val="en-US" w:eastAsia="zh-CN"/>
        </w:rPr>
        <w:t>95</w:t>
      </w:r>
      <w:r>
        <w:rPr>
          <w:rFonts w:hint="eastAsia" w:ascii="Times New Roman" w:hAnsi="Times New Roman" w:eastAsia="仿宋_GB2312" w:cs="方正仿宋_GBK"/>
          <w:b w:val="0"/>
          <w:bCs w:val="0"/>
          <w:color w:val="auto"/>
          <w:highlight w:val="none"/>
          <w:lang w:val="en-US" w:eastAsia="zh-CN"/>
        </w:rPr>
        <w:t>%以上，失业保险、工伤保险覆盖所有法定群体。</w:t>
      </w:r>
    </w:p>
    <w:p w14:paraId="789AE096">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spacing w:val="-6"/>
          <w:highlight w:val="none"/>
        </w:rPr>
      </w:pPr>
      <w:bookmarkStart w:id="1128" w:name="_Toc25769"/>
      <w:r>
        <w:rPr>
          <w:rFonts w:hint="eastAsia" w:ascii="Times New Roman" w:hAnsi="Times New Roman" w:eastAsia="仿宋_GB2312" w:cs="方正仿宋_GBK"/>
          <w:b w:val="0"/>
          <w:bCs w:val="0"/>
          <w:color w:val="auto"/>
          <w:highlight w:val="none"/>
        </w:rPr>
        <w:t>健全社会救助体系</w:t>
      </w:r>
      <w:bookmarkEnd w:id="1128"/>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进一步完善分层分类救助制度，紧跟国家、自治区社会救助立法进程，及时修订出台</w:t>
      </w:r>
      <w:r>
        <w:rPr>
          <w:rFonts w:hint="eastAsia" w:eastAsia="仿宋_GB2312" w:cs="方正仿宋_GBK"/>
          <w:b w:val="0"/>
          <w:bCs w:val="0"/>
          <w:color w:val="auto"/>
          <w:highlight w:val="none"/>
          <w:lang w:val="en-US" w:eastAsia="zh-CN"/>
        </w:rPr>
        <w:t>赤峰市</w:t>
      </w:r>
      <w:r>
        <w:rPr>
          <w:rFonts w:hint="eastAsia" w:ascii="Times New Roman" w:hAnsi="Times New Roman" w:eastAsia="仿宋_GB2312" w:cs="方正仿宋_GBK"/>
          <w:b w:val="0"/>
          <w:bCs w:val="0"/>
          <w:color w:val="auto"/>
          <w:highlight w:val="none"/>
        </w:rPr>
        <w:t>社会救助工作办法。建立健全多部门协同发力、梯度救助工作格局。完善基本生活救助，落实低保渐退、就业成本扣减、“单人保”等政策规定，推动</w:t>
      </w:r>
      <w:r>
        <w:rPr>
          <w:rFonts w:hint="eastAsia" w:eastAsia="仿宋_GB2312" w:cs="方正仿宋_GBK"/>
          <w:b w:val="0"/>
          <w:bCs w:val="0"/>
          <w:color w:val="auto"/>
          <w:highlight w:val="none"/>
          <w:lang w:val="en-US" w:eastAsia="zh-CN"/>
        </w:rPr>
        <w:t>赤峰市</w:t>
      </w:r>
      <w:r>
        <w:rPr>
          <w:rFonts w:hint="eastAsia" w:ascii="Times New Roman" w:hAnsi="Times New Roman" w:eastAsia="仿宋_GB2312" w:cs="方正仿宋_GBK"/>
          <w:b w:val="0"/>
          <w:bCs w:val="0"/>
          <w:color w:val="auto"/>
          <w:highlight w:val="none"/>
        </w:rPr>
        <w:t>社会救助扩围增效。全面落实特困人员供养制度，健全完善分散供养特困人员探访制度。增强临时救助制度时效性，充分发挥急难型临时救助作用，进一步简化优化办理流程、提高救助效率。健全专项救助制度，加强医疗、教育、住建、人社等专项救助的部门衔接，推动部门专项救助向低保边缘家庭和刚性支出困难家庭延伸。完善低收入人口认定工作措施，提升社会救助服务能力。完善信息共享、数据比对、主动发现机制，以嘎查村（居）社会救助协理员为基础，加强政府购买社会救助服务工作，提高市级财政保障力度，强化核查工作力量。促进社会力量参与</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鼓励引导社会力量</w:t>
      </w:r>
      <w:r>
        <w:rPr>
          <w:rFonts w:hint="eastAsia" w:eastAsia="仿宋_GB2312" w:cs="方正仿宋_GBK"/>
          <w:b w:val="0"/>
          <w:bCs w:val="0"/>
          <w:color w:val="auto"/>
          <w:highlight w:val="none"/>
          <w:lang w:eastAsia="zh-CN"/>
        </w:rPr>
        <w:t>广泛</w:t>
      </w:r>
      <w:r>
        <w:rPr>
          <w:rFonts w:hint="eastAsia" w:ascii="Times New Roman" w:hAnsi="Times New Roman" w:eastAsia="仿宋_GB2312" w:cs="方正仿宋_GBK"/>
          <w:b w:val="0"/>
          <w:bCs w:val="0"/>
          <w:color w:val="auto"/>
          <w:highlight w:val="none"/>
        </w:rPr>
        <w:t>参与社会救助工作，完善救助帮扶多元供给机制，更好满足困难群众多层次多样化救助需求。建立健全政府救助与</w:t>
      </w:r>
      <w:r>
        <w:rPr>
          <w:rFonts w:hint="eastAsia" w:ascii="Times New Roman" w:hAnsi="Times New Roman" w:eastAsia="仿宋_GB2312" w:cs="方正仿宋_GBK"/>
          <w:b w:val="0"/>
          <w:bCs w:val="0"/>
          <w:color w:val="auto"/>
          <w:spacing w:val="-6"/>
          <w:highlight w:val="none"/>
        </w:rPr>
        <w:t>慈善帮扶有效衔接机制，鼓励引导慈善组织</w:t>
      </w:r>
      <w:r>
        <w:rPr>
          <w:rFonts w:hint="eastAsia" w:eastAsia="仿宋_GB2312" w:cs="方正仿宋_GBK"/>
          <w:b w:val="0"/>
          <w:bCs w:val="0"/>
          <w:color w:val="auto"/>
          <w:spacing w:val="-6"/>
          <w:highlight w:val="none"/>
          <w:lang w:eastAsia="zh-CN"/>
        </w:rPr>
        <w:t>广泛开展</w:t>
      </w:r>
      <w:r>
        <w:rPr>
          <w:rFonts w:hint="eastAsia" w:ascii="Times New Roman" w:hAnsi="Times New Roman" w:eastAsia="仿宋_GB2312" w:cs="方正仿宋_GBK"/>
          <w:b w:val="0"/>
          <w:bCs w:val="0"/>
          <w:color w:val="auto"/>
          <w:spacing w:val="-6"/>
          <w:highlight w:val="none"/>
        </w:rPr>
        <w:t>慈善帮扶活动</w:t>
      </w:r>
      <w:r>
        <w:rPr>
          <w:rFonts w:hint="eastAsia" w:eastAsia="仿宋_GB2312" w:cs="方正仿宋_GBK"/>
          <w:b w:val="0"/>
          <w:bCs w:val="0"/>
          <w:color w:val="auto"/>
          <w:spacing w:val="-6"/>
          <w:highlight w:val="none"/>
          <w:lang w:eastAsia="zh-CN"/>
        </w:rPr>
        <w:t>。</w:t>
      </w:r>
    </w:p>
    <w:p w14:paraId="2A85C4B8">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default" w:ascii="Times New Roman" w:hAnsi="Times New Roman" w:eastAsia="仿宋_GB2312" w:cs="方正仿宋_GBK"/>
          <w:b w:val="0"/>
          <w:bCs w:val="0"/>
          <w:color w:val="auto"/>
          <w:highlight w:val="none"/>
          <w:lang w:val="en-US" w:eastAsia="zh-CN"/>
        </w:rPr>
      </w:pPr>
      <w:bookmarkStart w:id="1129" w:name="_Toc30621"/>
      <w:r>
        <w:rPr>
          <w:rFonts w:hint="eastAsia" w:ascii="Times New Roman" w:hAnsi="Times New Roman" w:eastAsia="仿宋_GB2312" w:cs="方正仿宋_GBK"/>
          <w:b w:val="0"/>
          <w:bCs w:val="0"/>
          <w:color w:val="auto"/>
          <w:highlight w:val="none"/>
          <w:lang w:val="en-US" w:eastAsia="zh-CN"/>
        </w:rPr>
        <w:t>关心关爱特殊群体</w:t>
      </w:r>
      <w:bookmarkEnd w:id="1129"/>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rPr>
        <w:t>完善儿童福利保障制度</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健全孤儿和事实无人抚养儿童保障制度</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建立保障标准</w:t>
      </w:r>
      <w:r>
        <w:rPr>
          <w:rFonts w:hint="eastAsia" w:eastAsia="仿宋_GB2312" w:cs="方正仿宋_GBK"/>
          <w:b w:val="0"/>
          <w:bCs w:val="0"/>
          <w:color w:val="auto"/>
          <w:highlight w:val="none"/>
          <w:lang w:val="en-US" w:eastAsia="zh-CN"/>
        </w:rPr>
        <w:t>动态调整</w:t>
      </w:r>
      <w:r>
        <w:rPr>
          <w:rFonts w:hint="eastAsia" w:ascii="Times New Roman" w:hAnsi="Times New Roman" w:eastAsia="仿宋_GB2312" w:cs="方正仿宋_GBK"/>
          <w:b w:val="0"/>
          <w:bCs w:val="0"/>
          <w:color w:val="auto"/>
          <w:highlight w:val="none"/>
        </w:rPr>
        <w:t>机制，</w:t>
      </w:r>
      <w:r>
        <w:rPr>
          <w:rFonts w:hint="eastAsia" w:eastAsia="仿宋_GB2312" w:cs="方正仿宋_GBK"/>
          <w:b w:val="0"/>
          <w:bCs w:val="0"/>
          <w:color w:val="auto"/>
          <w:highlight w:val="none"/>
          <w:lang w:val="en-US" w:eastAsia="zh-CN"/>
        </w:rPr>
        <w:t>适时</w:t>
      </w:r>
      <w:r>
        <w:rPr>
          <w:rFonts w:hint="eastAsia" w:ascii="Times New Roman" w:hAnsi="Times New Roman" w:eastAsia="仿宋_GB2312" w:cs="方正仿宋_GBK"/>
          <w:b w:val="0"/>
          <w:bCs w:val="0"/>
          <w:color w:val="auto"/>
          <w:highlight w:val="none"/>
        </w:rPr>
        <w:t>提高保障标准。扩大保障范围，将更多事实无人抚养儿童纳入保障体系。加强困境儿童分类保障，建立困境儿童风险评估和精准帮扶制度，对困难家庭儿童提供生活、教育、医疗等多方面援助。推进儿童福利机构优化提质，推动市级儿童福利院创新转型，打造集养育、医疗、康复、教育、社会工作于一体的区域性儿童福利服务机构。加强基层儿童工作队伍建设。推进儿童友好建设，营造关心关爱下一代的社会环境</w:t>
      </w:r>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拓展残疾人福利保障内容</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完善残疾人两项补贴制度，建立补贴标准动态调整机制。加强残疾人康复服务，实施残疾儿童康复救助制度，完善残疾儿童康复救助服务网络，逐步提高救助标准，扩大救助年龄范围。推进精神障碍社区康复服务</w:t>
      </w:r>
      <w:r>
        <w:rPr>
          <w:rFonts w:hint="eastAsia" w:ascii="Times New Roman" w:hAnsi="Times New Roman" w:eastAsia="仿宋_GB2312" w:cs="方正仿宋_GBK"/>
          <w:b w:val="0"/>
          <w:bCs w:val="0"/>
          <w:color w:val="auto"/>
          <w:highlight w:val="none"/>
          <w:lang w:eastAsia="zh-CN"/>
        </w:rPr>
        <w:t>发展</w:t>
      </w:r>
      <w:r>
        <w:rPr>
          <w:rFonts w:hint="eastAsia" w:ascii="Times New Roman" w:hAnsi="Times New Roman" w:eastAsia="仿宋_GB2312" w:cs="方正仿宋_GBK"/>
          <w:b w:val="0"/>
          <w:bCs w:val="0"/>
          <w:color w:val="auto"/>
          <w:highlight w:val="none"/>
        </w:rPr>
        <w:t>。加快无障碍环境建设，推进城市道路、公共交通、公共服务场所等无障碍改造。</w:t>
      </w:r>
      <w:r>
        <w:rPr>
          <w:rFonts w:hint="eastAsia" w:ascii="Times New Roman" w:hAnsi="Times New Roman" w:eastAsia="仿宋_GB2312" w:cs="方正仿宋_GBK"/>
          <w:b w:val="0"/>
          <w:bCs w:val="0"/>
          <w:color w:val="auto"/>
          <w:highlight w:val="none"/>
          <w:lang w:val="en-US" w:eastAsia="zh-CN"/>
        </w:rPr>
        <w:t>做好退役军人工作，围绕把退役军人“接收安置好、服务保障好、教育管理好、作用发挥好、权益维护好”目标要求，持续加强退役军人服务保障体系建设</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lang w:eastAsia="zh-CN"/>
        </w:rPr>
        <w:t>健全</w:t>
      </w:r>
      <w:r>
        <w:rPr>
          <w:rFonts w:hint="eastAsia" w:ascii="Times New Roman" w:hAnsi="Times New Roman" w:eastAsia="仿宋_GB2312" w:cs="方正仿宋_GBK"/>
          <w:b w:val="0"/>
          <w:bCs w:val="0"/>
          <w:color w:val="auto"/>
          <w:highlight w:val="none"/>
        </w:rPr>
        <w:t>完善双拥工作机制，努力争创全国双拥模范城“十一连冠”，</w:t>
      </w:r>
      <w:r>
        <w:rPr>
          <w:rFonts w:hint="eastAsia" w:ascii="Times New Roman" w:hAnsi="Times New Roman" w:eastAsia="仿宋_GB2312" w:cs="方正仿宋_GBK"/>
          <w:b w:val="0"/>
          <w:bCs w:val="0"/>
          <w:color w:val="auto"/>
          <w:highlight w:val="none"/>
          <w:lang w:val="en-US" w:eastAsia="zh-CN"/>
        </w:rPr>
        <w:t>积极开展城连共建、城舰共建工作。</w:t>
      </w:r>
    </w:p>
    <w:p w14:paraId="0AC86B6B">
      <w:pPr>
        <w:keepNext w:val="0"/>
        <w:keepLines w:val="0"/>
        <w:pageBreakBefore w:val="0"/>
        <w:widowControl/>
        <w:numPr>
          <w:ilvl w:val="0"/>
          <w:numId w:val="13"/>
        </w:numPr>
        <w:shd w:val="clear" w:color="auto" w:fill="auto"/>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z w:val="32"/>
          <w:szCs w:val="40"/>
          <w:highlight w:val="none"/>
          <w:lang w:val="en-US" w:eastAsia="zh-CN"/>
        </w:rPr>
      </w:pPr>
      <w:bookmarkStart w:id="1130" w:name="_Toc11737"/>
      <w:bookmarkStart w:id="1131" w:name="_Toc19845"/>
      <w:bookmarkStart w:id="1132" w:name="_Toc9106"/>
      <w:bookmarkStart w:id="1133" w:name="_Toc28644"/>
      <w:bookmarkStart w:id="1134" w:name="_Toc16359"/>
      <w:bookmarkStart w:id="1135" w:name="_Toc26675"/>
      <w:bookmarkStart w:id="1136" w:name="_Toc2937"/>
      <w:bookmarkStart w:id="1137" w:name="_Toc24640"/>
      <w:bookmarkStart w:id="1138" w:name="_Toc11690"/>
      <w:bookmarkStart w:id="1139" w:name="_Toc1082"/>
      <w:bookmarkStart w:id="1140" w:name="_Toc7210"/>
      <w:bookmarkStart w:id="1141" w:name="_Toc28017"/>
      <w:bookmarkStart w:id="1142" w:name="_Toc28495"/>
      <w:bookmarkStart w:id="1143" w:name="_Toc26720"/>
      <w:bookmarkStart w:id="1144" w:name="_Toc7332"/>
      <w:bookmarkStart w:id="1145" w:name="_Toc30751"/>
      <w:bookmarkStart w:id="1146" w:name="_Toc2790"/>
      <w:bookmarkStart w:id="1147" w:name="_Toc10439"/>
      <w:bookmarkStart w:id="1148" w:name="_Toc9943"/>
      <w:bookmarkStart w:id="1149" w:name="_Toc23766"/>
      <w:bookmarkStart w:id="1150" w:name="_Toc14739"/>
      <w:bookmarkStart w:id="1151" w:name="_Toc3965"/>
      <w:bookmarkStart w:id="1152" w:name="_Toc13467"/>
      <w:r>
        <w:rPr>
          <w:rFonts w:hint="eastAsia" w:ascii="楷体_GB2312" w:hAnsi="楷体_GB2312" w:eastAsia="楷体_GB2312" w:cs="楷体_GB2312"/>
          <w:b w:val="0"/>
          <w:bCs w:val="0"/>
          <w:color w:val="auto"/>
          <w:sz w:val="32"/>
          <w:szCs w:val="40"/>
          <w:highlight w:val="none"/>
          <w:lang w:val="en-US" w:eastAsia="zh-CN"/>
        </w:rPr>
        <w:t>促进人口高质量发展</w:t>
      </w:r>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p>
    <w:p w14:paraId="5DE5001B">
      <w:pPr>
        <w:pStyle w:val="43"/>
        <w:keepNext w:val="0"/>
        <w:keepLines w:val="0"/>
        <w:pageBreakBefore w:val="0"/>
        <w:shd w:val="clear"/>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highlight w:val="none"/>
          <w:lang w:val="en-US" w:eastAsia="zh-CN"/>
        </w:rPr>
      </w:pPr>
      <w:r>
        <w:rPr>
          <w:rFonts w:hint="eastAsia" w:ascii="Times New Roman" w:hAnsi="Times New Roman" w:eastAsia="仿宋_GB2312" w:cs="方正仿宋_GBK"/>
          <w:b w:val="0"/>
          <w:bCs w:val="0"/>
          <w:color w:val="auto"/>
          <w:highlight w:val="none"/>
          <w:lang w:val="en-US" w:eastAsia="zh-CN"/>
        </w:rPr>
        <w:t>深刻认识和全面把握人口发展新常态，以应对</w:t>
      </w:r>
      <w:r>
        <w:rPr>
          <w:rFonts w:hint="eastAsia" w:eastAsia="仿宋_GB2312" w:cs="方正仿宋_GBK"/>
          <w:b w:val="0"/>
          <w:bCs w:val="0"/>
          <w:color w:val="auto"/>
          <w:highlight w:val="none"/>
          <w:lang w:val="en-US" w:eastAsia="zh-CN"/>
        </w:rPr>
        <w:t>人口</w:t>
      </w:r>
      <w:r>
        <w:rPr>
          <w:rFonts w:hint="eastAsia" w:ascii="Times New Roman" w:hAnsi="Times New Roman" w:eastAsia="仿宋_GB2312" w:cs="方正仿宋_GBK"/>
          <w:b w:val="0"/>
          <w:bCs w:val="0"/>
          <w:color w:val="auto"/>
          <w:highlight w:val="none"/>
          <w:lang w:val="en-US" w:eastAsia="zh-CN"/>
        </w:rPr>
        <w:t>老龄化、少子化为重点完善人口发展战略，健全覆盖全人群、全生命周期的人口服务体系，进一步优化人口布局</w:t>
      </w:r>
      <w:r>
        <w:rPr>
          <w:rFonts w:hint="eastAsia" w:eastAsia="仿宋_GB2312" w:cs="方正仿宋_GBK"/>
          <w:b w:val="0"/>
          <w:bCs w:val="0"/>
          <w:color w:val="auto"/>
          <w:highlight w:val="none"/>
          <w:lang w:val="en-US" w:eastAsia="zh-CN"/>
        </w:rPr>
        <w:t>，完善人口集聚区公共服务供给，</w:t>
      </w:r>
      <w:r>
        <w:rPr>
          <w:rFonts w:hint="eastAsia" w:ascii="Times New Roman" w:hAnsi="Times New Roman" w:eastAsia="仿宋_GB2312" w:cs="方正仿宋_GBK"/>
          <w:b w:val="0"/>
          <w:bCs w:val="0"/>
          <w:color w:val="auto"/>
          <w:highlight w:val="none"/>
          <w:lang w:val="en-US" w:eastAsia="zh-CN"/>
        </w:rPr>
        <w:t>促进人口高质量发展，保持全区人口大市地位。</w:t>
      </w:r>
    </w:p>
    <w:p w14:paraId="00074EBB">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rPr>
      </w:pPr>
      <w:bookmarkStart w:id="1153" w:name="_Toc10517"/>
      <w:r>
        <w:rPr>
          <w:rFonts w:hint="eastAsia" w:ascii="Times New Roman" w:hAnsi="Times New Roman" w:eastAsia="仿宋_GB2312" w:cs="方正仿宋_GBK"/>
          <w:b w:val="0"/>
          <w:bCs w:val="0"/>
          <w:color w:val="auto"/>
          <w:highlight w:val="none"/>
          <w:lang w:val="en-US" w:eastAsia="zh-CN"/>
        </w:rPr>
        <w:t>完善</w:t>
      </w:r>
      <w:r>
        <w:rPr>
          <w:rFonts w:hint="eastAsia" w:ascii="Times New Roman" w:hAnsi="Times New Roman" w:eastAsia="仿宋_GB2312" w:cs="方正仿宋_GBK"/>
          <w:b w:val="0"/>
          <w:bCs w:val="0"/>
          <w:color w:val="auto"/>
          <w:highlight w:val="none"/>
        </w:rPr>
        <w:t>生育支持政策体系</w:t>
      </w:r>
      <w:bookmarkEnd w:id="1153"/>
      <w:r>
        <w:rPr>
          <w:rFonts w:hint="eastAsia"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强化生育服务支持</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加强生育保险对参保女职工生育医疗费用、生育津贴等保障作用，落实相关待遇保障</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落实参加居民基本医疗保险的未就业人员生育医疗费用待遇保障</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lang w:val="en-US" w:eastAsia="zh-CN"/>
        </w:rPr>
        <w:t>探索</w:t>
      </w:r>
      <w:r>
        <w:rPr>
          <w:rFonts w:hint="eastAsia" w:ascii="Times New Roman" w:hAnsi="Times New Roman" w:eastAsia="仿宋_GB2312" w:cs="方正仿宋_GBK"/>
          <w:b w:val="0"/>
          <w:bCs w:val="0"/>
          <w:color w:val="auto"/>
          <w:highlight w:val="none"/>
        </w:rPr>
        <w:t>将参加职工基本医疗保险的灵活就业人员纳入生育保险。</w:t>
      </w:r>
      <w:r>
        <w:rPr>
          <w:rFonts w:hint="eastAsia" w:ascii="Times New Roman" w:hAnsi="Times New Roman" w:eastAsia="仿宋_GB2312" w:cs="方正仿宋_GBK"/>
          <w:b w:val="0"/>
          <w:bCs w:val="0"/>
          <w:color w:val="auto"/>
          <w:highlight w:val="none"/>
          <w:lang w:val="en-US" w:eastAsia="zh-CN"/>
        </w:rPr>
        <w:t>落实育儿补贴制度和3岁以下婴幼儿照护、子女教育个人所得税专项附加扣除政策</w:t>
      </w:r>
      <w:r>
        <w:rPr>
          <w:rFonts w:hint="eastAsia" w:eastAsia="仿宋_GB2312" w:cs="方正仿宋_GBK"/>
          <w:b w:val="0"/>
          <w:bCs w:val="0"/>
          <w:color w:val="auto"/>
          <w:highlight w:val="none"/>
          <w:lang w:val="en-US" w:eastAsia="zh-CN"/>
        </w:rPr>
        <w:t>。实施早孕关爱行动、母婴安全行动、孕育和出生缺陷防治能力提升计划，提高危重孕产妇和新生儿诊断救治能力。</w:t>
      </w:r>
      <w:r>
        <w:rPr>
          <w:rFonts w:hint="eastAsia" w:ascii="Times New Roman" w:hAnsi="Times New Roman" w:eastAsia="仿宋_GB2312" w:cs="方正仿宋_GBK"/>
          <w:b w:val="0"/>
          <w:bCs w:val="0"/>
          <w:color w:val="auto"/>
          <w:sz w:val="32"/>
          <w:szCs w:val="32"/>
          <w:highlight w:val="none"/>
        </w:rPr>
        <w:t>构建生育友好就业模式</w:t>
      </w:r>
      <w:r>
        <w:rPr>
          <w:rFonts w:hint="eastAsia" w:ascii="Times New Roman" w:hAnsi="Times New Roman" w:eastAsia="仿宋_GB2312" w:cs="方正仿宋_GBK"/>
          <w:b w:val="0"/>
          <w:bCs w:val="0"/>
          <w:color w:val="auto"/>
          <w:sz w:val="32"/>
          <w:szCs w:val="32"/>
          <w:highlight w:val="none"/>
          <w:lang w:eastAsia="zh-CN"/>
        </w:rPr>
        <w:t>，</w:t>
      </w:r>
      <w:r>
        <w:rPr>
          <w:rFonts w:hint="eastAsia" w:ascii="Times New Roman" w:hAnsi="Times New Roman" w:eastAsia="仿宋_GB2312" w:cs="方正仿宋_GBK"/>
          <w:b w:val="0"/>
          <w:bCs w:val="0"/>
          <w:color w:val="auto"/>
          <w:sz w:val="32"/>
          <w:szCs w:val="32"/>
          <w:highlight w:val="none"/>
        </w:rPr>
        <w:t>推行有利于照顾儿童的灵活休假、弹性工作等柔性管理方式，支持用人单位将工作时间可弹性安排的岗位设置为“生育友好岗”。</w:t>
      </w:r>
      <w:r>
        <w:rPr>
          <w:rFonts w:hint="eastAsia" w:ascii="Times New Roman" w:hAnsi="Times New Roman" w:eastAsia="仿宋_GB2312" w:cs="方正仿宋_GBK"/>
          <w:b w:val="0"/>
          <w:bCs w:val="0"/>
          <w:color w:val="auto"/>
          <w:highlight w:val="none"/>
        </w:rPr>
        <w:t>营造生育友好社会氛围</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大力倡导积极的婚恋观、生育观、家庭观，创作和推广一批讲述新时代美好爱情、和谐家庭、幸福生活的文艺作品，倡导适龄婚育、优生优育。加强社会宣传引导</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充分利用各类媒体渠道，加强人口和生育支持政策宣传解读，积极回应社会关切。</w:t>
      </w:r>
    </w:p>
    <w:p w14:paraId="0CAC58FC">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ascii="Times New Roman" w:hAnsi="Times New Roman" w:eastAsia="仿宋_GB2312" w:cs="方正仿宋_GBK"/>
          <w:b w:val="0"/>
          <w:bCs w:val="0"/>
          <w:color w:val="auto"/>
          <w:highlight w:val="none"/>
          <w:lang w:val="en-US" w:eastAsia="zh-CN"/>
        </w:rPr>
      </w:pPr>
      <w:r>
        <w:rPr>
          <w:rFonts w:hint="eastAsia" w:eastAsia="仿宋_GB2312" w:cs="方正仿宋_GBK"/>
          <w:b w:val="0"/>
          <w:bCs w:val="0"/>
          <w:color w:val="auto"/>
          <w:highlight w:val="none"/>
          <w:lang w:val="en-US" w:eastAsia="zh-CN"/>
        </w:rPr>
        <w:t>健全育幼服务体系。</w:t>
      </w:r>
      <w:r>
        <w:rPr>
          <w:rFonts w:hint="eastAsia" w:ascii="Times New Roman" w:hAnsi="Times New Roman" w:eastAsia="仿宋_GB2312" w:cs="方正仿宋_GBK"/>
          <w:b w:val="0"/>
          <w:bCs w:val="0"/>
          <w:color w:val="auto"/>
          <w:highlight w:val="none"/>
        </w:rPr>
        <w:t>提高家庭婴幼儿照护能力</w:t>
      </w:r>
      <w:r>
        <w:rPr>
          <w:rFonts w:hint="eastAsia" w:ascii="Times New Roman" w:hAnsi="Times New Roman" w:eastAsia="仿宋_GB2312" w:cs="方正仿宋_GBK"/>
          <w:b w:val="0"/>
          <w:bCs w:val="0"/>
          <w:color w:val="auto"/>
          <w:highlight w:val="none"/>
          <w:lang w:eastAsia="zh-CN"/>
        </w:rPr>
        <w:t>，</w:t>
      </w:r>
      <w:r>
        <w:rPr>
          <w:rFonts w:hint="eastAsia" w:ascii="Times New Roman" w:hAnsi="Times New Roman" w:eastAsia="仿宋_GB2312" w:cs="方正仿宋_GBK"/>
          <w:b w:val="0"/>
          <w:bCs w:val="0"/>
          <w:color w:val="auto"/>
          <w:highlight w:val="none"/>
        </w:rPr>
        <w:t>建立完善健康科普资源库，通过广播、电视、报刊、网络等多种渠道，普及科学育儿知识与技能。</w:t>
      </w:r>
      <w:r>
        <w:rPr>
          <w:rFonts w:hint="eastAsia" w:ascii="Times New Roman" w:hAnsi="Times New Roman" w:eastAsia="仿宋_GB2312" w:cs="方正仿宋_GBK"/>
          <w:b w:val="0"/>
          <w:bCs w:val="0"/>
          <w:color w:val="auto"/>
          <w:highlight w:val="none"/>
          <w:lang w:val="en-US" w:eastAsia="zh-CN"/>
        </w:rPr>
        <w:t>加快普惠托育服务体系建设，多渠道扩大服务供给。引导生源减少的幼儿园整体转型或延伸发展托育服务，发展社区嵌入式托育，实施普惠托育服务机构生均定额补助项目。</w:t>
      </w:r>
      <w:r>
        <w:rPr>
          <w:rFonts w:hint="eastAsia" w:eastAsia="仿宋_GB2312" w:cs="方正仿宋_GBK"/>
          <w:b w:val="0"/>
          <w:bCs w:val="0"/>
          <w:color w:val="auto"/>
          <w:highlight w:val="none"/>
          <w:lang w:val="en-US" w:eastAsia="zh-CN"/>
        </w:rPr>
        <w:t>建设市级托育综合服务中心，</w:t>
      </w:r>
      <w:r>
        <w:rPr>
          <w:rFonts w:hint="eastAsia" w:ascii="Times New Roman" w:hAnsi="Times New Roman" w:eastAsia="仿宋_GB2312" w:cs="方正仿宋_GBK"/>
          <w:b w:val="0"/>
          <w:bCs w:val="0"/>
          <w:color w:val="auto"/>
          <w:highlight w:val="none"/>
          <w:lang w:val="en-US" w:eastAsia="zh-CN"/>
        </w:rPr>
        <w:t>实施托育服务质量提升行动，提升从业人员服务能力。</w:t>
      </w:r>
    </w:p>
    <w:p w14:paraId="1B1BE175">
      <w:pPr>
        <w:pStyle w:val="43"/>
        <w:keepNext w:val="0"/>
        <w:keepLines w:val="0"/>
        <w:pageBreakBefore w:val="0"/>
        <w:shd w:val="clear" w:color="auto" w:fill="auto"/>
        <w:kinsoku/>
        <w:wordWrap/>
        <w:topLinePunct w:val="0"/>
        <w:autoSpaceDE/>
        <w:autoSpaceDN/>
        <w:bidi w:val="0"/>
        <w:adjustRightInd/>
        <w:spacing w:line="540" w:lineRule="exact"/>
        <w:ind w:firstLine="643"/>
        <w:jc w:val="left"/>
        <w:textAlignment w:val="auto"/>
        <w:outlineLvl w:val="3"/>
        <w:rPr>
          <w:rFonts w:hint="eastAsia" w:eastAsia="仿宋_GB2312" w:cs="方正仿宋_GBK"/>
          <w:b w:val="0"/>
          <w:bCs w:val="0"/>
          <w:color w:val="auto"/>
          <w:spacing w:val="-6"/>
          <w:highlight w:val="none"/>
          <w:lang w:val="en-US" w:eastAsia="zh-CN"/>
        </w:rPr>
      </w:pPr>
      <w:bookmarkStart w:id="1154" w:name="_Toc4516"/>
      <w:r>
        <w:rPr>
          <w:rFonts w:hint="eastAsia" w:ascii="Times New Roman" w:hAnsi="Times New Roman" w:eastAsia="仿宋_GB2312" w:cs="方正仿宋_GBK"/>
          <w:b w:val="0"/>
          <w:bCs w:val="0"/>
          <w:color w:val="auto"/>
          <w:highlight w:val="none"/>
        </w:rPr>
        <w:t>积极应对人口老龄化</w:t>
      </w:r>
      <w:bookmarkEnd w:id="1154"/>
      <w:r>
        <w:rPr>
          <w:rFonts w:hint="eastAsia" w:eastAsia="仿宋_GB2312" w:cs="方正仿宋_GBK"/>
          <w:b w:val="0"/>
          <w:bCs w:val="0"/>
          <w:color w:val="auto"/>
          <w:highlight w:val="none"/>
          <w:lang w:eastAsia="zh-CN"/>
        </w:rPr>
        <w:t>。</w:t>
      </w:r>
      <w:r>
        <w:rPr>
          <w:rFonts w:hint="eastAsia" w:eastAsia="仿宋_GB2312" w:cs="方正仿宋_GBK"/>
          <w:b w:val="0"/>
          <w:bCs w:val="0"/>
          <w:color w:val="auto"/>
          <w:highlight w:val="none"/>
          <w:lang w:val="en-US" w:eastAsia="zh-CN"/>
        </w:rPr>
        <w:t>实施积极应对人口老龄化国家战略，</w:t>
      </w:r>
      <w:r>
        <w:rPr>
          <w:rFonts w:hint="eastAsia" w:ascii="Times New Roman" w:hAnsi="Times New Roman" w:eastAsia="仿宋_GB2312" w:cs="方正仿宋_GBK"/>
          <w:b w:val="0"/>
          <w:bCs w:val="0"/>
          <w:color w:val="auto"/>
          <w:highlight w:val="none"/>
          <w:lang w:val="en-US" w:eastAsia="zh-CN"/>
        </w:rPr>
        <w:t>强化养老服务体系建设，建立长期护理保险制度，推动养老事业和养老产业协同发展。以县域为单位，健全覆盖城乡、上下联动、相互支撑、响应</w:t>
      </w:r>
      <w:r>
        <w:rPr>
          <w:rFonts w:hint="eastAsia" w:eastAsia="仿宋_GB2312" w:cs="方正仿宋_GBK"/>
          <w:b w:val="0"/>
          <w:bCs w:val="0"/>
          <w:color w:val="auto"/>
          <w:highlight w:val="none"/>
          <w:lang w:val="en-US" w:eastAsia="zh-CN"/>
        </w:rPr>
        <w:t>迅速</w:t>
      </w:r>
      <w:r>
        <w:rPr>
          <w:rFonts w:hint="eastAsia" w:ascii="Times New Roman" w:hAnsi="Times New Roman" w:eastAsia="仿宋_GB2312" w:cs="方正仿宋_GBK"/>
          <w:b w:val="0"/>
          <w:bCs w:val="0"/>
          <w:color w:val="auto"/>
          <w:highlight w:val="none"/>
          <w:lang w:val="en-US" w:eastAsia="zh-CN"/>
        </w:rPr>
        <w:t>的旗县（区）、苏木乡镇（街道）、嘎查村（社区）三级养老服务网络。完善城市“一刻钟”养老服务圈建设，大力推进“嵌入式”社区养老服务设施建设，提升“六助”等居家上门服务水平。加大多层次养老服务供给，统筹推进兜底保障型、普惠支持型、完全市场型养老服务发展，推动形成兜底有保障、普惠可持续、高端有选择的服务供给格局。因地制宜、统筹发展符合农村牧区需要的养老服务设施和服务模式，通过优化农村牧区养老服务设施建设、发展农村牧区</w:t>
      </w:r>
      <w:r>
        <w:rPr>
          <w:rFonts w:hint="eastAsia" w:eastAsia="仿宋_GB2312" w:cs="方正仿宋_GBK"/>
          <w:b w:val="0"/>
          <w:bCs w:val="0"/>
          <w:color w:val="auto"/>
          <w:highlight w:val="none"/>
          <w:lang w:val="en-US" w:eastAsia="zh-CN"/>
        </w:rPr>
        <w:t>互助性养老服务</w:t>
      </w:r>
      <w:r>
        <w:rPr>
          <w:rFonts w:hint="eastAsia" w:ascii="Times New Roman" w:hAnsi="Times New Roman" w:eastAsia="仿宋_GB2312" w:cs="方正仿宋_GBK"/>
          <w:b w:val="0"/>
          <w:bCs w:val="0"/>
          <w:color w:val="auto"/>
          <w:highlight w:val="none"/>
          <w:lang w:val="en-US" w:eastAsia="zh-CN"/>
        </w:rPr>
        <w:t>、发展农村牧区流动养老服务等方式满足</w:t>
      </w:r>
      <w:r>
        <w:rPr>
          <w:rFonts w:hint="eastAsia" w:eastAsia="仿宋_GB2312" w:cs="方正仿宋_GBK"/>
          <w:b w:val="0"/>
          <w:bCs w:val="0"/>
          <w:color w:val="auto"/>
          <w:highlight w:val="none"/>
          <w:lang w:val="en-US" w:eastAsia="zh-CN"/>
        </w:rPr>
        <w:t>农村</w:t>
      </w:r>
      <w:r>
        <w:rPr>
          <w:rFonts w:hint="eastAsia" w:ascii="Times New Roman" w:hAnsi="Times New Roman" w:eastAsia="仿宋_GB2312" w:cs="方正仿宋_GBK"/>
          <w:b w:val="0"/>
          <w:bCs w:val="0"/>
          <w:color w:val="auto"/>
          <w:highlight w:val="none"/>
          <w:lang w:val="en-US" w:eastAsia="zh-CN"/>
        </w:rPr>
        <w:t>牧区老年人养老服务需求。实施老年健康教育和促进行动，提升老年人健康素养。加强适老化改造，加大对城市道路、公共交通工具、信号灯、隔离带等设施设备的适老化改造力度。加强老年人权益保障，落实各项老年优待政策</w:t>
      </w:r>
      <w:r>
        <w:rPr>
          <w:rFonts w:hint="eastAsia" w:eastAsia="仿宋_GB2312" w:cs="方正仿宋_GBK"/>
          <w:b w:val="0"/>
          <w:bCs w:val="0"/>
          <w:color w:val="auto"/>
          <w:highlight w:val="none"/>
          <w:lang w:val="en-US" w:eastAsia="zh-CN"/>
        </w:rPr>
        <w:t>。</w:t>
      </w:r>
      <w:r>
        <w:rPr>
          <w:rFonts w:hint="eastAsia" w:ascii="Times New Roman" w:hAnsi="Times New Roman" w:eastAsia="仿宋_GB2312" w:cs="方正仿宋_GBK"/>
          <w:b w:val="0"/>
          <w:bCs w:val="0"/>
          <w:color w:val="auto"/>
          <w:highlight w:val="none"/>
          <w:lang w:val="en-US" w:eastAsia="zh-CN"/>
        </w:rPr>
        <w:t>深入实施“智慧助老”行动，切实解决老年人</w:t>
      </w:r>
      <w:r>
        <w:rPr>
          <w:rFonts w:hint="eastAsia" w:eastAsia="仿宋_GB2312" w:cs="方正仿宋_GBK"/>
          <w:b w:val="0"/>
          <w:bCs w:val="0"/>
          <w:color w:val="auto"/>
          <w:highlight w:val="none"/>
          <w:lang w:val="en-US" w:eastAsia="zh-CN"/>
        </w:rPr>
        <w:t>运用</w:t>
      </w:r>
      <w:r>
        <w:rPr>
          <w:rFonts w:hint="eastAsia" w:ascii="Times New Roman" w:hAnsi="Times New Roman" w:eastAsia="仿宋_GB2312" w:cs="方正仿宋_GBK"/>
          <w:b w:val="0"/>
          <w:bCs w:val="0"/>
          <w:color w:val="auto"/>
          <w:highlight w:val="none"/>
          <w:lang w:val="en-US" w:eastAsia="zh-CN"/>
        </w:rPr>
        <w:t>智能技术困难。扩大老年教育、文化、体育等服务供给，丰富老年人精神文化生活。大力发展银发经济，支持企业发展康复辅具、服装服饰、休闲娱乐、文化旅游等老年用品及</w:t>
      </w:r>
      <w:r>
        <w:rPr>
          <w:rFonts w:hint="eastAsia" w:ascii="Times New Roman" w:hAnsi="Times New Roman" w:eastAsia="仿宋_GB2312" w:cs="方正仿宋_GBK"/>
          <w:b w:val="0"/>
          <w:bCs w:val="0"/>
          <w:color w:val="auto"/>
          <w:spacing w:val="-6"/>
          <w:highlight w:val="none"/>
          <w:lang w:val="en-US" w:eastAsia="zh-CN"/>
        </w:rPr>
        <w:t>服务</w:t>
      </w:r>
      <w:r>
        <w:rPr>
          <w:rFonts w:hint="eastAsia" w:eastAsia="仿宋_GB2312" w:cs="方正仿宋_GBK"/>
          <w:b w:val="0"/>
          <w:bCs w:val="0"/>
          <w:color w:val="auto"/>
          <w:spacing w:val="-6"/>
          <w:highlight w:val="none"/>
          <w:lang w:val="en-US" w:eastAsia="zh-CN"/>
        </w:rPr>
        <w:t>，发展</w:t>
      </w:r>
      <w:r>
        <w:rPr>
          <w:rFonts w:hint="eastAsia" w:ascii="Times New Roman" w:hAnsi="Times New Roman" w:eastAsia="仿宋_GB2312" w:cs="方正仿宋_GBK"/>
          <w:b w:val="0"/>
          <w:bCs w:val="0"/>
          <w:color w:val="auto"/>
          <w:spacing w:val="-6"/>
          <w:highlight w:val="none"/>
          <w:lang w:val="en-US" w:eastAsia="zh-CN"/>
        </w:rPr>
        <w:t>旅居康养，建设“颐养赤峰”旅居康养品牌。强化养老服务发展要素保障，增加财政投入力度，扩大资金来源渠道。加强养老人才队伍建设，完善养老服务人才招聘平台，扩大养老护理员来源渠道，建立以社区为平台、社会工作者为支撑、社区社会组织为载体</w:t>
      </w:r>
      <w:r>
        <w:rPr>
          <w:rFonts w:hint="eastAsia" w:eastAsia="仿宋_GB2312" w:cs="方正仿宋_GBK"/>
          <w:b w:val="0"/>
          <w:bCs w:val="0"/>
          <w:color w:val="auto"/>
          <w:spacing w:val="-6"/>
          <w:highlight w:val="none"/>
          <w:lang w:val="en-US" w:eastAsia="zh-CN"/>
        </w:rPr>
        <w:t>，以</w:t>
      </w:r>
      <w:r>
        <w:rPr>
          <w:rFonts w:hint="eastAsia" w:ascii="Times New Roman" w:hAnsi="Times New Roman" w:eastAsia="仿宋_GB2312" w:cs="方正仿宋_GBK"/>
          <w:b w:val="0"/>
          <w:bCs w:val="0"/>
          <w:color w:val="auto"/>
          <w:spacing w:val="-6"/>
          <w:highlight w:val="none"/>
          <w:lang w:val="en-US" w:eastAsia="zh-CN"/>
        </w:rPr>
        <w:t>社区志愿者为辅助、社区公益慈善资源为补充的“五社联动”机制。</w:t>
      </w:r>
      <w:r>
        <w:rPr>
          <w:rFonts w:hint="eastAsia" w:eastAsia="仿宋_GB2312" w:cs="方正仿宋_GBK"/>
          <w:b w:val="0"/>
          <w:bCs w:val="0"/>
          <w:color w:val="auto"/>
          <w:spacing w:val="-6"/>
          <w:highlight w:val="none"/>
          <w:lang w:val="en-US" w:eastAsia="zh-CN"/>
        </w:rPr>
        <w:t>增加</w:t>
      </w:r>
      <w:r>
        <w:rPr>
          <w:rFonts w:hint="eastAsia" w:ascii="Times New Roman" w:hAnsi="Times New Roman" w:eastAsia="仿宋_GB2312" w:cs="方正仿宋_GBK"/>
          <w:b w:val="0"/>
          <w:bCs w:val="0"/>
          <w:color w:val="auto"/>
          <w:spacing w:val="-6"/>
          <w:highlight w:val="none"/>
          <w:lang w:val="en-US" w:eastAsia="zh-CN"/>
        </w:rPr>
        <w:t>养老设施供给，新建居住小区严格落实“四同步”要求，老城区和已建成居住（小）区通过购置、置换、租赁等方式配齐符合养老服务要求的养老服务设施</w:t>
      </w:r>
      <w:r>
        <w:rPr>
          <w:rFonts w:hint="eastAsia" w:eastAsia="仿宋_GB2312" w:cs="方正仿宋_GBK"/>
          <w:b w:val="0"/>
          <w:bCs w:val="0"/>
          <w:color w:val="auto"/>
          <w:spacing w:val="-6"/>
          <w:highlight w:val="none"/>
          <w:lang w:val="en-US" w:eastAsia="zh-CN"/>
        </w:rPr>
        <w:t>。</w:t>
      </w:r>
      <w:bookmarkStart w:id="1155" w:name="_Toc32308"/>
      <w:bookmarkStart w:id="1156" w:name="_Toc28468"/>
      <w:bookmarkStart w:id="1157" w:name="_Toc1030"/>
      <w:bookmarkStart w:id="1158" w:name="_Toc5449"/>
      <w:bookmarkStart w:id="1159" w:name="_Toc5852"/>
      <w:bookmarkStart w:id="1160" w:name="_Toc7034"/>
      <w:bookmarkStart w:id="1161" w:name="_Toc32730"/>
      <w:bookmarkStart w:id="1162" w:name="_Toc18165"/>
      <w:bookmarkStart w:id="1163" w:name="_Toc23003"/>
      <w:bookmarkStart w:id="1164" w:name="_Toc7491"/>
      <w:bookmarkStart w:id="1165" w:name="_Toc13583"/>
      <w:bookmarkStart w:id="1166" w:name="_Toc10126"/>
      <w:bookmarkStart w:id="1167" w:name="_Toc8505"/>
      <w:bookmarkStart w:id="1168" w:name="_Toc1473"/>
      <w:bookmarkStart w:id="1169" w:name="_Toc4993"/>
      <w:bookmarkStart w:id="1170" w:name="_Toc16525"/>
      <w:bookmarkStart w:id="1171" w:name="_Toc12340"/>
      <w:bookmarkStart w:id="1172" w:name="_Toc9871"/>
      <w:bookmarkStart w:id="1173" w:name="_Toc19421"/>
      <w:bookmarkStart w:id="1174" w:name="_Toc18743"/>
      <w:bookmarkStart w:id="1175" w:name="_Toc9072"/>
      <w:bookmarkStart w:id="1176" w:name="_Toc16168"/>
    </w:p>
    <w:p w14:paraId="6618B381">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540" w:lineRule="exact"/>
        <w:jc w:val="center"/>
        <w:textAlignment w:val="auto"/>
        <w:outlineLvl w:val="0"/>
        <w:rPr>
          <w:rFonts w:hint="eastAsia" w:ascii="方正小标宋简体" w:hAnsi="方正小标宋简体" w:eastAsia="方正小标宋简体" w:cs="方正小标宋简体"/>
          <w:b w:val="0"/>
          <w:bCs w:val="0"/>
          <w:sz w:val="32"/>
          <w:szCs w:val="32"/>
          <w:highlight w:val="none"/>
          <w:lang w:val="en-US" w:eastAsia="zh-CN"/>
        </w:rPr>
      </w:pPr>
      <w:bookmarkStart w:id="1177" w:name="_Toc1263"/>
      <w:r>
        <w:rPr>
          <w:rFonts w:hint="eastAsia" w:ascii="方正小标宋简体" w:hAnsi="方正小标宋简体" w:eastAsia="方正小标宋简体" w:cs="方正小标宋简体"/>
          <w:b w:val="0"/>
          <w:bCs w:val="0"/>
          <w:sz w:val="32"/>
          <w:szCs w:val="32"/>
          <w:highlight w:val="none"/>
          <w:lang w:val="en-US" w:eastAsia="zh-CN"/>
        </w:rPr>
        <w:t>加强领导，强化中国式现代化赤峰实践组织保障</w:t>
      </w:r>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p>
    <w:p w14:paraId="646E0757">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spacing w:val="0"/>
          <w:highlight w:val="none"/>
          <w:lang w:val="en-US" w:eastAsia="zh-CN"/>
        </w:rPr>
      </w:pPr>
      <w:r>
        <w:rPr>
          <w:rFonts w:hint="eastAsia" w:ascii="Times New Roman" w:hAnsi="Times New Roman" w:eastAsia="仿宋_GB2312" w:cs="方正仿宋_GBK"/>
          <w:b w:val="0"/>
          <w:bCs w:val="0"/>
          <w:color w:val="auto"/>
          <w:spacing w:val="0"/>
          <w:highlight w:val="none"/>
          <w:lang w:val="en-US" w:eastAsia="zh-CN"/>
        </w:rPr>
        <w:t>充分发挥党总揽全局、协调各方的领导核心作用，将党的政治优势、组织优势和社会主义集中力量办大事的制度优势，转化为推进规划实施的强大动力和根本保障。</w:t>
      </w:r>
    </w:p>
    <w:p w14:paraId="28899C7D">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line="540" w:lineRule="exact"/>
        <w:jc w:val="center"/>
        <w:textAlignment w:val="auto"/>
        <w:outlineLvl w:val="1"/>
        <w:rPr>
          <w:rFonts w:hint="eastAsia" w:ascii="黑体" w:hAnsi="黑体" w:eastAsia="黑体" w:cs="黑体"/>
          <w:b w:val="0"/>
          <w:bCs w:val="0"/>
          <w:sz w:val="32"/>
          <w:szCs w:val="32"/>
          <w:highlight w:val="none"/>
          <w:lang w:val="en-US" w:eastAsia="zh-CN"/>
        </w:rPr>
      </w:pPr>
      <w:bookmarkStart w:id="1178" w:name="_Toc17491"/>
      <w:bookmarkStart w:id="1179" w:name="_Toc6014"/>
      <w:bookmarkStart w:id="1180" w:name="_Toc30238"/>
      <w:bookmarkStart w:id="1181" w:name="_Toc8755"/>
      <w:bookmarkStart w:id="1182" w:name="_Toc20116"/>
      <w:bookmarkStart w:id="1183" w:name="_Toc26447"/>
      <w:bookmarkStart w:id="1184" w:name="_Toc19335"/>
      <w:bookmarkStart w:id="1185" w:name="_Toc5254"/>
      <w:bookmarkStart w:id="1186" w:name="_Toc13080"/>
      <w:bookmarkStart w:id="1187" w:name="_Toc31791"/>
      <w:bookmarkStart w:id="1188" w:name="_Toc4574"/>
      <w:bookmarkStart w:id="1189" w:name="_Toc17320"/>
      <w:bookmarkStart w:id="1190" w:name="_Toc3017"/>
      <w:bookmarkStart w:id="1191" w:name="_Toc24661"/>
      <w:bookmarkStart w:id="1192" w:name="_Toc27308"/>
      <w:bookmarkStart w:id="1193" w:name="_Toc203"/>
      <w:bookmarkStart w:id="1194" w:name="_Toc2085"/>
      <w:bookmarkStart w:id="1195" w:name="_Toc11775"/>
      <w:bookmarkStart w:id="1196" w:name="_Toc5502"/>
      <w:bookmarkStart w:id="1197" w:name="_Toc31813"/>
      <w:bookmarkStart w:id="1198" w:name="_Toc2313"/>
      <w:bookmarkStart w:id="1199" w:name="_Toc15409"/>
      <w:bookmarkStart w:id="1200" w:name="_Toc13597"/>
      <w:r>
        <w:rPr>
          <w:rFonts w:hint="eastAsia" w:ascii="黑体" w:hAnsi="黑体" w:eastAsia="黑体" w:cs="黑体"/>
          <w:b w:val="0"/>
          <w:bCs w:val="0"/>
          <w:sz w:val="32"/>
          <w:szCs w:val="32"/>
          <w:highlight w:val="none"/>
          <w:lang w:val="en-US" w:eastAsia="zh-CN"/>
        </w:rPr>
        <w:t>加强党的全面领导</w:t>
      </w:r>
      <w:bookmarkEnd w:id="1178"/>
      <w:bookmarkEnd w:id="1179"/>
      <w:bookmarkEnd w:id="1180"/>
      <w:bookmarkEnd w:id="1181"/>
      <w:bookmarkEnd w:id="1182"/>
      <w:bookmarkEnd w:id="1183"/>
      <w:bookmarkEnd w:id="1184"/>
      <w:bookmarkEnd w:id="1185"/>
      <w:r>
        <w:rPr>
          <w:rFonts w:hint="eastAsia" w:ascii="黑体" w:hAnsi="黑体" w:eastAsia="黑体" w:cs="黑体"/>
          <w:b w:val="0"/>
          <w:bCs w:val="0"/>
          <w:sz w:val="32"/>
          <w:szCs w:val="32"/>
          <w:highlight w:val="none"/>
          <w:lang w:val="en-US" w:eastAsia="zh-CN"/>
        </w:rPr>
        <w:t>和党的建设</w:t>
      </w:r>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p>
    <w:p w14:paraId="7379C19E">
      <w:pPr>
        <w:pStyle w:val="43"/>
        <w:keepNext w:val="0"/>
        <w:keepLines w:val="0"/>
        <w:pageBreakBefore w:val="0"/>
        <w:widowControl w:val="0"/>
        <w:shd w:val="clear" w:color="auto" w:fill="auto"/>
        <w:kinsoku/>
        <w:wordWrap/>
        <w:overflowPunct/>
        <w:topLinePunct w:val="0"/>
        <w:autoSpaceDE/>
        <w:autoSpaceDN/>
        <w:bidi w:val="0"/>
        <w:adjustRightInd/>
        <w:snapToGrid/>
        <w:spacing w:before="157" w:beforeLines="50" w:after="157" w:afterLines="50" w:line="540" w:lineRule="exact"/>
        <w:jc w:val="center"/>
        <w:textAlignment w:val="auto"/>
        <w:outlineLvl w:val="9"/>
        <w:rPr>
          <w:rFonts w:hint="eastAsia" w:ascii="Times New Roman" w:hAnsi="Times New Roman" w:eastAsia="仿宋_GB2312" w:cs="方正仿宋_GBK"/>
          <w:b w:val="0"/>
          <w:bCs w:val="0"/>
          <w:color w:val="auto"/>
          <w:spacing w:val="-6"/>
          <w:sz w:val="32"/>
          <w:szCs w:val="32"/>
          <w:highlight w:val="none"/>
          <w:lang w:val="en-US" w:eastAsia="zh-CN"/>
        </w:rPr>
      </w:pPr>
      <w:r>
        <w:rPr>
          <w:rFonts w:hint="eastAsia" w:ascii="Times New Roman" w:hAnsi="Times New Roman" w:eastAsia="仿宋_GB2312" w:cs="方正仿宋_GBK"/>
          <w:b w:val="0"/>
          <w:bCs w:val="0"/>
          <w:color w:val="auto"/>
          <w:sz w:val="32"/>
          <w:szCs w:val="32"/>
          <w:highlight w:val="none"/>
          <w:lang w:val="en-US" w:eastAsia="zh-CN"/>
        </w:rPr>
        <w:t>把党的领导贯穿经济社会发展各方面全过程，持之以恒推进</w:t>
      </w:r>
      <w:r>
        <w:rPr>
          <w:rFonts w:hint="eastAsia" w:ascii="Times New Roman" w:hAnsi="Times New Roman" w:eastAsia="仿宋_GB2312" w:cs="方正仿宋_GBK"/>
          <w:b w:val="0"/>
          <w:bCs w:val="0"/>
          <w:color w:val="auto"/>
          <w:spacing w:val="-6"/>
          <w:sz w:val="32"/>
          <w:szCs w:val="32"/>
          <w:highlight w:val="none"/>
          <w:lang w:val="en-US" w:eastAsia="zh-CN"/>
        </w:rPr>
        <w:t>全面从严治党，弘扬新风正气，激励担当作为，营造良好政治生态。</w:t>
      </w:r>
    </w:p>
    <w:p w14:paraId="05322EC7">
      <w:pPr>
        <w:keepNext w:val="0"/>
        <w:keepLines w:val="0"/>
        <w:pageBreakBefore w:val="0"/>
        <w:widowControl w:val="0"/>
        <w:numPr>
          <w:ilvl w:val="0"/>
          <w:numId w:val="14"/>
        </w:numPr>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sz w:val="32"/>
          <w:szCs w:val="40"/>
          <w:highlight w:val="none"/>
          <w:lang w:val="en-US" w:eastAsia="zh-CN"/>
        </w:rPr>
      </w:pPr>
      <w:bookmarkStart w:id="1201" w:name="_Toc25177"/>
      <w:bookmarkStart w:id="1202" w:name="_Toc31468"/>
      <w:bookmarkStart w:id="1203" w:name="_Toc26158"/>
      <w:bookmarkStart w:id="1204" w:name="_Toc4985"/>
      <w:bookmarkStart w:id="1205" w:name="_Toc14310"/>
      <w:bookmarkStart w:id="1206" w:name="_Toc12112"/>
      <w:bookmarkStart w:id="1207" w:name="_Toc18059"/>
      <w:bookmarkStart w:id="1208" w:name="_Toc26306"/>
      <w:bookmarkStart w:id="1209" w:name="_Toc17610"/>
      <w:bookmarkStart w:id="1210" w:name="_Toc27871"/>
      <w:bookmarkStart w:id="1211" w:name="_Toc12310"/>
      <w:bookmarkStart w:id="1212" w:name="_Toc15907"/>
      <w:bookmarkStart w:id="1213" w:name="_Toc12109"/>
      <w:bookmarkStart w:id="1214" w:name="_Toc11431"/>
      <w:bookmarkStart w:id="1215" w:name="_Toc1968"/>
      <w:bookmarkStart w:id="1216" w:name="_Toc29479"/>
      <w:bookmarkStart w:id="1217" w:name="_Toc11868"/>
      <w:bookmarkStart w:id="1218" w:name="_Toc31666"/>
      <w:bookmarkStart w:id="1219" w:name="_Toc26531"/>
      <w:bookmarkStart w:id="1220" w:name="_Toc6913"/>
      <w:bookmarkStart w:id="1221" w:name="_Toc24717"/>
      <w:bookmarkStart w:id="1222" w:name="_Toc4560"/>
      <w:bookmarkStart w:id="1223" w:name="_Toc12932"/>
      <w:r>
        <w:rPr>
          <w:rFonts w:hint="eastAsia" w:ascii="楷体_GB2312" w:hAnsi="楷体_GB2312" w:eastAsia="楷体_GB2312" w:cs="楷体_GB2312"/>
          <w:b w:val="0"/>
          <w:bCs w:val="0"/>
          <w:sz w:val="32"/>
          <w:szCs w:val="40"/>
          <w:highlight w:val="none"/>
          <w:lang w:val="en-US" w:eastAsia="zh-CN"/>
        </w:rPr>
        <w:t>坚持党的全面领导</w:t>
      </w:r>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p>
    <w:p w14:paraId="138D9CA0">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spacing w:val="0"/>
          <w:highlight w:val="none"/>
          <w:lang w:val="en-US" w:eastAsia="zh-CN"/>
        </w:rPr>
      </w:pPr>
      <w:r>
        <w:rPr>
          <w:rFonts w:hint="eastAsia" w:ascii="Times New Roman" w:hAnsi="Times New Roman" w:eastAsia="仿宋_GB2312" w:cs="方正仿宋_GBK"/>
          <w:b w:val="0"/>
          <w:bCs w:val="0"/>
          <w:color w:val="auto"/>
          <w:spacing w:val="0"/>
          <w:highlight w:val="none"/>
          <w:lang w:val="en-US" w:eastAsia="zh-CN"/>
        </w:rPr>
        <w:t>持续</w:t>
      </w:r>
      <w:r>
        <w:rPr>
          <w:rFonts w:hint="eastAsia" w:eastAsia="仿宋_GB2312" w:cs="方正仿宋_GBK"/>
          <w:b w:val="0"/>
          <w:bCs w:val="0"/>
          <w:color w:val="auto"/>
          <w:spacing w:val="0"/>
          <w:highlight w:val="none"/>
          <w:lang w:val="en-US" w:eastAsia="zh-CN"/>
        </w:rPr>
        <w:t>以</w:t>
      </w:r>
      <w:r>
        <w:rPr>
          <w:rFonts w:hint="eastAsia" w:ascii="Times New Roman" w:hAnsi="Times New Roman" w:eastAsia="仿宋_GB2312" w:cs="方正仿宋_GBK"/>
          <w:b w:val="0"/>
          <w:bCs w:val="0"/>
          <w:color w:val="auto"/>
          <w:spacing w:val="0"/>
          <w:highlight w:val="none"/>
          <w:lang w:val="en-US" w:eastAsia="zh-CN"/>
        </w:rPr>
        <w:t>习近平新时代中国特色社会主义思想统一思想、统一意志、统一行动，始终在思想上政治上行动上同以习近平同志为核心的党中央保持高度一致。严格落实“第一议题”等制度，常态化开展党的创新理论学习和党性教育，提高政治判断力、政治领悟力、政治执行力。健全贯彻落实习近平总书记重要指示精神和党中央重大决策部署全链条、闭环式工作机制。统筹推进各领域基层党组织建设，增强党组织政治功能和组织功能。推动全面从严治党向纵深发展，锲而不舍落实中央八项规定精神，弘扬新风正气，推进作风建设常态化长效化。深入开展整治形式主义为基层减负工作。坚决查处群众身边不正之风和腐败问题。保持反腐败永远在路上的清醒坚定，一体推进不敢腐、不能腐、不想腐，坚决打赢反腐败斗争攻坚战、持久战、总体战。</w:t>
      </w:r>
    </w:p>
    <w:p w14:paraId="5687C9CE">
      <w:pPr>
        <w:keepNext w:val="0"/>
        <w:keepLines w:val="0"/>
        <w:pageBreakBefore w:val="0"/>
        <w:numPr>
          <w:ilvl w:val="0"/>
          <w:numId w:val="14"/>
        </w:numPr>
        <w:shd w:val="clear" w:color="auto" w:fill="auto"/>
        <w:kinsoku/>
        <w:wordWrap/>
        <w:topLinePunct w:val="0"/>
        <w:autoSpaceDE/>
        <w:autoSpaceDN/>
        <w:bidi w:val="0"/>
        <w:adjustRightIn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pacing w:val="0"/>
          <w:sz w:val="32"/>
          <w:szCs w:val="40"/>
          <w:highlight w:val="none"/>
          <w:lang w:val="en-US" w:eastAsia="zh-CN"/>
        </w:rPr>
      </w:pPr>
      <w:bookmarkStart w:id="1224" w:name="_Toc1926"/>
      <w:bookmarkStart w:id="1225" w:name="_Toc10301"/>
      <w:bookmarkStart w:id="1226" w:name="_Toc26970"/>
      <w:bookmarkStart w:id="1227" w:name="_Toc24304"/>
      <w:bookmarkStart w:id="1228" w:name="_Toc30689"/>
      <w:bookmarkStart w:id="1229" w:name="_Toc29020"/>
      <w:bookmarkStart w:id="1230" w:name="OLE_LINK243"/>
      <w:bookmarkStart w:id="1231" w:name="_Toc4518"/>
      <w:bookmarkStart w:id="1232" w:name="_Toc6836"/>
      <w:bookmarkStart w:id="1233" w:name="_Toc32268"/>
      <w:bookmarkStart w:id="1234" w:name="_Toc17503"/>
      <w:bookmarkStart w:id="1235" w:name="_Toc29318"/>
      <w:bookmarkStart w:id="1236" w:name="OLE_LINK244"/>
      <w:bookmarkStart w:id="1237" w:name="_Toc14001"/>
      <w:bookmarkStart w:id="1238" w:name="_Toc8667"/>
      <w:bookmarkStart w:id="1239" w:name="_Toc17069"/>
      <w:bookmarkStart w:id="1240" w:name="_Toc11788"/>
      <w:r>
        <w:rPr>
          <w:rFonts w:hint="eastAsia" w:ascii="楷体_GB2312" w:hAnsi="楷体_GB2312" w:eastAsia="楷体_GB2312" w:cs="楷体_GB2312"/>
          <w:b w:val="0"/>
          <w:bCs w:val="0"/>
          <w:color w:val="auto"/>
          <w:spacing w:val="0"/>
          <w:sz w:val="32"/>
          <w:szCs w:val="40"/>
          <w:highlight w:val="none"/>
          <w:lang w:val="en-US" w:eastAsia="zh-CN"/>
        </w:rPr>
        <w:t>激励干部群众团结奋斗</w:t>
      </w:r>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p>
    <w:p w14:paraId="6F59F911">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default" w:ascii="Times New Roman" w:hAnsi="Times New Roman" w:eastAsia="仿宋_GB2312" w:cs="方正仿宋_GBK"/>
          <w:b w:val="0"/>
          <w:bCs w:val="0"/>
          <w:color w:val="auto"/>
          <w:spacing w:val="0"/>
          <w:highlight w:val="none"/>
          <w:lang w:val="en-US" w:eastAsia="zh-CN"/>
        </w:rPr>
      </w:pPr>
      <w:r>
        <w:rPr>
          <w:rFonts w:hint="default" w:ascii="Times New Roman" w:hAnsi="Times New Roman" w:eastAsia="仿宋_GB2312" w:cs="方正仿宋_GBK"/>
          <w:b w:val="0"/>
          <w:bCs w:val="0"/>
          <w:color w:val="auto"/>
          <w:spacing w:val="0"/>
          <w:highlight w:val="none"/>
          <w:lang w:val="en-US" w:eastAsia="zh-CN"/>
        </w:rPr>
        <w:t>把政治标准放在首位，深入落实新时代好干部标准和民族地区干部</w:t>
      </w:r>
      <w:r>
        <w:rPr>
          <w:rFonts w:hint="eastAsia" w:eastAsia="仿宋_GB2312" w:cs="方正仿宋_GBK"/>
          <w:b w:val="0"/>
          <w:bCs w:val="0"/>
          <w:color w:val="auto"/>
          <w:spacing w:val="0"/>
          <w:highlight w:val="none"/>
          <w:lang w:val="en-US" w:eastAsia="zh-CN"/>
        </w:rPr>
        <w:t>“</w:t>
      </w:r>
      <w:r>
        <w:rPr>
          <w:rFonts w:hint="default" w:ascii="Times New Roman" w:hAnsi="Times New Roman" w:eastAsia="仿宋_GB2312" w:cs="方正仿宋_GBK"/>
          <w:b w:val="0"/>
          <w:bCs w:val="0"/>
          <w:color w:val="auto"/>
          <w:spacing w:val="0"/>
          <w:highlight w:val="none"/>
          <w:lang w:val="en-US" w:eastAsia="zh-CN"/>
        </w:rPr>
        <w:t>四个特别</w:t>
      </w:r>
      <w:r>
        <w:rPr>
          <w:rFonts w:hint="eastAsia" w:eastAsia="仿宋_GB2312" w:cs="方正仿宋_GBK"/>
          <w:b w:val="0"/>
          <w:bCs w:val="0"/>
          <w:color w:val="auto"/>
          <w:spacing w:val="0"/>
          <w:highlight w:val="none"/>
          <w:lang w:val="en-US" w:eastAsia="zh-CN"/>
        </w:rPr>
        <w:t>”</w:t>
      </w:r>
      <w:r>
        <w:rPr>
          <w:rFonts w:hint="default" w:ascii="Times New Roman" w:hAnsi="Times New Roman" w:eastAsia="仿宋_GB2312" w:cs="方正仿宋_GBK"/>
          <w:b w:val="0"/>
          <w:bCs w:val="0"/>
          <w:color w:val="auto"/>
          <w:spacing w:val="0"/>
          <w:highlight w:val="none"/>
          <w:lang w:val="en-US" w:eastAsia="zh-CN"/>
        </w:rPr>
        <w:t>重要要求，持续加强干部队伍建设。坚持正确选人用人导向，树立和践行正确政绩观，完善干部考核评价机制，调整不胜任现职干部，推进领导干部能上能下常态化。强化教育培训和实践历练，加强专业型干部培养，推动干部大讲学习、深入调研、真抓实干、清正廉洁。健全崇尚实干、担当作为正向激励机制，激发干部干事创业热情。实施时代精神铸魂工程，弘扬</w:t>
      </w:r>
      <w:r>
        <w:rPr>
          <w:rFonts w:hint="eastAsia" w:eastAsia="仿宋_GB2312" w:cs="方正仿宋_GBK"/>
          <w:b w:val="0"/>
          <w:bCs w:val="0"/>
          <w:color w:val="auto"/>
          <w:spacing w:val="0"/>
          <w:highlight w:val="none"/>
          <w:lang w:val="en-US" w:eastAsia="zh-CN"/>
        </w:rPr>
        <w:t>“</w:t>
      </w:r>
      <w:r>
        <w:rPr>
          <w:rFonts w:hint="default" w:ascii="Times New Roman" w:hAnsi="Times New Roman" w:eastAsia="仿宋_GB2312" w:cs="方正仿宋_GBK"/>
          <w:b w:val="0"/>
          <w:bCs w:val="0"/>
          <w:color w:val="auto"/>
          <w:spacing w:val="0"/>
          <w:highlight w:val="none"/>
          <w:lang w:val="en-US" w:eastAsia="zh-CN"/>
        </w:rPr>
        <w:t>蒙古马精神</w:t>
      </w:r>
      <w:r>
        <w:rPr>
          <w:rFonts w:hint="eastAsia" w:eastAsia="仿宋_GB2312" w:cs="方正仿宋_GBK"/>
          <w:b w:val="0"/>
          <w:bCs w:val="0"/>
          <w:color w:val="auto"/>
          <w:spacing w:val="0"/>
          <w:highlight w:val="none"/>
          <w:lang w:val="en-US" w:eastAsia="zh-CN"/>
        </w:rPr>
        <w:t>”</w:t>
      </w:r>
      <w:r>
        <w:rPr>
          <w:rFonts w:hint="default" w:ascii="Times New Roman" w:hAnsi="Times New Roman" w:eastAsia="仿宋_GB2312" w:cs="方正仿宋_GBK"/>
          <w:b w:val="0"/>
          <w:bCs w:val="0"/>
          <w:color w:val="auto"/>
          <w:spacing w:val="0"/>
          <w:highlight w:val="none"/>
          <w:lang w:val="en-US" w:eastAsia="zh-CN"/>
        </w:rPr>
        <w:t>和</w:t>
      </w:r>
      <w:r>
        <w:rPr>
          <w:rFonts w:hint="eastAsia" w:eastAsia="仿宋_GB2312" w:cs="方正仿宋_GBK"/>
          <w:b w:val="0"/>
          <w:bCs w:val="0"/>
          <w:color w:val="auto"/>
          <w:spacing w:val="0"/>
          <w:highlight w:val="none"/>
          <w:lang w:val="en-US" w:eastAsia="zh-CN"/>
        </w:rPr>
        <w:t>“</w:t>
      </w:r>
      <w:r>
        <w:rPr>
          <w:rFonts w:hint="default" w:ascii="Times New Roman" w:hAnsi="Times New Roman" w:eastAsia="仿宋_GB2312" w:cs="方正仿宋_GBK"/>
          <w:b w:val="0"/>
          <w:bCs w:val="0"/>
          <w:color w:val="auto"/>
          <w:spacing w:val="0"/>
          <w:highlight w:val="none"/>
          <w:lang w:val="en-US" w:eastAsia="zh-CN"/>
        </w:rPr>
        <w:t>三北精神</w:t>
      </w:r>
      <w:r>
        <w:rPr>
          <w:rFonts w:hint="eastAsia" w:eastAsia="仿宋_GB2312" w:cs="方正仿宋_GBK"/>
          <w:b w:val="0"/>
          <w:bCs w:val="0"/>
          <w:color w:val="auto"/>
          <w:spacing w:val="0"/>
          <w:highlight w:val="none"/>
          <w:lang w:val="en-US" w:eastAsia="zh-CN"/>
        </w:rPr>
        <w:t>”</w:t>
      </w:r>
      <w:r>
        <w:rPr>
          <w:rFonts w:hint="default" w:ascii="Times New Roman" w:hAnsi="Times New Roman" w:eastAsia="仿宋_GB2312" w:cs="方正仿宋_GBK"/>
          <w:b w:val="0"/>
          <w:bCs w:val="0"/>
          <w:color w:val="auto"/>
          <w:spacing w:val="0"/>
          <w:highlight w:val="none"/>
          <w:lang w:val="en-US" w:eastAsia="zh-CN"/>
        </w:rPr>
        <w:t>，激励各族干部群众共同团结奋斗、创造美好生活。</w:t>
      </w:r>
    </w:p>
    <w:p w14:paraId="46D36FEA">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line="540" w:lineRule="exact"/>
        <w:jc w:val="center"/>
        <w:textAlignment w:val="auto"/>
        <w:outlineLvl w:val="1"/>
        <w:rPr>
          <w:rFonts w:hint="eastAsia" w:ascii="黑体" w:hAnsi="黑体" w:eastAsia="黑体" w:cs="黑体"/>
          <w:b w:val="0"/>
          <w:bCs w:val="0"/>
          <w:sz w:val="32"/>
          <w:szCs w:val="32"/>
          <w:highlight w:val="none"/>
          <w:lang w:val="en-US" w:eastAsia="zh-CN"/>
        </w:rPr>
      </w:pPr>
      <w:bookmarkStart w:id="1241" w:name="_Toc24207"/>
      <w:bookmarkStart w:id="1242" w:name="_Toc8931"/>
      <w:bookmarkStart w:id="1243" w:name="_Toc29438"/>
      <w:r>
        <w:rPr>
          <w:rFonts w:hint="eastAsia" w:ascii="黑体" w:hAnsi="黑体" w:eastAsia="黑体" w:cs="黑体"/>
          <w:b w:val="0"/>
          <w:bCs w:val="0"/>
          <w:sz w:val="32"/>
          <w:szCs w:val="32"/>
          <w:highlight w:val="none"/>
          <w:lang w:val="en-US" w:eastAsia="zh-CN"/>
        </w:rPr>
        <w:t>健全规划实施全周期推进机制</w:t>
      </w:r>
      <w:bookmarkEnd w:id="1241"/>
      <w:bookmarkEnd w:id="1242"/>
      <w:bookmarkEnd w:id="1243"/>
    </w:p>
    <w:p w14:paraId="39316E6B">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eastAsia="仿宋_GB2312" w:cs="方正仿宋_GBK"/>
          <w:b w:val="0"/>
          <w:bCs w:val="0"/>
          <w:color w:val="auto"/>
          <w:highlight w:val="none"/>
          <w:lang w:val="en-US" w:eastAsia="zh-CN"/>
        </w:rPr>
      </w:pPr>
      <w:r>
        <w:rPr>
          <w:rFonts w:hint="eastAsia" w:eastAsia="仿宋_GB2312" w:cs="方正仿宋_GBK"/>
          <w:b w:val="0"/>
          <w:bCs w:val="0"/>
          <w:color w:val="auto"/>
          <w:highlight w:val="none"/>
          <w:lang w:val="en-US" w:eastAsia="zh-CN"/>
        </w:rPr>
        <w:t>落实国家发展规划法，健全统一规划体系，有力有序推进各项目标任务实施，确保党中央决策部署落到实处。</w:t>
      </w:r>
    </w:p>
    <w:p w14:paraId="391FA98B">
      <w:pPr>
        <w:keepNext w:val="0"/>
        <w:keepLines w:val="0"/>
        <w:pageBreakBefore w:val="0"/>
        <w:widowControl w:val="0"/>
        <w:numPr>
          <w:ilvl w:val="0"/>
          <w:numId w:val="15"/>
        </w:numPr>
        <w:kinsoku/>
        <w:wordWrap/>
        <w:overflowPunct/>
        <w:topLinePunct w:val="0"/>
        <w:autoSpaceDE/>
        <w:autoSpaceDN/>
        <w:bidi w:val="0"/>
        <w:adjustRightInd/>
        <w:snapToGrid/>
        <w:spacing w:before="157" w:beforeLines="50" w:after="157" w:afterLines="50" w:line="540" w:lineRule="exact"/>
        <w:jc w:val="center"/>
        <w:textAlignment w:val="auto"/>
        <w:outlineLvl w:val="2"/>
        <w:rPr>
          <w:rFonts w:hint="eastAsia" w:ascii="楷体_GB2312" w:hAnsi="楷体_GB2312" w:eastAsia="楷体_GB2312" w:cs="楷体_GB2312"/>
          <w:b w:val="0"/>
          <w:bCs w:val="0"/>
          <w:sz w:val="32"/>
          <w:szCs w:val="40"/>
          <w:highlight w:val="none"/>
          <w:lang w:val="en-US" w:eastAsia="zh-CN"/>
        </w:rPr>
      </w:pPr>
      <w:bookmarkStart w:id="1244" w:name="_Toc9075"/>
      <w:bookmarkStart w:id="1245" w:name="_Toc17560"/>
      <w:bookmarkStart w:id="1246" w:name="_Toc31530"/>
      <w:bookmarkStart w:id="1247" w:name="_Toc2418"/>
      <w:bookmarkStart w:id="1248" w:name="_Toc30720"/>
      <w:bookmarkStart w:id="1249" w:name="_Toc10523"/>
      <w:bookmarkStart w:id="1250" w:name="_Toc18598"/>
      <w:bookmarkStart w:id="1251" w:name="_Toc22902"/>
      <w:bookmarkStart w:id="1252" w:name="_Toc10201"/>
      <w:bookmarkStart w:id="1253" w:name="_Toc30817"/>
      <w:bookmarkStart w:id="1254" w:name="_Toc17260"/>
      <w:bookmarkStart w:id="1255" w:name="_Toc24370"/>
      <w:bookmarkStart w:id="1256" w:name="_Toc26694"/>
      <w:bookmarkStart w:id="1257" w:name="_Toc6284"/>
      <w:bookmarkStart w:id="1258" w:name="_Toc4399"/>
      <w:bookmarkStart w:id="1259" w:name="_Toc24559"/>
      <w:bookmarkStart w:id="1260" w:name="_Toc1622"/>
      <w:bookmarkStart w:id="1261" w:name="_Toc18838"/>
      <w:bookmarkStart w:id="1262" w:name="_Toc562"/>
      <w:bookmarkStart w:id="1263" w:name="_Toc2924"/>
      <w:bookmarkStart w:id="1264" w:name="_Toc26722"/>
      <w:bookmarkStart w:id="1265" w:name="_Toc29465"/>
      <w:bookmarkStart w:id="1266" w:name="_Toc5128"/>
      <w:r>
        <w:rPr>
          <w:rFonts w:hint="eastAsia" w:ascii="楷体_GB2312" w:hAnsi="楷体_GB2312" w:eastAsia="楷体_GB2312" w:cs="楷体_GB2312"/>
          <w:b w:val="0"/>
          <w:bCs w:val="0"/>
          <w:sz w:val="32"/>
          <w:szCs w:val="40"/>
          <w:highlight w:val="none"/>
          <w:lang w:val="en-US" w:eastAsia="zh-CN"/>
        </w:rPr>
        <w:t>加强规划统筹衔接</w:t>
      </w:r>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p>
    <w:p w14:paraId="1EEAC387">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spacing w:val="-6"/>
          <w:highlight w:val="none"/>
          <w:lang w:val="en-US" w:eastAsia="zh-CN"/>
        </w:rPr>
      </w:pPr>
      <w:r>
        <w:rPr>
          <w:rFonts w:hint="eastAsia" w:ascii="Times New Roman" w:hAnsi="Times New Roman" w:eastAsia="仿宋_GB2312" w:cs="方正仿宋_GBK"/>
          <w:b w:val="0"/>
          <w:bCs w:val="0"/>
          <w:color w:val="auto"/>
          <w:spacing w:val="0"/>
          <w:highlight w:val="none"/>
          <w:lang w:val="en-US" w:eastAsia="zh-CN"/>
        </w:rPr>
        <w:t>构建定位准确、边界清晰、功能互补、统一衔接的规划体系，为发展规划实施提供有效支撑。规范各类规划衔接报审程序，报请</w:t>
      </w:r>
      <w:r>
        <w:rPr>
          <w:rFonts w:hint="eastAsia" w:eastAsia="仿宋_GB2312" w:cs="方正仿宋_GBK"/>
          <w:b w:val="0"/>
          <w:bCs w:val="0"/>
          <w:color w:val="auto"/>
          <w:spacing w:val="0"/>
          <w:highlight w:val="none"/>
          <w:lang w:val="en-US" w:eastAsia="zh-CN"/>
        </w:rPr>
        <w:t>市委</w:t>
      </w:r>
      <w:r>
        <w:rPr>
          <w:rFonts w:hint="eastAsia" w:ascii="Times New Roman" w:hAnsi="Times New Roman" w:eastAsia="仿宋_GB2312" w:cs="方正仿宋_GBK"/>
          <w:b w:val="0"/>
          <w:bCs w:val="0"/>
          <w:color w:val="auto"/>
          <w:spacing w:val="0"/>
          <w:highlight w:val="none"/>
          <w:lang w:val="en-US" w:eastAsia="zh-CN"/>
        </w:rPr>
        <w:t>、</w:t>
      </w:r>
      <w:r>
        <w:rPr>
          <w:rFonts w:hint="eastAsia" w:eastAsia="仿宋_GB2312" w:cs="方正仿宋_GBK"/>
          <w:b w:val="0"/>
          <w:bCs w:val="0"/>
          <w:color w:val="auto"/>
          <w:spacing w:val="0"/>
          <w:highlight w:val="none"/>
          <w:lang w:val="en-US" w:eastAsia="zh-CN"/>
        </w:rPr>
        <w:t>市</w:t>
      </w:r>
      <w:r>
        <w:rPr>
          <w:rFonts w:hint="eastAsia" w:ascii="Times New Roman" w:hAnsi="Times New Roman" w:eastAsia="仿宋_GB2312" w:cs="方正仿宋_GBK"/>
          <w:b w:val="0"/>
          <w:bCs w:val="0"/>
          <w:color w:val="auto"/>
          <w:spacing w:val="0"/>
          <w:highlight w:val="none"/>
          <w:lang w:val="en-US" w:eastAsia="zh-CN"/>
        </w:rPr>
        <w:t>政府批准的规划须与本规划进行衔接。各</w:t>
      </w:r>
      <w:r>
        <w:rPr>
          <w:rFonts w:hint="eastAsia" w:eastAsia="仿宋_GB2312" w:cs="方正仿宋_GBK"/>
          <w:b w:val="0"/>
          <w:bCs w:val="0"/>
          <w:color w:val="auto"/>
          <w:spacing w:val="0"/>
          <w:highlight w:val="none"/>
          <w:lang w:val="en-US" w:eastAsia="zh-CN"/>
        </w:rPr>
        <w:t>地区、</w:t>
      </w:r>
      <w:r>
        <w:rPr>
          <w:rFonts w:hint="eastAsia" w:ascii="Times New Roman" w:hAnsi="Times New Roman" w:eastAsia="仿宋_GB2312" w:cs="方正仿宋_GBK"/>
          <w:b w:val="0"/>
          <w:bCs w:val="0"/>
          <w:color w:val="auto"/>
          <w:spacing w:val="0"/>
          <w:highlight w:val="none"/>
          <w:lang w:val="en-US" w:eastAsia="zh-CN"/>
        </w:rPr>
        <w:t>各部门要严格遵循下位规划服从上位规划、下级规划服务上级规划、等位规划相互协调的原则，充分发挥发展规划的战略导向作用，</w:t>
      </w:r>
      <w:r>
        <w:rPr>
          <w:rFonts w:hint="eastAsia" w:ascii="Times New Roman" w:hAnsi="Times New Roman" w:eastAsia="仿宋_GB2312" w:cs="方正仿宋_GBK"/>
          <w:b w:val="0"/>
          <w:bCs w:val="0"/>
          <w:color w:val="auto"/>
          <w:spacing w:val="-6"/>
          <w:highlight w:val="none"/>
          <w:lang w:val="en-US" w:eastAsia="zh-CN"/>
        </w:rPr>
        <w:t>持续强化国土空间规划的基础作用，不断增强专项规划和区域规划的支撑作用。强化上下贯通，做好其他规划对发展规划的贯彻落实。</w:t>
      </w:r>
    </w:p>
    <w:p w14:paraId="1FCFDBFE">
      <w:pPr>
        <w:keepNext w:val="0"/>
        <w:keepLines w:val="0"/>
        <w:pageBreakBefore w:val="0"/>
        <w:numPr>
          <w:ilvl w:val="0"/>
          <w:numId w:val="15"/>
        </w:numPr>
        <w:shd w:val="clear" w:color="auto" w:fill="auto"/>
        <w:kinsoku/>
        <w:wordWrap/>
        <w:topLinePunct w:val="0"/>
        <w:autoSpaceDE/>
        <w:autoSpaceDN/>
        <w:bidi w:val="0"/>
        <w:adjustRightIn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pacing w:val="0"/>
          <w:sz w:val="32"/>
          <w:szCs w:val="40"/>
          <w:highlight w:val="none"/>
          <w:lang w:val="en-US" w:eastAsia="zh-CN"/>
        </w:rPr>
      </w:pPr>
      <w:bookmarkStart w:id="1267" w:name="_Toc11253"/>
      <w:bookmarkStart w:id="1268" w:name="_Toc31919"/>
      <w:bookmarkStart w:id="1269" w:name="_Toc12835"/>
      <w:bookmarkStart w:id="1270" w:name="_Toc13542"/>
      <w:bookmarkStart w:id="1271" w:name="_Toc29898"/>
      <w:bookmarkStart w:id="1272" w:name="_Toc4"/>
      <w:bookmarkStart w:id="1273" w:name="_Toc9960"/>
      <w:bookmarkStart w:id="1274" w:name="_Toc6128"/>
      <w:bookmarkStart w:id="1275" w:name="_Toc6826"/>
      <w:bookmarkStart w:id="1276" w:name="_Toc11684"/>
      <w:bookmarkStart w:id="1277" w:name="_Toc16908"/>
      <w:bookmarkStart w:id="1278" w:name="_Toc10349"/>
      <w:bookmarkStart w:id="1279" w:name="_Toc17189"/>
      <w:bookmarkStart w:id="1280" w:name="_Toc733"/>
      <w:bookmarkStart w:id="1281" w:name="_Toc20499"/>
      <w:r>
        <w:rPr>
          <w:rFonts w:hint="eastAsia" w:ascii="楷体_GB2312" w:hAnsi="楷体_GB2312" w:eastAsia="楷体_GB2312" w:cs="楷体_GB2312"/>
          <w:b w:val="0"/>
          <w:bCs w:val="0"/>
          <w:color w:val="auto"/>
          <w:spacing w:val="0"/>
          <w:sz w:val="32"/>
          <w:szCs w:val="40"/>
          <w:highlight w:val="none"/>
          <w:lang w:val="en-US" w:eastAsia="zh-CN"/>
        </w:rPr>
        <w:t>落实规划实施责任</w:t>
      </w:r>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p>
    <w:p w14:paraId="2EF78E4E">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ascii="Times New Roman" w:hAnsi="Times New Roman" w:eastAsia="仿宋_GB2312" w:cs="方正仿宋_GBK"/>
          <w:b w:val="0"/>
          <w:bCs w:val="0"/>
          <w:color w:val="auto"/>
          <w:spacing w:val="-6"/>
          <w:highlight w:val="none"/>
          <w:lang w:val="en-US" w:eastAsia="zh-CN"/>
        </w:rPr>
      </w:pPr>
      <w:r>
        <w:rPr>
          <w:rFonts w:hint="eastAsia" w:ascii="Times New Roman" w:hAnsi="Times New Roman" w:eastAsia="仿宋_GB2312" w:cs="方正仿宋_GBK"/>
          <w:b w:val="0"/>
          <w:bCs w:val="0"/>
          <w:color w:val="auto"/>
          <w:spacing w:val="0"/>
          <w:highlight w:val="none"/>
          <w:lang w:val="en-US" w:eastAsia="zh-CN"/>
        </w:rPr>
        <w:t>建立健全规划实施机制，明确各项目标任务分工，各</w:t>
      </w:r>
      <w:r>
        <w:rPr>
          <w:rFonts w:hint="eastAsia" w:eastAsia="仿宋_GB2312" w:cs="方正仿宋_GBK"/>
          <w:b w:val="0"/>
          <w:bCs w:val="0"/>
          <w:color w:val="auto"/>
          <w:spacing w:val="0"/>
          <w:highlight w:val="none"/>
          <w:lang w:val="en-US" w:eastAsia="zh-CN"/>
        </w:rPr>
        <w:t>旗县区、</w:t>
      </w:r>
      <w:r>
        <w:rPr>
          <w:rFonts w:hint="eastAsia" w:ascii="Times New Roman" w:hAnsi="Times New Roman" w:eastAsia="仿宋_GB2312" w:cs="方正仿宋_GBK"/>
          <w:b w:val="0"/>
          <w:bCs w:val="0"/>
          <w:color w:val="auto"/>
          <w:spacing w:val="0"/>
          <w:highlight w:val="none"/>
          <w:lang w:val="en-US" w:eastAsia="zh-CN"/>
        </w:rPr>
        <w:t>各部门要制定可操作可评估的实施方案，对约束性指标和公共服务、生态环保、安全保障等任务，强化责任分解落实；对预期性指标和产业发展、结构调整等任务，创造良好政策环境、体制环境和法治环境。年度计划要滚动落实规划各项任务，将规划主要指标分解纳入年度计划指标体系并做好跨年度平衡。坚持项目跟着规划走、资金和要素跟着项目走、监管跟着项目和资金走，细</w:t>
      </w:r>
      <w:r>
        <w:rPr>
          <w:rFonts w:hint="eastAsia" w:ascii="Times New Roman" w:hAnsi="Times New Roman" w:eastAsia="仿宋_GB2312" w:cs="方正仿宋_GBK"/>
          <w:b w:val="0"/>
          <w:bCs w:val="0"/>
          <w:color w:val="auto"/>
          <w:spacing w:val="-6"/>
          <w:highlight w:val="none"/>
          <w:lang w:val="en-US" w:eastAsia="zh-CN"/>
        </w:rPr>
        <w:t>化规划重大工程项目清单，分类推进单体项目、打捆项目落地实施。</w:t>
      </w:r>
    </w:p>
    <w:p w14:paraId="2F991300">
      <w:pPr>
        <w:keepNext w:val="0"/>
        <w:keepLines w:val="0"/>
        <w:pageBreakBefore w:val="0"/>
        <w:numPr>
          <w:ilvl w:val="0"/>
          <w:numId w:val="15"/>
        </w:numPr>
        <w:shd w:val="clear" w:color="auto" w:fill="auto"/>
        <w:kinsoku/>
        <w:wordWrap/>
        <w:topLinePunct w:val="0"/>
        <w:autoSpaceDE/>
        <w:autoSpaceDN/>
        <w:bidi w:val="0"/>
        <w:adjustRightInd/>
        <w:spacing w:before="157" w:beforeLines="50" w:after="157" w:afterLines="50" w:line="540" w:lineRule="exact"/>
        <w:jc w:val="center"/>
        <w:textAlignment w:val="auto"/>
        <w:outlineLvl w:val="2"/>
        <w:rPr>
          <w:rFonts w:hint="eastAsia" w:ascii="楷体_GB2312" w:hAnsi="楷体_GB2312" w:eastAsia="楷体_GB2312" w:cs="楷体_GB2312"/>
          <w:b w:val="0"/>
          <w:bCs w:val="0"/>
          <w:color w:val="auto"/>
          <w:spacing w:val="0"/>
          <w:sz w:val="32"/>
          <w:szCs w:val="40"/>
          <w:highlight w:val="none"/>
          <w:lang w:val="en-US" w:eastAsia="zh-CN"/>
        </w:rPr>
      </w:pPr>
      <w:bookmarkStart w:id="1282" w:name="_Toc32632"/>
      <w:bookmarkStart w:id="1283" w:name="_Toc18509"/>
      <w:bookmarkStart w:id="1284" w:name="_Toc14452"/>
      <w:bookmarkStart w:id="1285" w:name="_Toc3014"/>
      <w:bookmarkStart w:id="1286" w:name="_Toc6860"/>
      <w:bookmarkStart w:id="1287" w:name="_Toc7419"/>
      <w:bookmarkStart w:id="1288" w:name="_Toc8161"/>
      <w:bookmarkStart w:id="1289" w:name="_Toc9186"/>
      <w:bookmarkStart w:id="1290" w:name="_Toc21723"/>
      <w:bookmarkStart w:id="1291" w:name="_Toc15259"/>
      <w:bookmarkStart w:id="1292" w:name="_Toc25936"/>
      <w:bookmarkStart w:id="1293" w:name="_Toc7708"/>
      <w:bookmarkStart w:id="1294" w:name="_Toc17240"/>
      <w:bookmarkStart w:id="1295" w:name="_Toc26491"/>
      <w:bookmarkStart w:id="1296" w:name="_Toc20956"/>
      <w:r>
        <w:rPr>
          <w:rFonts w:hint="eastAsia" w:ascii="楷体_GB2312" w:hAnsi="楷体_GB2312" w:eastAsia="楷体_GB2312" w:cs="楷体_GB2312"/>
          <w:b w:val="0"/>
          <w:bCs w:val="0"/>
          <w:color w:val="auto"/>
          <w:spacing w:val="0"/>
          <w:sz w:val="32"/>
          <w:szCs w:val="40"/>
          <w:highlight w:val="none"/>
          <w:lang w:val="en-US" w:eastAsia="zh-CN"/>
        </w:rPr>
        <w:t>加强规划实施监测评估</w:t>
      </w:r>
      <w:bookmarkEnd w:id="1282"/>
      <w:bookmarkEnd w:id="1283"/>
      <w:bookmarkEnd w:id="1284"/>
      <w:bookmarkEnd w:id="1285"/>
      <w:bookmarkEnd w:id="1286"/>
      <w:bookmarkEnd w:id="1287"/>
      <w:bookmarkEnd w:id="1288"/>
      <w:bookmarkEnd w:id="1289"/>
      <w:bookmarkEnd w:id="1290"/>
      <w:bookmarkEnd w:id="1291"/>
      <w:bookmarkEnd w:id="1292"/>
      <w:bookmarkEnd w:id="1293"/>
      <w:r>
        <w:rPr>
          <w:rFonts w:hint="eastAsia" w:ascii="楷体_GB2312" w:hAnsi="楷体_GB2312" w:eastAsia="楷体_GB2312" w:cs="楷体_GB2312"/>
          <w:b w:val="0"/>
          <w:bCs w:val="0"/>
          <w:color w:val="auto"/>
          <w:spacing w:val="0"/>
          <w:sz w:val="32"/>
          <w:szCs w:val="40"/>
          <w:highlight w:val="none"/>
          <w:lang w:val="en-US" w:eastAsia="zh-CN"/>
        </w:rPr>
        <w:t>和监督</w:t>
      </w:r>
      <w:bookmarkEnd w:id="1294"/>
      <w:bookmarkEnd w:id="1295"/>
      <w:bookmarkEnd w:id="1296"/>
    </w:p>
    <w:p w14:paraId="3791C623">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eastAsia="仿宋_GB2312" w:cs="方正仿宋_GBK"/>
          <w:b w:val="0"/>
          <w:bCs w:val="0"/>
          <w:color w:val="auto"/>
          <w:spacing w:val="0"/>
          <w:highlight w:val="none"/>
          <w:lang w:val="en-US" w:eastAsia="zh-CN"/>
        </w:rPr>
      </w:pPr>
      <w:r>
        <w:rPr>
          <w:rFonts w:hint="eastAsia" w:eastAsia="仿宋_GB2312" w:cs="方正仿宋_GBK"/>
          <w:b w:val="0"/>
          <w:bCs w:val="0"/>
          <w:color w:val="auto"/>
          <w:spacing w:val="0"/>
          <w:highlight w:val="none"/>
          <w:lang w:val="en-US" w:eastAsia="zh-CN"/>
        </w:rPr>
        <w:t>开展规划实施情况动态监测、中期评估和总结评估，根据监测评估情况及时提出加强和改进规划实施的政策举措。规划实施情况依法接受市人民代表大会及其常务委员会的监督。发挥纪检监察机关和审计机关等对规划实施的监督作用，健全跨地区跨部门重大任务落实协同监督机制。规划实施情况纳入各有关部门、地方领导班子和干部评价体系，作为改进政府工作的重要依据。</w:t>
      </w:r>
    </w:p>
    <w:p w14:paraId="5646D52C">
      <w:pPr>
        <w:pStyle w:val="43"/>
        <w:keepNext w:val="0"/>
        <w:keepLines w:val="0"/>
        <w:pageBreakBefore w:val="0"/>
        <w:shd w:val="clear" w:color="auto" w:fill="auto"/>
        <w:kinsoku/>
        <w:wordWrap/>
        <w:topLinePunct w:val="0"/>
        <w:autoSpaceDE/>
        <w:autoSpaceDN/>
        <w:bidi w:val="0"/>
        <w:adjustRightInd/>
        <w:spacing w:line="540" w:lineRule="exact"/>
        <w:textAlignment w:val="auto"/>
        <w:rPr>
          <w:rFonts w:hint="eastAsia" w:eastAsia="仿宋_GB2312" w:cs="方正仿宋_GBK"/>
          <w:b w:val="0"/>
          <w:bCs w:val="0"/>
          <w:color w:val="auto"/>
          <w:spacing w:val="0"/>
          <w:highlight w:val="none"/>
          <w:lang w:val="en-US" w:eastAsia="zh-CN"/>
        </w:rPr>
      </w:pPr>
      <w:r>
        <w:rPr>
          <w:rFonts w:hint="eastAsia" w:eastAsia="仿宋_GB2312" w:cs="方正仿宋_GBK"/>
          <w:b w:val="0"/>
          <w:bCs w:val="0"/>
          <w:color w:val="auto"/>
          <w:spacing w:val="0"/>
          <w:highlight w:val="none"/>
          <w:lang w:val="en-US" w:eastAsia="zh-CN"/>
        </w:rPr>
        <w:t>实现“十五五”规划目标，任务艰巨、责任重大、使命光荣，全市各族人民要更加紧密地团结在以习近平同志为核心的党中央周围，牢记嘱托、感恩奋进，守望相助、一往无前，为与全国一道基本实现社会主义现代化而共同奋斗，不断书写中国式现代化赤峰新篇章！</w:t>
      </w:r>
    </w:p>
    <w:p w14:paraId="011D6552"/>
    <w:sectPr>
      <w:footerReference r:id="rId17" w:type="default"/>
      <w:footerReference r:id="rId18" w:type="even"/>
      <w:pgSz w:w="11906" w:h="16838"/>
      <w:pgMar w:top="2098" w:right="1474" w:bottom="1984" w:left="1587" w:header="851" w:footer="992" w:gutter="0"/>
      <w:pgBorders>
        <w:top w:val="none" w:sz="0" w:space="0"/>
        <w:left w:val="none" w:sz="0" w:space="0"/>
        <w:bottom w:val="none" w:sz="0" w:space="0"/>
        <w:right w:val="none" w:sz="0" w:space="0"/>
      </w:pgBorders>
      <w:pgNumType w:fmt="numberInDash"/>
      <w:cols w:space="0" w:num="1"/>
      <w:rtlGutter w:val="0"/>
      <w:docGrid w:type="linesAndChars" w:linePitch="579" w:charSpace="-18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835C2132-0536-4A5B-B10F-E629E469C233}"/>
  </w:font>
  <w:font w:name="黑体">
    <w:panose1 w:val="02010609060101010101"/>
    <w:charset w:val="86"/>
    <w:family w:val="auto"/>
    <w:pitch w:val="default"/>
    <w:sig w:usb0="800002BF" w:usb1="38CF7CFA" w:usb2="00000016" w:usb3="00000000" w:csb0="00040001" w:csb1="00000000"/>
    <w:embedRegular r:id="rId2" w:fontKey="{C4334946-A030-4C29-9B1B-9E93263C8FE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33F31C72-E404-4C22-8B94-A692BF964DD3}"/>
  </w:font>
  <w:font w:name="等线 Light">
    <w:altName w:val="宋体"/>
    <w:panose1 w:val="02010600030101010101"/>
    <w:charset w:val="7A"/>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embedRegular r:id="rId4" w:fontKey="{504844E1-E06B-4437-B47D-B53EEBD634F2}"/>
  </w:font>
  <w:font w:name="等线">
    <w:altName w:val="宋体"/>
    <w:panose1 w:val="02010600030101010101"/>
    <w:charset w:val="7A"/>
    <w:family w:val="auto"/>
    <w:pitch w:val="default"/>
    <w:sig w:usb0="00000000" w:usb1="00000000" w:usb2="00000016" w:usb3="00000000" w:csb0="0004000F" w:csb1="00000000"/>
    <w:embedRegular r:id="rId5" w:fontKey="{5EC4D6E3-DBEE-4A34-959F-EBC501AF2C99}"/>
  </w:font>
  <w:font w:name="楷体">
    <w:panose1 w:val="02010609060101010101"/>
    <w:charset w:val="7A"/>
    <w:family w:val="modern"/>
    <w:pitch w:val="default"/>
    <w:sig w:usb0="800002BF" w:usb1="38CF7CFA" w:usb2="00000016" w:usb3="00000000" w:csb0="00040001" w:csb1="00000000"/>
  </w:font>
  <w:font w:name="Blues">
    <w:altName w:val="Segoe Print"/>
    <w:panose1 w:val="00000500000000000000"/>
    <w:charset w:val="00"/>
    <w:family w:val="auto"/>
    <w:pitch w:val="default"/>
    <w:sig w:usb0="00000000" w:usb1="00000000" w:usb2="00000000" w:usb3="00000000" w:csb0="00000011" w:csb1="00000000"/>
  </w:font>
  <w:font w:name="C059">
    <w:altName w:val="Segoe Print"/>
    <w:panose1 w:val="00000500000000000000"/>
    <w:charset w:val="00"/>
    <w:family w:val="auto"/>
    <w:pitch w:val="default"/>
    <w:sig w:usb0="00000000" w:usb1="00000000" w:usb2="00000000" w:usb3="00000000" w:csb0="6000009F" w:csb1="00000000"/>
  </w:font>
  <w:font w:name="方正仿宋_GB2312">
    <w:altName w:val="仿宋"/>
    <w:panose1 w:val="02000000000000000000"/>
    <w:charset w:val="7A"/>
    <w:family w:val="script"/>
    <w:pitch w:val="default"/>
    <w:sig w:usb0="00000000" w:usb1="00000000" w:usb2="00000012" w:usb3="00000000" w:csb0="00040001" w:csb1="00000000"/>
    <w:embedRegular r:id="rId6" w:fontKey="{111C27B3-2131-473D-8381-03B0EFE7D0B8}"/>
  </w:font>
  <w:font w:name="仿宋_GB2312">
    <w:panose1 w:val="02010609030101010101"/>
    <w:charset w:val="86"/>
    <w:family w:val="auto"/>
    <w:pitch w:val="default"/>
    <w:sig w:usb0="00000001" w:usb1="080E0000" w:usb2="00000000" w:usb3="00000000" w:csb0="00040000" w:csb1="00000000"/>
    <w:embedRegular r:id="rId7" w:fontKey="{08584390-D7AA-485F-88A9-5F2A5F9829DE}"/>
  </w:font>
  <w:font w:name="方正小标宋简体">
    <w:panose1 w:val="02000000000000000000"/>
    <w:charset w:val="86"/>
    <w:family w:val="auto"/>
    <w:pitch w:val="default"/>
    <w:sig w:usb0="A00002BF" w:usb1="184F6CFA" w:usb2="00000012" w:usb3="00000000" w:csb0="00040001" w:csb1="00000000"/>
    <w:embedRegular r:id="rId8" w:fontKey="{67DD4CFE-3684-4126-9E8A-F03FD5FEE406}"/>
  </w:font>
  <w:font w:name="方正仿宋_GBK">
    <w:altName w:val="Arial Unicode MS"/>
    <w:panose1 w:val="02000000000000000000"/>
    <w:charset w:val="86"/>
    <w:family w:val="auto"/>
    <w:pitch w:val="default"/>
    <w:sig w:usb0="00000000" w:usb1="00000000" w:usb2="00000000" w:usb3="00000000" w:csb0="00040000" w:csb1="00000000"/>
    <w:embedRegular r:id="rId9" w:fontKey="{E857091A-8913-4C2C-8B07-4C368CB886BD}"/>
  </w:font>
  <w:font w:name="方正小标宋_GBK">
    <w:altName w:val="Arial Unicode MS"/>
    <w:panose1 w:val="02000000000000000000"/>
    <w:charset w:val="86"/>
    <w:family w:val="auto"/>
    <w:pitch w:val="default"/>
    <w:sig w:usb0="00000000" w:usb1="00000000" w:usb2="00000000" w:usb3="00000000" w:csb0="00040000" w:csb1="00000000"/>
    <w:embedRegular r:id="rId10" w:fontKey="{52734D68-6378-4B16-B544-B016356D260D}"/>
  </w:font>
  <w:font w:name="楷体_GB2312">
    <w:panose1 w:val="02010609030101010101"/>
    <w:charset w:val="86"/>
    <w:family w:val="auto"/>
    <w:pitch w:val="default"/>
    <w:sig w:usb0="00000001" w:usb1="080E0000" w:usb2="00000000" w:usb3="00000000" w:csb0="00040000" w:csb1="00000000"/>
    <w:embedRegular r:id="rId11" w:fontKey="{D3DAF25B-D929-4C25-8977-B07890A101E7}"/>
  </w:font>
  <w:font w:name="方正楷体_GBK">
    <w:altName w:val="Arial Unicode MS"/>
    <w:panose1 w:val="02000000000000000000"/>
    <w:charset w:val="86"/>
    <w:family w:val="auto"/>
    <w:pitch w:val="default"/>
    <w:sig w:usb0="00000000" w:usb1="00000000" w:usb2="00000000" w:usb3="00000000" w:csb0="00040000" w:csb1="00000000"/>
    <w:embedRegular r:id="rId12" w:fontKey="{B9EF6624-AC63-4BCD-9DE9-24A25117A6D7}"/>
  </w:font>
  <w:font w:name="方正黑体_GBK">
    <w:altName w:val="Arial Unicode MS"/>
    <w:panose1 w:val="02000000000000000000"/>
    <w:charset w:val="86"/>
    <w:family w:val="auto"/>
    <w:pitch w:val="default"/>
    <w:sig w:usb0="00000000" w:usb1="00000000" w:usb2="00000000" w:usb3="00000000" w:csb0="00040000" w:csb1="00000000"/>
    <w:embedRegular r:id="rId13" w:fontKey="{20A2C993-D7A4-4DE0-9866-26837AFCB050}"/>
  </w:font>
  <w:font w:name="微软雅黑">
    <w:panose1 w:val="020B0503020204020204"/>
    <w:charset w:val="86"/>
    <w:family w:val="auto"/>
    <w:pitch w:val="default"/>
    <w:sig w:usb0="80000287" w:usb1="280F3C52" w:usb2="00000016" w:usb3="00000000" w:csb0="0004001F" w:csb1="00000000"/>
    <w:embedRegular r:id="rId14" w:fontKey="{0D47710E-3307-4563-B9EB-B801110CE018}"/>
  </w:font>
  <w:font w:name="Gulim">
    <w:panose1 w:val="020B0600000101010101"/>
    <w:charset w:val="81"/>
    <w:family w:val="auto"/>
    <w:pitch w:val="default"/>
    <w:sig w:usb0="B00002AF" w:usb1="69D77CFB" w:usb2="00000030" w:usb3="00000000" w:csb0="4008009F" w:csb1="DFD70000"/>
  </w:font>
  <w:font w:name="Segoe Print">
    <w:panose1 w:val="02000600000000000000"/>
    <w:charset w:val="00"/>
    <w:family w:val="auto"/>
    <w:pitch w:val="default"/>
    <w:sig w:usb0="0000028F" w:usb1="00000000" w:usb2="00000000" w:usb3="00000000" w:csb0="2000009F" w:csb1="4701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B420EF">
    <w:pPr>
      <w:pStyle w:val="15"/>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C6829C">
                          <w:pPr>
                            <w:pStyle w:val="15"/>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w:t>
                          </w:r>
                          <w:r>
                            <w:rPr>
                              <w:rFonts w:hint="eastAsia" w:asciiTheme="minorEastAsia" w:hAnsiTheme="minorEastAsia" w:eastAsiaTheme="minorEastAsia" w:cstheme="minor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4C6829C">
                    <w:pPr>
                      <w:pStyle w:val="15"/>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w:t>
                    </w:r>
                    <w:r>
                      <w:rPr>
                        <w:rFonts w:hint="eastAsia" w:asciiTheme="minorEastAsia" w:hAnsiTheme="minorEastAsia" w:eastAsiaTheme="minorEastAsia" w:cstheme="minorEastAsia"/>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3001D">
    <w:pPr>
      <w:pStyle w:val="15"/>
      <w:jc w:val="center"/>
      <w:rPr>
        <w:rFonts w:hint="eastAsia"/>
        <w:caps/>
        <w:color w:val="auto"/>
        <w:sz w:val="24"/>
        <w:szCs w:val="24"/>
      </w:rPr>
    </w:pPr>
    <w:r>
      <w:rPr>
        <w:sz w:val="24"/>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51D290">
                          <w:pPr>
                            <w:pStyle w:val="15"/>
                            <w:jc w:val="center"/>
                          </w:pPr>
                          <w:r>
                            <w:rPr>
                              <w:rFonts w:hint="default" w:ascii="Times New Roman" w:hAnsi="Times New Roman" w:cs="Times New Roman"/>
                              <w:caps/>
                              <w:color w:val="auto"/>
                              <w:sz w:val="28"/>
                              <w:szCs w:val="28"/>
                            </w:rPr>
                            <w:fldChar w:fldCharType="begin"/>
                          </w:r>
                          <w:r>
                            <w:rPr>
                              <w:rFonts w:hint="default" w:ascii="Times New Roman" w:hAnsi="Times New Roman" w:cs="Times New Roman"/>
                              <w:caps/>
                              <w:color w:val="auto"/>
                              <w:sz w:val="28"/>
                              <w:szCs w:val="28"/>
                            </w:rPr>
                            <w:instrText xml:space="preserve">PAGE   \* MERGEFORMAT</w:instrText>
                          </w:r>
                          <w:r>
                            <w:rPr>
                              <w:rFonts w:hint="default" w:ascii="Times New Roman" w:hAnsi="Times New Roman" w:cs="Times New Roman"/>
                              <w:caps/>
                              <w:color w:val="auto"/>
                              <w:sz w:val="28"/>
                              <w:szCs w:val="28"/>
                            </w:rPr>
                            <w:fldChar w:fldCharType="separate"/>
                          </w:r>
                          <w:r>
                            <w:rPr>
                              <w:rFonts w:hint="default" w:ascii="Times New Roman" w:hAnsi="Times New Roman" w:cs="Times New Roman"/>
                              <w:caps/>
                              <w:color w:val="auto"/>
                              <w:sz w:val="28"/>
                              <w:szCs w:val="28"/>
                              <w:lang w:val="zh-CN"/>
                            </w:rPr>
                            <w:t>2</w:t>
                          </w:r>
                          <w:r>
                            <w:rPr>
                              <w:rFonts w:hint="default" w:ascii="Times New Roman" w:hAnsi="Times New Roman" w:cs="Times New Roman"/>
                              <w:caps/>
                              <w:color w:val="auto"/>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4751D290">
                    <w:pPr>
                      <w:pStyle w:val="15"/>
                      <w:jc w:val="center"/>
                    </w:pPr>
                    <w:r>
                      <w:rPr>
                        <w:rFonts w:hint="default" w:ascii="Times New Roman" w:hAnsi="Times New Roman" w:cs="Times New Roman"/>
                        <w:caps/>
                        <w:color w:val="auto"/>
                        <w:sz w:val="28"/>
                        <w:szCs w:val="28"/>
                      </w:rPr>
                      <w:fldChar w:fldCharType="begin"/>
                    </w:r>
                    <w:r>
                      <w:rPr>
                        <w:rFonts w:hint="default" w:ascii="Times New Roman" w:hAnsi="Times New Roman" w:cs="Times New Roman"/>
                        <w:caps/>
                        <w:color w:val="auto"/>
                        <w:sz w:val="28"/>
                        <w:szCs w:val="28"/>
                      </w:rPr>
                      <w:instrText xml:space="preserve">PAGE   \* MERGEFORMAT</w:instrText>
                    </w:r>
                    <w:r>
                      <w:rPr>
                        <w:rFonts w:hint="default" w:ascii="Times New Roman" w:hAnsi="Times New Roman" w:cs="Times New Roman"/>
                        <w:caps/>
                        <w:color w:val="auto"/>
                        <w:sz w:val="28"/>
                        <w:szCs w:val="28"/>
                      </w:rPr>
                      <w:fldChar w:fldCharType="separate"/>
                    </w:r>
                    <w:r>
                      <w:rPr>
                        <w:rFonts w:hint="default" w:ascii="Times New Roman" w:hAnsi="Times New Roman" w:cs="Times New Roman"/>
                        <w:caps/>
                        <w:color w:val="auto"/>
                        <w:sz w:val="28"/>
                        <w:szCs w:val="28"/>
                        <w:lang w:val="zh-CN"/>
                      </w:rPr>
                      <w:t>2</w:t>
                    </w:r>
                    <w:r>
                      <w:rPr>
                        <w:rFonts w:hint="default" w:ascii="Times New Roman" w:hAnsi="Times New Roman" w:cs="Times New Roman"/>
                        <w:caps/>
                        <w:color w:val="auto"/>
                        <w:sz w:val="28"/>
                        <w:szCs w:val="28"/>
                      </w:rPr>
                      <w:fldChar w:fldCharType="end"/>
                    </w:r>
                  </w:p>
                </w:txbxContent>
              </v:textbox>
            </v:shape>
          </w:pict>
        </mc:Fallback>
      </mc:AlternateContent>
    </w:r>
  </w:p>
  <w:p w14:paraId="18C05FCF">
    <w:pPr>
      <w:pStyle w:val="15"/>
      <w:rPr>
        <w:rFonts w:hint="eastAsia"/>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DDEB3">
    <w:pPr>
      <w:pStyle w:val="15"/>
    </w:pPr>
    <w:r>
      <w:rPr>
        <w:sz w:val="2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E99B70">
                          <w:pPr>
                            <w:pStyle w:val="15"/>
                            <w:rPr>
                              <w:rFonts w:hint="eastAsia" w:eastAsia="宋体"/>
                              <w:lang w:eastAsia="zh-C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- 2 -</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18E99B70">
                    <w:pPr>
                      <w:pStyle w:val="15"/>
                      <w:rPr>
                        <w:rFonts w:hint="eastAsia" w:eastAsia="宋体"/>
                        <w:lang w:eastAsia="zh-C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- 2 -</w:t>
                    </w:r>
                    <w:r>
                      <w:rPr>
                        <w:rFonts w:hint="default" w:ascii="Times New Roman" w:hAnsi="Times New Roman" w:cs="Times New Roman"/>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94366">
    <w:pPr>
      <w:pStyle w:val="15"/>
      <w:tabs>
        <w:tab w:val="left" w:pos="7683"/>
      </w:tabs>
      <w:jc w:val="left"/>
      <w:rPr>
        <w:rFonts w:hint="eastAsia" w:eastAsia="宋体"/>
        <w:caps/>
        <w:color w:val="156082"/>
        <w:sz w:val="24"/>
        <w:szCs w:val="24"/>
        <w:lang w:eastAsia="zh-CN"/>
      </w:rPr>
    </w:pPr>
    <w:r>
      <w:rPr>
        <w:sz w:val="24"/>
      </w:rP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AA64C3">
                          <w:pPr>
                            <w:pStyle w:val="15"/>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- 5 -</w:t>
                          </w:r>
                          <w:r>
                            <w:rPr>
                              <w:rFonts w:hint="eastAsia" w:asciiTheme="minorEastAsia" w:hAnsiTheme="minorEastAsia" w:eastAsiaTheme="minorEastAsia" w:cstheme="minor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03AA64C3">
                    <w:pPr>
                      <w:pStyle w:val="15"/>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- 5 -</w:t>
                    </w:r>
                    <w:r>
                      <w:rPr>
                        <w:rFonts w:hint="eastAsia" w:asciiTheme="minorEastAsia" w:hAnsiTheme="minorEastAsia" w:eastAsiaTheme="minorEastAsia" w:cstheme="minorEastAsia"/>
                      </w:rPr>
                      <w:fldChar w:fldCharType="end"/>
                    </w:r>
                  </w:p>
                </w:txbxContent>
              </v:textbox>
            </v:shape>
          </w:pict>
        </mc:Fallback>
      </mc:AlternateContent>
    </w:r>
    <w:r>
      <w:rPr>
        <w:rFonts w:hint="eastAsia"/>
        <w:caps/>
        <w:color w:val="156082"/>
        <w:sz w:val="24"/>
        <w:szCs w:val="24"/>
        <w:lang w:eastAsia="zh-CN"/>
      </w:rPr>
      <w:tab/>
    </w:r>
    <w:r>
      <w:rPr>
        <w:rFonts w:hint="eastAsia"/>
        <w:caps/>
        <w:color w:val="156082"/>
        <w:sz w:val="24"/>
        <w:szCs w:val="24"/>
        <w:lang w:eastAsia="zh-CN"/>
      </w:rPr>
      <w:tab/>
    </w:r>
  </w:p>
  <w:p w14:paraId="0244818B">
    <w:pPr>
      <w:pStyle w:val="15"/>
      <w:rPr>
        <w:rFonts w:hint="eastAsia"/>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A80A8">
    <w:pPr>
      <w:pStyle w:val="15"/>
    </w:pPr>
    <w:r>
      <w:rPr>
        <w:sz w:val="28"/>
      </w:rP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85834F">
                          <w:pPr>
                            <w:pStyle w:val="15"/>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- 2 -</w:t>
                          </w:r>
                          <w:r>
                            <w:rPr>
                              <w:rFonts w:hint="eastAsia" w:asciiTheme="minorEastAsia" w:hAnsiTheme="minorEastAsia" w:eastAsiaTheme="minorEastAsia" w:cstheme="minor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6C85834F">
                    <w:pPr>
                      <w:pStyle w:val="15"/>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- 2 -</w:t>
                    </w:r>
                    <w:r>
                      <w:rPr>
                        <w:rFonts w:hint="eastAsia" w:asciiTheme="minorEastAsia" w:hAnsiTheme="minorEastAsia" w:eastAsiaTheme="minorEastAsia" w:cstheme="minorEastAsia"/>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9A6CF">
    <w:pPr>
      <w:pStyle w:val="15"/>
      <w:jc w:val="center"/>
      <w:rPr>
        <w:rFonts w:hint="eastAsia"/>
        <w:caps/>
        <w:color w:val="156082"/>
        <w:sz w:val="24"/>
        <w:szCs w:val="24"/>
      </w:rPr>
    </w:pPr>
    <w:r>
      <w:rPr>
        <w:sz w:val="24"/>
      </w:rPr>
      <mc:AlternateContent>
        <mc:Choice Requires="wps">
          <w:drawing>
            <wp:anchor distT="0" distB="0" distL="114300" distR="114300" simplePos="0" relativeHeight="25167257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EE2B35">
                          <w:pPr>
                            <w:pStyle w:val="15"/>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72EE2B35">
                    <w:pPr>
                      <w:pStyle w:val="15"/>
                    </w:pPr>
                    <w:r>
                      <w:fldChar w:fldCharType="begin"/>
                    </w:r>
                    <w:r>
                      <w:instrText xml:space="preserve"> PAGE  \* MERGEFORMAT </w:instrText>
                    </w:r>
                    <w:r>
                      <w:fldChar w:fldCharType="separate"/>
                    </w:r>
                    <w:r>
                      <w:t>- 1 -</w:t>
                    </w:r>
                    <w:r>
                      <w:fldChar w:fldCharType="end"/>
                    </w:r>
                  </w:p>
                </w:txbxContent>
              </v:textbox>
            </v:shape>
          </w:pict>
        </mc:Fallback>
      </mc:AlternateContent>
    </w:r>
  </w:p>
  <w:p w14:paraId="79608F04">
    <w:pPr>
      <w:pStyle w:val="15"/>
      <w:rPr>
        <w:rFonts w:hint="eastAsia"/>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DC58E">
    <w:pPr>
      <w:pStyle w:val="15"/>
    </w:pPr>
    <w:r>
      <w:rPr>
        <w:sz w:val="28"/>
      </w:rPr>
      <mc:AlternateContent>
        <mc:Choice Requires="wps">
          <w:drawing>
            <wp:anchor distT="0" distB="0" distL="114300" distR="114300" simplePos="0" relativeHeight="25167360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5C1960">
                          <w:pPr>
                            <w:pStyle w:val="15"/>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- 21 -</w:t>
                          </w:r>
                          <w:r>
                            <w:rPr>
                              <w:rFonts w:hint="eastAsia" w:asciiTheme="minorEastAsia" w:hAnsiTheme="minorEastAsia" w:eastAsiaTheme="minorEastAsia" w:cstheme="minor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545C1960">
                    <w:pPr>
                      <w:pStyle w:val="15"/>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- 21 -</w:t>
                    </w:r>
                    <w:r>
                      <w:rPr>
                        <w:rFonts w:hint="eastAsia" w:asciiTheme="minorEastAsia" w:hAnsiTheme="minorEastAsia" w:eastAsiaTheme="minorEastAsia" w:cstheme="minorEastAsia"/>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67D63">
    <w:pPr>
      <w:pStyle w:val="15"/>
    </w:pPr>
    <w:r>
      <w:rPr>
        <w:sz w:val="28"/>
      </w:rPr>
      <mc:AlternateContent>
        <mc:Choice Requires="wps">
          <w:drawing>
            <wp:anchor distT="0" distB="0" distL="114300" distR="114300" simplePos="0" relativeHeight="25167462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632566">
                          <w:pPr>
                            <w:pStyle w:val="15"/>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- 22 -</w:t>
                          </w:r>
                          <w:r>
                            <w:rPr>
                              <w:rFonts w:hint="eastAsia" w:asciiTheme="minorEastAsia" w:hAnsiTheme="minorEastAsia" w:eastAsiaTheme="minorEastAsia" w:cstheme="minor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06632566">
                    <w:pPr>
                      <w:pStyle w:val="15"/>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- 22 -</w:t>
                    </w:r>
                    <w:r>
                      <w:rPr>
                        <w:rFonts w:hint="eastAsia" w:asciiTheme="minorEastAsia" w:hAnsiTheme="minorEastAsia" w:eastAsiaTheme="minorEastAsia" w:cstheme="minor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C2BFC">
    <w:pPr>
      <w:pStyle w:val="15"/>
    </w:pPr>
    <w:r>
      <w:rPr>
        <w:sz w:val="2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ECA395">
                          <w:pPr>
                            <w:pStyle w:val="15"/>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- 2 -</w:t>
                          </w:r>
                          <w:r>
                            <w:rPr>
                              <w:rFonts w:hint="eastAsia" w:asciiTheme="minorEastAsia" w:hAnsiTheme="minorEastAsia" w:eastAsiaTheme="minorEastAsia" w:cstheme="minor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2AECA395">
                    <w:pPr>
                      <w:pStyle w:val="15"/>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- 2 -</w:t>
                    </w:r>
                    <w:r>
                      <w:rPr>
                        <w:rFonts w:hint="eastAsia" w:asciiTheme="minorEastAsia" w:hAnsiTheme="minorEastAsia" w:eastAsiaTheme="minorEastAsia" w:cstheme="minor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DAB5D">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9BB88">
    <w:pPr>
      <w:pStyle w:val="1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A4F6F">
    <w:pPr>
      <w:pStyle w:val="15"/>
      <w:jc w:val="center"/>
      <w:rPr>
        <w:rFonts w:hint="eastAsia"/>
        <w:caps/>
        <w:color w:val="auto"/>
        <w:sz w:val="24"/>
        <w:szCs w:val="24"/>
      </w:rPr>
    </w:pPr>
    <w:r>
      <w:rPr>
        <w:sz w:val="24"/>
      </w:rPr>
      <mc:AlternateContent>
        <mc:Choice Requires="wps">
          <w:drawing>
            <wp:anchor distT="0" distB="0" distL="114300" distR="114300" simplePos="0" relativeHeight="251661312" behindDoc="0" locked="0" layoutInCell="1" allowOverlap="1">
              <wp:simplePos x="0" y="0"/>
              <wp:positionH relativeFrom="margin">
                <wp:posOffset>5177155</wp:posOffset>
              </wp:positionH>
              <wp:positionV relativeFrom="paragraph">
                <wp:posOffset>137795</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92C509">
                          <w:pPr>
                            <w:pStyle w:val="15"/>
                            <w:jc w:val="center"/>
                          </w:pPr>
                          <w:r>
                            <w:rPr>
                              <w:rFonts w:hint="default" w:ascii="Times New Roman" w:hAnsi="Times New Roman" w:cs="Times New Roman"/>
                              <w:caps/>
                              <w:color w:val="auto"/>
                              <w:sz w:val="28"/>
                              <w:szCs w:val="28"/>
                            </w:rPr>
                            <w:fldChar w:fldCharType="begin"/>
                          </w:r>
                          <w:r>
                            <w:rPr>
                              <w:rFonts w:hint="default" w:ascii="Times New Roman" w:hAnsi="Times New Roman" w:cs="Times New Roman"/>
                              <w:caps/>
                              <w:color w:val="auto"/>
                              <w:sz w:val="28"/>
                              <w:szCs w:val="28"/>
                            </w:rPr>
                            <w:instrText xml:space="preserve">PAGE   \* MERGEFORMAT</w:instrText>
                          </w:r>
                          <w:r>
                            <w:rPr>
                              <w:rFonts w:hint="default" w:ascii="Times New Roman" w:hAnsi="Times New Roman" w:cs="Times New Roman"/>
                              <w:caps/>
                              <w:color w:val="auto"/>
                              <w:sz w:val="28"/>
                              <w:szCs w:val="28"/>
                            </w:rPr>
                            <w:fldChar w:fldCharType="separate"/>
                          </w:r>
                          <w:r>
                            <w:rPr>
                              <w:rFonts w:hint="default" w:ascii="Times New Roman" w:hAnsi="Times New Roman" w:cs="Times New Roman"/>
                              <w:caps/>
                              <w:color w:val="auto"/>
                              <w:sz w:val="28"/>
                              <w:szCs w:val="28"/>
                              <w:lang w:val="zh-CN"/>
                            </w:rPr>
                            <w:t>2</w:t>
                          </w:r>
                          <w:r>
                            <w:rPr>
                              <w:rFonts w:hint="default" w:ascii="Times New Roman" w:hAnsi="Times New Roman" w:cs="Times New Roman"/>
                              <w:caps/>
                              <w:color w:val="auto"/>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07.65pt;margin-top:10.85pt;height:144pt;width:144pt;mso-position-horizontal-relative:margin;mso-wrap-style:none;z-index:251661312;mso-width-relative:page;mso-height-relative:page;" filled="f" stroked="f" coordsize="21600,21600" o:gfxdata="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CNpbinYAAAACwEAAA8AAAAAAAAAAQAgAAAAIgAAAGRycy9kb3ducmV2Lnht&#10;bFBLAQIUABQAAAAIAIdO4kD1i4dkMgIAAGEEAAAOAAAAAAAAAAEAIAAAACcBAABkcnMvZTJvRG9j&#10;LnhtbFBLBQYAAAAABgAGAFkBAADLBQAAAAA=&#10;">
              <v:fill on="f" focussize="0,0"/>
              <v:stroke on="f" weight="0.5pt"/>
              <v:imagedata o:title=""/>
              <o:lock v:ext="edit" aspectratio="f"/>
              <v:textbox inset="0mm,0mm,0mm,0mm" style="mso-fit-shape-to-text:t;">
                <w:txbxContent>
                  <w:p w14:paraId="3692C509">
                    <w:pPr>
                      <w:pStyle w:val="15"/>
                      <w:jc w:val="center"/>
                    </w:pPr>
                    <w:r>
                      <w:rPr>
                        <w:rFonts w:hint="default" w:ascii="Times New Roman" w:hAnsi="Times New Roman" w:cs="Times New Roman"/>
                        <w:caps/>
                        <w:color w:val="auto"/>
                        <w:sz w:val="28"/>
                        <w:szCs w:val="28"/>
                      </w:rPr>
                      <w:fldChar w:fldCharType="begin"/>
                    </w:r>
                    <w:r>
                      <w:rPr>
                        <w:rFonts w:hint="default" w:ascii="Times New Roman" w:hAnsi="Times New Roman" w:cs="Times New Roman"/>
                        <w:caps/>
                        <w:color w:val="auto"/>
                        <w:sz w:val="28"/>
                        <w:szCs w:val="28"/>
                      </w:rPr>
                      <w:instrText xml:space="preserve">PAGE   \* MERGEFORMAT</w:instrText>
                    </w:r>
                    <w:r>
                      <w:rPr>
                        <w:rFonts w:hint="default" w:ascii="Times New Roman" w:hAnsi="Times New Roman" w:cs="Times New Roman"/>
                        <w:caps/>
                        <w:color w:val="auto"/>
                        <w:sz w:val="28"/>
                        <w:szCs w:val="28"/>
                      </w:rPr>
                      <w:fldChar w:fldCharType="separate"/>
                    </w:r>
                    <w:r>
                      <w:rPr>
                        <w:rFonts w:hint="default" w:ascii="Times New Roman" w:hAnsi="Times New Roman" w:cs="Times New Roman"/>
                        <w:caps/>
                        <w:color w:val="auto"/>
                        <w:sz w:val="28"/>
                        <w:szCs w:val="28"/>
                        <w:lang w:val="zh-CN"/>
                      </w:rPr>
                      <w:t>2</w:t>
                    </w:r>
                    <w:r>
                      <w:rPr>
                        <w:rFonts w:hint="default" w:ascii="Times New Roman" w:hAnsi="Times New Roman" w:cs="Times New Roman"/>
                        <w:caps/>
                        <w:color w:val="auto"/>
                        <w:sz w:val="28"/>
                        <w:szCs w:val="28"/>
                      </w:rPr>
                      <w:fldChar w:fldCharType="end"/>
                    </w:r>
                  </w:p>
                </w:txbxContent>
              </v:textbox>
            </v:shape>
          </w:pict>
        </mc:Fallback>
      </mc:AlternateContent>
    </w:r>
  </w:p>
  <w:p w14:paraId="617B55AB">
    <w:pPr>
      <w:pStyle w:val="15"/>
      <w:rPr>
        <w:rFonts w:hint="eastAsi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FD75C">
    <w:pPr>
      <w:pStyle w:val="15"/>
      <w:jc w:val="center"/>
      <w:rPr>
        <w:rFonts w:hint="eastAsia"/>
        <w:caps/>
        <w:color w:val="auto"/>
        <w:sz w:val="24"/>
        <w:szCs w:val="24"/>
      </w:rPr>
    </w:pPr>
    <w:r>
      <w:rPr>
        <w:sz w:val="24"/>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177FA4">
                          <w:pPr>
                            <w:pStyle w:val="15"/>
                            <w:jc w:val="center"/>
                          </w:pPr>
                          <w:r>
                            <w:rPr>
                              <w:rFonts w:hint="default" w:ascii="Times New Roman" w:hAnsi="Times New Roman" w:cs="Times New Roman"/>
                              <w:caps/>
                              <w:color w:val="auto"/>
                              <w:sz w:val="28"/>
                              <w:szCs w:val="28"/>
                            </w:rPr>
                            <w:fldChar w:fldCharType="begin"/>
                          </w:r>
                          <w:r>
                            <w:rPr>
                              <w:rFonts w:hint="default" w:ascii="Times New Roman" w:hAnsi="Times New Roman" w:cs="Times New Roman"/>
                              <w:caps/>
                              <w:color w:val="auto"/>
                              <w:sz w:val="28"/>
                              <w:szCs w:val="28"/>
                            </w:rPr>
                            <w:instrText xml:space="preserve">PAGE   \* MERGEFORMAT</w:instrText>
                          </w:r>
                          <w:r>
                            <w:rPr>
                              <w:rFonts w:hint="default" w:ascii="Times New Roman" w:hAnsi="Times New Roman" w:cs="Times New Roman"/>
                              <w:caps/>
                              <w:color w:val="auto"/>
                              <w:sz w:val="28"/>
                              <w:szCs w:val="28"/>
                            </w:rPr>
                            <w:fldChar w:fldCharType="separate"/>
                          </w:r>
                          <w:r>
                            <w:rPr>
                              <w:rFonts w:hint="default" w:ascii="Times New Roman" w:hAnsi="Times New Roman" w:cs="Times New Roman"/>
                              <w:caps/>
                              <w:color w:val="auto"/>
                              <w:sz w:val="28"/>
                              <w:szCs w:val="28"/>
                              <w:lang w:val="zh-CN"/>
                            </w:rPr>
                            <w:t>2</w:t>
                          </w:r>
                          <w:r>
                            <w:rPr>
                              <w:rFonts w:hint="default" w:ascii="Times New Roman" w:hAnsi="Times New Roman" w:cs="Times New Roman"/>
                              <w:caps/>
                              <w:color w:val="auto"/>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8177FA4">
                    <w:pPr>
                      <w:pStyle w:val="15"/>
                      <w:jc w:val="center"/>
                    </w:pPr>
                    <w:r>
                      <w:rPr>
                        <w:rFonts w:hint="default" w:ascii="Times New Roman" w:hAnsi="Times New Roman" w:cs="Times New Roman"/>
                        <w:caps/>
                        <w:color w:val="auto"/>
                        <w:sz w:val="28"/>
                        <w:szCs w:val="28"/>
                      </w:rPr>
                      <w:fldChar w:fldCharType="begin"/>
                    </w:r>
                    <w:r>
                      <w:rPr>
                        <w:rFonts w:hint="default" w:ascii="Times New Roman" w:hAnsi="Times New Roman" w:cs="Times New Roman"/>
                        <w:caps/>
                        <w:color w:val="auto"/>
                        <w:sz w:val="28"/>
                        <w:szCs w:val="28"/>
                      </w:rPr>
                      <w:instrText xml:space="preserve">PAGE   \* MERGEFORMAT</w:instrText>
                    </w:r>
                    <w:r>
                      <w:rPr>
                        <w:rFonts w:hint="default" w:ascii="Times New Roman" w:hAnsi="Times New Roman" w:cs="Times New Roman"/>
                        <w:caps/>
                        <w:color w:val="auto"/>
                        <w:sz w:val="28"/>
                        <w:szCs w:val="28"/>
                      </w:rPr>
                      <w:fldChar w:fldCharType="separate"/>
                    </w:r>
                    <w:r>
                      <w:rPr>
                        <w:rFonts w:hint="default" w:ascii="Times New Roman" w:hAnsi="Times New Roman" w:cs="Times New Roman"/>
                        <w:caps/>
                        <w:color w:val="auto"/>
                        <w:sz w:val="28"/>
                        <w:szCs w:val="28"/>
                        <w:lang w:val="zh-CN"/>
                      </w:rPr>
                      <w:t>2</w:t>
                    </w:r>
                    <w:r>
                      <w:rPr>
                        <w:rFonts w:hint="default" w:ascii="Times New Roman" w:hAnsi="Times New Roman" w:cs="Times New Roman"/>
                        <w:caps/>
                        <w:color w:val="auto"/>
                        <w:sz w:val="28"/>
                        <w:szCs w:val="28"/>
                      </w:rPr>
                      <w:fldChar w:fldCharType="end"/>
                    </w:r>
                  </w:p>
                </w:txbxContent>
              </v:textbox>
            </v:shape>
          </w:pict>
        </mc:Fallback>
      </mc:AlternateContent>
    </w:r>
  </w:p>
  <w:p w14:paraId="7C9D88A3">
    <w:pPr>
      <w:pStyle w:val="15"/>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88DB2">
    <w:pPr>
      <w:pStyle w:val="15"/>
    </w:pPr>
    <w:r>
      <w:rPr>
        <w:sz w:val="2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E7C1F">
                          <w:pPr>
                            <w:pStyle w:val="15"/>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- 2 -</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5F7E7C1F">
                    <w:pPr>
                      <w:pStyle w:val="15"/>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- 2 -</w:t>
                    </w:r>
                    <w:r>
                      <w:rPr>
                        <w:rFonts w:hint="default" w:ascii="Times New Roman" w:hAnsi="Times New Roman" w:cs="Times New Roma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08747">
    <w:pPr>
      <w:pStyle w:val="15"/>
      <w:jc w:val="center"/>
      <w:rPr>
        <w:rFonts w:hint="eastAsia"/>
        <w:caps/>
        <w:color w:val="auto"/>
        <w:sz w:val="24"/>
        <w:szCs w:val="24"/>
      </w:rPr>
    </w:pPr>
    <w:r>
      <w:rPr>
        <w:sz w:val="24"/>
      </w:rPr>
      <mc:AlternateContent>
        <mc:Choice Requires="wps">
          <w:drawing>
            <wp:anchor distT="0" distB="0" distL="114300" distR="114300" simplePos="0" relativeHeight="251668480" behindDoc="0" locked="0" layoutInCell="1" allowOverlap="1">
              <wp:simplePos x="0" y="0"/>
              <wp:positionH relativeFrom="margin">
                <wp:posOffset>5090795</wp:posOffset>
              </wp:positionH>
              <wp:positionV relativeFrom="paragraph">
                <wp:posOffset>147955</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7AAD5E">
                          <w:pPr>
                            <w:pStyle w:val="15"/>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- 3 -</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00.85pt;margin-top:11.65pt;height:144pt;width:144pt;mso-position-horizontal-relative:margin;mso-wrap-style:none;z-index:251668480;mso-width-relative:page;mso-height-relative:page;" filled="f" stroked="f" coordsize="21600,21600" o:gfxdata="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vgFDO9cAAAALAQAADwAAAAAAAAABACAAAAAiAAAAZHJzL2Rvd25yZXYueG1s&#10;UEsBAhQAFAAAAAgAh07iQOZTTZkyAgAAYwQAAA4AAAAAAAAAAQAgAAAAJgEAAGRycy9lMm9Eb2Mu&#10;eG1sUEsFBgAAAAAGAAYAWQEAAMoFAAAAAA==&#10;">
              <v:fill on="f" focussize="0,0"/>
              <v:stroke on="f" weight="0.5pt"/>
              <v:imagedata o:title=""/>
              <o:lock v:ext="edit" aspectratio="f"/>
              <v:textbox inset="0mm,0mm,0mm,0mm" style="mso-fit-shape-to-text:t;">
                <w:txbxContent>
                  <w:p w14:paraId="217AAD5E">
                    <w:pPr>
                      <w:pStyle w:val="15"/>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- 3 -</w:t>
                    </w:r>
                    <w:r>
                      <w:rPr>
                        <w:rFonts w:hint="default" w:ascii="Times New Roman" w:hAnsi="Times New Roman" w:cs="Times New Roman"/>
                      </w:rPr>
                      <w:fldChar w:fldCharType="end"/>
                    </w:r>
                  </w:p>
                </w:txbxContent>
              </v:textbox>
            </v:shape>
          </w:pict>
        </mc:Fallback>
      </mc:AlternateContent>
    </w:r>
  </w:p>
  <w:p w14:paraId="175AA938">
    <w:pPr>
      <w:pStyle w:val="15"/>
      <w:rPr>
        <w:rFonts w:hint="eastAsia"/>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3FCA0">
    <w:pPr>
      <w:pStyle w:val="15"/>
    </w:pPr>
    <w:r>
      <w:rPr>
        <w:sz w:val="2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FAA1F3">
                          <w:pPr>
                            <w:pStyle w:val="15"/>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2DFAA1F3">
                    <w:pPr>
                      <w:pStyle w:val="15"/>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CB63AB"/>
    <w:multiLevelType w:val="singleLevel"/>
    <w:tmpl w:val="82CB63AB"/>
    <w:lvl w:ilvl="0" w:tentative="0">
      <w:start w:val="1"/>
      <w:numFmt w:val="chineseCounting"/>
      <w:suff w:val="space"/>
      <w:lvlText w:val="第%1节"/>
      <w:lvlJc w:val="left"/>
      <w:rPr>
        <w:rFonts w:hint="eastAsia"/>
      </w:rPr>
    </w:lvl>
  </w:abstractNum>
  <w:abstractNum w:abstractNumId="1">
    <w:nsid w:val="898D7656"/>
    <w:multiLevelType w:val="singleLevel"/>
    <w:tmpl w:val="898D7656"/>
    <w:lvl w:ilvl="0" w:tentative="0">
      <w:start w:val="1"/>
      <w:numFmt w:val="chineseCounting"/>
      <w:suff w:val="space"/>
      <w:lvlText w:val="第%1节"/>
      <w:lvlJc w:val="left"/>
      <w:rPr>
        <w:rFonts w:hint="eastAsia"/>
      </w:rPr>
    </w:lvl>
  </w:abstractNum>
  <w:abstractNum w:abstractNumId="2">
    <w:nsid w:val="8C3D38AD"/>
    <w:multiLevelType w:val="singleLevel"/>
    <w:tmpl w:val="8C3D38AD"/>
    <w:lvl w:ilvl="0" w:tentative="0">
      <w:start w:val="1"/>
      <w:numFmt w:val="chineseCounting"/>
      <w:suff w:val="space"/>
      <w:lvlText w:val="第%1节"/>
      <w:lvlJc w:val="left"/>
      <w:rPr>
        <w:rFonts w:hint="eastAsia"/>
      </w:rPr>
    </w:lvl>
  </w:abstractNum>
  <w:abstractNum w:abstractNumId="3">
    <w:nsid w:val="99D407F4"/>
    <w:multiLevelType w:val="singleLevel"/>
    <w:tmpl w:val="99D407F4"/>
    <w:lvl w:ilvl="0" w:tentative="0">
      <w:start w:val="1"/>
      <w:numFmt w:val="chineseCounting"/>
      <w:suff w:val="space"/>
      <w:lvlText w:val="第%1节"/>
      <w:lvlJc w:val="left"/>
      <w:rPr>
        <w:rFonts w:hint="eastAsia"/>
      </w:rPr>
    </w:lvl>
  </w:abstractNum>
  <w:abstractNum w:abstractNumId="4">
    <w:nsid w:val="B97A9297"/>
    <w:multiLevelType w:val="singleLevel"/>
    <w:tmpl w:val="B97A9297"/>
    <w:lvl w:ilvl="0" w:tentative="0">
      <w:start w:val="1"/>
      <w:numFmt w:val="chineseCounting"/>
      <w:suff w:val="space"/>
      <w:lvlText w:val="第%1篇"/>
      <w:lvlJc w:val="left"/>
      <w:rPr>
        <w:rFonts w:hint="eastAsia"/>
      </w:rPr>
    </w:lvl>
  </w:abstractNum>
  <w:abstractNum w:abstractNumId="5">
    <w:nsid w:val="BB7CB836"/>
    <w:multiLevelType w:val="singleLevel"/>
    <w:tmpl w:val="BB7CB836"/>
    <w:lvl w:ilvl="0" w:tentative="0">
      <w:start w:val="1"/>
      <w:numFmt w:val="chineseCounting"/>
      <w:suff w:val="space"/>
      <w:lvlText w:val="第%1节"/>
      <w:lvlJc w:val="left"/>
      <w:rPr>
        <w:rFonts w:hint="eastAsia"/>
      </w:rPr>
    </w:lvl>
  </w:abstractNum>
  <w:abstractNum w:abstractNumId="6">
    <w:nsid w:val="BD4D09AF"/>
    <w:multiLevelType w:val="singleLevel"/>
    <w:tmpl w:val="BD4D09AF"/>
    <w:lvl w:ilvl="0" w:tentative="0">
      <w:start w:val="1"/>
      <w:numFmt w:val="chineseCounting"/>
      <w:suff w:val="space"/>
      <w:lvlText w:val="第%1节"/>
      <w:lvlJc w:val="left"/>
      <w:rPr>
        <w:rFonts w:hint="eastAsia"/>
      </w:rPr>
    </w:lvl>
  </w:abstractNum>
  <w:abstractNum w:abstractNumId="7">
    <w:nsid w:val="BEEE617A"/>
    <w:multiLevelType w:val="singleLevel"/>
    <w:tmpl w:val="BEEE617A"/>
    <w:lvl w:ilvl="0" w:tentative="0">
      <w:start w:val="1"/>
      <w:numFmt w:val="chineseCounting"/>
      <w:suff w:val="space"/>
      <w:lvlText w:val="第%1节"/>
      <w:lvlJc w:val="left"/>
      <w:rPr>
        <w:rFonts w:hint="eastAsia"/>
      </w:rPr>
    </w:lvl>
  </w:abstractNum>
  <w:abstractNum w:abstractNumId="8">
    <w:nsid w:val="BF14B320"/>
    <w:multiLevelType w:val="singleLevel"/>
    <w:tmpl w:val="BF14B320"/>
    <w:lvl w:ilvl="0" w:tentative="0">
      <w:start w:val="1"/>
      <w:numFmt w:val="chineseCounting"/>
      <w:suff w:val="space"/>
      <w:lvlText w:val="第%1节"/>
      <w:lvlJc w:val="left"/>
      <w:rPr>
        <w:rFonts w:hint="eastAsia"/>
      </w:rPr>
    </w:lvl>
  </w:abstractNum>
  <w:abstractNum w:abstractNumId="9">
    <w:nsid w:val="C4E7B580"/>
    <w:multiLevelType w:val="singleLevel"/>
    <w:tmpl w:val="C4E7B580"/>
    <w:lvl w:ilvl="0" w:tentative="0">
      <w:start w:val="1"/>
      <w:numFmt w:val="chineseCounting"/>
      <w:suff w:val="space"/>
      <w:lvlText w:val="第%1节"/>
      <w:lvlJc w:val="left"/>
      <w:rPr>
        <w:rFonts w:hint="eastAsia"/>
      </w:rPr>
    </w:lvl>
  </w:abstractNum>
  <w:abstractNum w:abstractNumId="10">
    <w:nsid w:val="F414E136"/>
    <w:multiLevelType w:val="singleLevel"/>
    <w:tmpl w:val="F414E136"/>
    <w:lvl w:ilvl="0" w:tentative="0">
      <w:start w:val="1"/>
      <w:numFmt w:val="chineseCounting"/>
      <w:suff w:val="space"/>
      <w:lvlText w:val="第%1章"/>
      <w:lvlJc w:val="left"/>
      <w:rPr>
        <w:rFonts w:hint="eastAsia"/>
      </w:rPr>
    </w:lvl>
  </w:abstractNum>
  <w:abstractNum w:abstractNumId="11">
    <w:nsid w:val="FDB730FF"/>
    <w:multiLevelType w:val="singleLevel"/>
    <w:tmpl w:val="FDB730FF"/>
    <w:lvl w:ilvl="0" w:tentative="0">
      <w:start w:val="1"/>
      <w:numFmt w:val="chineseCounting"/>
      <w:suff w:val="space"/>
      <w:lvlText w:val="第%1节"/>
      <w:lvlJc w:val="left"/>
      <w:rPr>
        <w:rFonts w:hint="eastAsia"/>
      </w:rPr>
    </w:lvl>
  </w:abstractNum>
  <w:abstractNum w:abstractNumId="12">
    <w:nsid w:val="0D8761FA"/>
    <w:multiLevelType w:val="singleLevel"/>
    <w:tmpl w:val="0D8761FA"/>
    <w:lvl w:ilvl="0" w:tentative="0">
      <w:start w:val="1"/>
      <w:numFmt w:val="chineseCounting"/>
      <w:suff w:val="space"/>
      <w:lvlText w:val="第%1节"/>
      <w:lvlJc w:val="left"/>
      <w:rPr>
        <w:rFonts w:hint="eastAsia"/>
      </w:rPr>
    </w:lvl>
  </w:abstractNum>
  <w:abstractNum w:abstractNumId="13">
    <w:nsid w:val="1F188773"/>
    <w:multiLevelType w:val="singleLevel"/>
    <w:tmpl w:val="1F188773"/>
    <w:lvl w:ilvl="0" w:tentative="0">
      <w:start w:val="1"/>
      <w:numFmt w:val="chineseCounting"/>
      <w:suff w:val="space"/>
      <w:lvlText w:val="第%1节"/>
      <w:lvlJc w:val="left"/>
      <w:rPr>
        <w:rFonts w:hint="eastAsia"/>
      </w:rPr>
    </w:lvl>
  </w:abstractNum>
  <w:abstractNum w:abstractNumId="14">
    <w:nsid w:val="7A70C1F0"/>
    <w:multiLevelType w:val="singleLevel"/>
    <w:tmpl w:val="7A70C1F0"/>
    <w:lvl w:ilvl="0" w:tentative="0">
      <w:start w:val="1"/>
      <w:numFmt w:val="chineseCounting"/>
      <w:suff w:val="space"/>
      <w:lvlText w:val="第%1节"/>
      <w:lvlJc w:val="left"/>
      <w:rPr>
        <w:rFonts w:hint="eastAsia"/>
      </w:rPr>
    </w:lvl>
  </w:abstractNum>
  <w:num w:numId="1">
    <w:abstractNumId w:val="4"/>
  </w:num>
  <w:num w:numId="2">
    <w:abstractNumId w:val="10"/>
  </w:num>
  <w:num w:numId="3">
    <w:abstractNumId w:val="7"/>
  </w:num>
  <w:num w:numId="4">
    <w:abstractNumId w:val="2"/>
  </w:num>
  <w:num w:numId="5">
    <w:abstractNumId w:val="12"/>
  </w:num>
  <w:num w:numId="6">
    <w:abstractNumId w:val="14"/>
  </w:num>
  <w:num w:numId="7">
    <w:abstractNumId w:val="6"/>
  </w:num>
  <w:num w:numId="8">
    <w:abstractNumId w:val="11"/>
  </w:num>
  <w:num w:numId="9">
    <w:abstractNumId w:val="3"/>
  </w:num>
  <w:num w:numId="10">
    <w:abstractNumId w:val="5"/>
  </w:num>
  <w:num w:numId="11">
    <w:abstractNumId w:val="9"/>
  </w:num>
  <w:num w:numId="12">
    <w:abstractNumId w:val="1"/>
  </w:num>
  <w:num w:numId="13">
    <w:abstractNumId w:val="8"/>
  </w:num>
  <w:num w:numId="14">
    <w:abstractNumId w:val="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formatting="1" w:enforcement="0"/>
  <w:defaultTabStop w:val="419"/>
  <w:hyphenationZone w:val="360"/>
  <w:evenAndOddHeaders w:val="1"/>
  <w:drawingGridHorizontalSpacing w:val="101"/>
  <w:drawingGridVerticalSpacing w:val="290"/>
  <w:displayHorizontalDrawingGridEvery w:val="2"/>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2NmJiY2ZjNDQ3YWY5ZGVjMzYxMmY2MWJhNmE3MGIifQ=="/>
    <w:docVar w:name="KSO_WPS_MARK_KEY" w:val="192c9a9d-5b7a-4b75-aa69-3479dff94aa9"/>
  </w:docVars>
  <w:rsids>
    <w:rsidRoot w:val="00000000"/>
    <w:rsid w:val="010073E9"/>
    <w:rsid w:val="03F070F9"/>
    <w:rsid w:val="14F01574"/>
    <w:rsid w:val="15DBE405"/>
    <w:rsid w:val="1668710C"/>
    <w:rsid w:val="17DA7A45"/>
    <w:rsid w:val="1AAF069A"/>
    <w:rsid w:val="1E7F74DE"/>
    <w:rsid w:val="1F516B5B"/>
    <w:rsid w:val="200941DE"/>
    <w:rsid w:val="20DF5D75"/>
    <w:rsid w:val="211E76E3"/>
    <w:rsid w:val="21303A2F"/>
    <w:rsid w:val="22843ED3"/>
    <w:rsid w:val="248B798D"/>
    <w:rsid w:val="25CC020C"/>
    <w:rsid w:val="27AA20E3"/>
    <w:rsid w:val="2D780D39"/>
    <w:rsid w:val="2F91428E"/>
    <w:rsid w:val="31DC69F2"/>
    <w:rsid w:val="359C1E05"/>
    <w:rsid w:val="359E2391"/>
    <w:rsid w:val="3929223E"/>
    <w:rsid w:val="3B8E4805"/>
    <w:rsid w:val="3BB73BBF"/>
    <w:rsid w:val="3BBE0E4D"/>
    <w:rsid w:val="3DA76302"/>
    <w:rsid w:val="3E7F20A0"/>
    <w:rsid w:val="3F421C51"/>
    <w:rsid w:val="3FCE0B50"/>
    <w:rsid w:val="41356125"/>
    <w:rsid w:val="42A16911"/>
    <w:rsid w:val="43AC0516"/>
    <w:rsid w:val="44204A82"/>
    <w:rsid w:val="4506027C"/>
    <w:rsid w:val="474550AE"/>
    <w:rsid w:val="47A71181"/>
    <w:rsid w:val="4B3115EC"/>
    <w:rsid w:val="4C1573E2"/>
    <w:rsid w:val="4ECB41A0"/>
    <w:rsid w:val="518B2041"/>
    <w:rsid w:val="52541584"/>
    <w:rsid w:val="53C26D4F"/>
    <w:rsid w:val="54351912"/>
    <w:rsid w:val="56EF622F"/>
    <w:rsid w:val="58B647E8"/>
    <w:rsid w:val="5C6313A8"/>
    <w:rsid w:val="5E4B7276"/>
    <w:rsid w:val="5FBD3DDE"/>
    <w:rsid w:val="5FDF346B"/>
    <w:rsid w:val="677FF818"/>
    <w:rsid w:val="69F95CD5"/>
    <w:rsid w:val="6A3B4FCC"/>
    <w:rsid w:val="6B5F2761"/>
    <w:rsid w:val="6B6B0BB8"/>
    <w:rsid w:val="6BD60C7C"/>
    <w:rsid w:val="6FDC1639"/>
    <w:rsid w:val="75AB0D04"/>
    <w:rsid w:val="766111DA"/>
    <w:rsid w:val="79AC0429"/>
    <w:rsid w:val="7C5D2896"/>
    <w:rsid w:val="7CEE5FD5"/>
    <w:rsid w:val="7EFD38A4"/>
    <w:rsid w:val="7FA75E3A"/>
    <w:rsid w:val="7FB9F75A"/>
    <w:rsid w:val="7FE7118F"/>
    <w:rsid w:val="D7B7E302"/>
    <w:rsid w:val="DAB5D1F4"/>
    <w:rsid w:val="DBFFCE5E"/>
    <w:rsid w:val="EFFF8A15"/>
    <w:rsid w:val="FBD35228"/>
    <w:rsid w:val="FFEF538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33"/>
    <w:qFormat/>
    <w:uiPriority w:val="0"/>
    <w:pPr>
      <w:adjustRightInd w:val="0"/>
      <w:snapToGrid w:val="0"/>
      <w:spacing w:line="360" w:lineRule="auto"/>
      <w:ind w:left="0" w:right="0" w:firstLine="0"/>
      <w:outlineLvl w:val="0"/>
    </w:pPr>
    <w:rPr>
      <w:rFonts w:ascii="宋体" w:hAnsi="宋体" w:eastAsia="黑体" w:cs="宋体"/>
      <w:b/>
      <w:bCs/>
      <w:sz w:val="30"/>
      <w:szCs w:val="66"/>
      <w:lang w:eastAsia="en-US"/>
    </w:rPr>
  </w:style>
  <w:style w:type="paragraph" w:styleId="3">
    <w:name w:val="heading 2"/>
    <w:basedOn w:val="1"/>
    <w:next w:val="1"/>
    <w:link w:val="34"/>
    <w:qFormat/>
    <w:uiPriority w:val="0"/>
    <w:pPr>
      <w:adjustRightInd w:val="0"/>
      <w:snapToGrid w:val="0"/>
      <w:spacing w:line="360" w:lineRule="auto"/>
      <w:ind w:left="0" w:firstLine="0"/>
      <w:outlineLvl w:val="1"/>
    </w:pPr>
    <w:rPr>
      <w:rFonts w:ascii="宋体" w:hAnsi="宋体" w:eastAsia="黑体" w:cs="宋体"/>
      <w:b/>
      <w:bCs/>
      <w:sz w:val="28"/>
      <w:szCs w:val="45"/>
      <w:lang w:eastAsia="en-US"/>
    </w:rPr>
  </w:style>
  <w:style w:type="paragraph" w:styleId="4">
    <w:name w:val="heading 3"/>
    <w:basedOn w:val="1"/>
    <w:next w:val="1"/>
    <w:link w:val="35"/>
    <w:qFormat/>
    <w:uiPriority w:val="0"/>
    <w:pPr>
      <w:keepNext/>
      <w:keepLines/>
      <w:spacing w:before="260" w:after="260" w:line="416" w:lineRule="auto"/>
      <w:outlineLvl w:val="2"/>
    </w:pPr>
    <w:rPr>
      <w:rFonts w:ascii="Times New Roman" w:hAnsi="Times New Roman" w:eastAsia="宋体" w:cs="Times New Roman"/>
      <w:b/>
      <w:bCs/>
      <w:sz w:val="32"/>
      <w:szCs w:val="32"/>
    </w:rPr>
  </w:style>
  <w:style w:type="paragraph" w:styleId="5">
    <w:name w:val="heading 4"/>
    <w:basedOn w:val="1"/>
    <w:next w:val="1"/>
    <w:link w:val="36"/>
    <w:qFormat/>
    <w:uiPriority w:val="0"/>
    <w:pPr>
      <w:keepNext/>
      <w:keepLines/>
      <w:spacing w:before="280" w:after="290" w:line="376" w:lineRule="auto"/>
      <w:outlineLvl w:val="3"/>
    </w:pPr>
    <w:rPr>
      <w:rFonts w:ascii="等线 Light" w:hAnsi="等线 Light" w:eastAsia="等线 Light" w:cs="Times New Roman"/>
      <w:b/>
      <w:bCs/>
      <w:sz w:val="28"/>
      <w:szCs w:val="28"/>
    </w:rPr>
  </w:style>
  <w:style w:type="character" w:default="1" w:styleId="27">
    <w:name w:val="Default Paragraph Font"/>
    <w:qFormat/>
    <w:uiPriority w:val="0"/>
  </w:style>
  <w:style w:type="table" w:default="1" w:styleId="25">
    <w:name w:val="Normal Table"/>
    <w:qFormat/>
    <w:uiPriority w:val="0"/>
    <w:tblPr>
      <w:tblCellMar>
        <w:top w:w="0" w:type="dxa"/>
        <w:left w:w="108" w:type="dxa"/>
        <w:bottom w:w="0" w:type="dxa"/>
        <w:right w:w="108" w:type="dxa"/>
      </w:tblCellMar>
    </w:tblPr>
  </w:style>
  <w:style w:type="paragraph" w:styleId="6">
    <w:name w:val="toc 7"/>
    <w:basedOn w:val="1"/>
    <w:next w:val="1"/>
    <w:qFormat/>
    <w:uiPriority w:val="0"/>
    <w:pPr>
      <w:ind w:left="2520" w:leftChars="1200"/>
    </w:pPr>
    <w:rPr>
      <w:rFonts w:ascii="Times New Roman" w:hAnsi="Times New Roman" w:eastAsia="宋体" w:cs="Times New Roman"/>
      <w:szCs w:val="22"/>
    </w:rPr>
  </w:style>
  <w:style w:type="paragraph" w:styleId="7">
    <w:name w:val="Normal Indent"/>
    <w:basedOn w:val="1"/>
    <w:next w:val="1"/>
    <w:qFormat/>
    <w:uiPriority w:val="0"/>
    <w:pPr>
      <w:ind w:firstLine="420" w:firstLineChars="200"/>
    </w:pPr>
    <w:rPr>
      <w:rFonts w:ascii="Calibri" w:hAnsi="Calibri" w:eastAsia="宋体" w:cs="Times New Roman"/>
      <w:szCs w:val="24"/>
    </w:rPr>
  </w:style>
  <w:style w:type="paragraph" w:styleId="8">
    <w:name w:val="annotation text"/>
    <w:basedOn w:val="1"/>
    <w:link w:val="37"/>
    <w:qFormat/>
    <w:uiPriority w:val="0"/>
    <w:pPr>
      <w:jc w:val="left"/>
    </w:pPr>
    <w:rPr>
      <w:rFonts w:ascii="Times New Roman" w:hAnsi="Times New Roman" w:eastAsia="宋体" w:cs="Times New Roman"/>
      <w:szCs w:val="22"/>
    </w:rPr>
  </w:style>
  <w:style w:type="paragraph" w:styleId="9">
    <w:name w:val="Body Text"/>
    <w:basedOn w:val="1"/>
    <w:link w:val="38"/>
    <w:qFormat/>
    <w:uiPriority w:val="0"/>
    <w:rPr>
      <w:rFonts w:ascii="仿宋" w:hAnsi="仿宋" w:eastAsia="仿宋" w:cs="仿宋"/>
      <w:sz w:val="35"/>
      <w:szCs w:val="35"/>
      <w:lang w:eastAsia="en-US"/>
    </w:rPr>
  </w:style>
  <w:style w:type="paragraph" w:styleId="10">
    <w:name w:val="Body Text Indent"/>
    <w:basedOn w:val="1"/>
    <w:next w:val="11"/>
    <w:qFormat/>
    <w:uiPriority w:val="0"/>
    <w:pPr>
      <w:ind w:left="420" w:leftChars="200"/>
    </w:pPr>
    <w:rPr>
      <w:rFonts w:ascii="等线" w:hAnsi="等线" w:eastAsia="等线" w:cs="Times New Roman"/>
      <w:szCs w:val="22"/>
    </w:rPr>
  </w:style>
  <w:style w:type="paragraph" w:styleId="11">
    <w:name w:val="Body Text First Indent 2"/>
    <w:basedOn w:val="10"/>
    <w:qFormat/>
    <w:uiPriority w:val="0"/>
    <w:pPr>
      <w:ind w:firstLine="420" w:firstLineChars="200"/>
    </w:pPr>
  </w:style>
  <w:style w:type="paragraph" w:styleId="12">
    <w:name w:val="toc 5"/>
    <w:basedOn w:val="1"/>
    <w:next w:val="1"/>
    <w:qFormat/>
    <w:uiPriority w:val="0"/>
    <w:pPr>
      <w:ind w:left="1680" w:leftChars="800"/>
    </w:pPr>
    <w:rPr>
      <w:rFonts w:ascii="Times New Roman" w:hAnsi="Times New Roman" w:eastAsia="宋体" w:cs="Times New Roman"/>
      <w:szCs w:val="22"/>
    </w:rPr>
  </w:style>
  <w:style w:type="paragraph" w:styleId="13">
    <w:name w:val="toc 3"/>
    <w:basedOn w:val="1"/>
    <w:next w:val="1"/>
    <w:qFormat/>
    <w:uiPriority w:val="0"/>
    <w:pPr>
      <w:ind w:left="840" w:leftChars="400"/>
    </w:pPr>
    <w:rPr>
      <w:rFonts w:ascii="Times New Roman" w:hAnsi="Times New Roman" w:eastAsia="宋体" w:cs="Times New Roman"/>
      <w:szCs w:val="22"/>
    </w:rPr>
  </w:style>
  <w:style w:type="paragraph" w:styleId="14">
    <w:name w:val="toc 8"/>
    <w:basedOn w:val="1"/>
    <w:next w:val="1"/>
    <w:qFormat/>
    <w:uiPriority w:val="0"/>
    <w:pPr>
      <w:ind w:left="2940" w:leftChars="1400"/>
    </w:pPr>
    <w:rPr>
      <w:rFonts w:ascii="Times New Roman" w:hAnsi="Times New Roman" w:eastAsia="宋体" w:cs="Times New Roman"/>
      <w:szCs w:val="22"/>
    </w:rPr>
  </w:style>
  <w:style w:type="paragraph" w:styleId="15">
    <w:name w:val="footer"/>
    <w:basedOn w:val="1"/>
    <w:link w:val="39"/>
    <w:qFormat/>
    <w:uiPriority w:val="0"/>
    <w:pPr>
      <w:tabs>
        <w:tab w:val="center" w:pos="4153"/>
        <w:tab w:val="right" w:pos="8306"/>
      </w:tabs>
      <w:snapToGrid w:val="0"/>
      <w:jc w:val="left"/>
    </w:pPr>
    <w:rPr>
      <w:sz w:val="28"/>
    </w:rPr>
  </w:style>
  <w:style w:type="paragraph" w:styleId="16">
    <w:name w:val="header"/>
    <w:basedOn w:val="1"/>
    <w:link w:val="4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toc 1"/>
    <w:basedOn w:val="1"/>
    <w:next w:val="1"/>
    <w:qFormat/>
    <w:uiPriority w:val="0"/>
    <w:pPr>
      <w:tabs>
        <w:tab w:val="right" w:leader="dot" w:pos="8296"/>
      </w:tabs>
    </w:pPr>
    <w:rPr>
      <w:rFonts w:ascii="Times New Roman" w:hAnsi="Times New Roman" w:eastAsia="楷体" w:cs="Times New Roman"/>
      <w:b/>
      <w:spacing w:val="-20"/>
      <w:sz w:val="28"/>
      <w:szCs w:val="28"/>
    </w:rPr>
  </w:style>
  <w:style w:type="paragraph" w:styleId="18">
    <w:name w:val="toc 4"/>
    <w:basedOn w:val="1"/>
    <w:next w:val="1"/>
    <w:qFormat/>
    <w:uiPriority w:val="0"/>
    <w:pPr>
      <w:ind w:left="1260" w:leftChars="600"/>
    </w:pPr>
    <w:rPr>
      <w:rFonts w:ascii="Times New Roman" w:hAnsi="Times New Roman" w:eastAsia="宋体" w:cs="Times New Roman"/>
      <w:szCs w:val="22"/>
    </w:rPr>
  </w:style>
  <w:style w:type="paragraph" w:styleId="19">
    <w:name w:val="toc 6"/>
    <w:basedOn w:val="1"/>
    <w:next w:val="1"/>
    <w:qFormat/>
    <w:uiPriority w:val="0"/>
    <w:pPr>
      <w:ind w:left="2100" w:leftChars="1000"/>
    </w:pPr>
    <w:rPr>
      <w:rFonts w:ascii="Times New Roman" w:hAnsi="Times New Roman" w:eastAsia="宋体" w:cs="Times New Roman"/>
      <w:szCs w:val="22"/>
    </w:rPr>
  </w:style>
  <w:style w:type="paragraph" w:styleId="20">
    <w:name w:val="toc 2"/>
    <w:basedOn w:val="1"/>
    <w:next w:val="1"/>
    <w:qFormat/>
    <w:uiPriority w:val="0"/>
    <w:pPr>
      <w:ind w:firstLine="100" w:firstLineChars="100"/>
      <w:jc w:val="left"/>
    </w:pPr>
    <w:rPr>
      <w:rFonts w:ascii="Blues" w:hAnsi="Blues" w:eastAsia="楷体" w:cs="等线"/>
      <w:smallCaps/>
      <w:sz w:val="30"/>
      <w:szCs w:val="20"/>
    </w:rPr>
  </w:style>
  <w:style w:type="paragraph" w:styleId="21">
    <w:name w:val="toc 9"/>
    <w:basedOn w:val="1"/>
    <w:next w:val="1"/>
    <w:qFormat/>
    <w:uiPriority w:val="0"/>
    <w:pPr>
      <w:ind w:left="3360" w:leftChars="1600"/>
    </w:pPr>
    <w:rPr>
      <w:rFonts w:ascii="Times New Roman" w:hAnsi="Times New Roman" w:eastAsia="宋体" w:cs="Times New Roman"/>
      <w:szCs w:val="22"/>
    </w:rPr>
  </w:style>
  <w:style w:type="paragraph" w:styleId="22">
    <w:name w:val="Normal (Web)"/>
    <w:basedOn w:val="1"/>
    <w:qFormat/>
    <w:uiPriority w:val="0"/>
    <w:pPr>
      <w:spacing w:before="100" w:beforeAutospacing="1" w:after="100" w:afterAutospacing="1"/>
      <w:jc w:val="left"/>
    </w:pPr>
    <w:rPr>
      <w:rFonts w:ascii="Calibri" w:hAnsi="Calibri" w:eastAsia="宋体" w:cs="Times New Roman"/>
      <w:kern w:val="0"/>
      <w:sz w:val="24"/>
      <w:szCs w:val="24"/>
    </w:rPr>
  </w:style>
  <w:style w:type="paragraph" w:styleId="23">
    <w:name w:val="Title"/>
    <w:basedOn w:val="1"/>
    <w:next w:val="1"/>
    <w:link w:val="41"/>
    <w:qFormat/>
    <w:uiPriority w:val="0"/>
    <w:pPr>
      <w:spacing w:before="240" w:after="60"/>
      <w:jc w:val="center"/>
      <w:outlineLvl w:val="0"/>
    </w:pPr>
    <w:rPr>
      <w:rFonts w:ascii="等线 Light" w:hAnsi="等线 Light" w:eastAsia="等线 Light" w:cs="Times New Roman"/>
      <w:b/>
      <w:bCs/>
      <w:sz w:val="32"/>
      <w:szCs w:val="32"/>
    </w:rPr>
  </w:style>
  <w:style w:type="paragraph" w:styleId="24">
    <w:name w:val="Body Text First Indent"/>
    <w:basedOn w:val="9"/>
    <w:qFormat/>
    <w:uiPriority w:val="0"/>
    <w:pPr>
      <w:ind w:firstLine="420" w:firstLineChars="100"/>
    </w:pPr>
    <w:rPr>
      <w:rFonts w:ascii="Times New Roman" w:hAnsi="Times New Roman" w:eastAsia="宋体" w:cs="Times New Roman"/>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uiPriority w:val="0"/>
    <w:rPr>
      <w:rFonts w:ascii="Times New Roman" w:hAnsi="Times New Roman" w:eastAsia="宋体" w:cs="Times New Roman"/>
      <w:b/>
    </w:rPr>
  </w:style>
  <w:style w:type="character" w:styleId="29">
    <w:name w:val="Hyperlink"/>
    <w:basedOn w:val="27"/>
    <w:qFormat/>
    <w:uiPriority w:val="0"/>
    <w:rPr>
      <w:rFonts w:ascii="Times New Roman" w:hAnsi="Times New Roman" w:eastAsia="宋体" w:cs="Times New Roman"/>
      <w:color w:val="467886"/>
      <w:u w:val="single"/>
    </w:rPr>
  </w:style>
  <w:style w:type="character" w:styleId="30">
    <w:name w:val="annotation reference"/>
    <w:basedOn w:val="27"/>
    <w:qFormat/>
    <w:uiPriority w:val="0"/>
    <w:rPr>
      <w:rFonts w:ascii="Times New Roman" w:hAnsi="Times New Roman" w:eastAsia="宋体" w:cs="Times New Roman"/>
      <w:sz w:val="21"/>
      <w:szCs w:val="21"/>
    </w:rPr>
  </w:style>
  <w:style w:type="character" w:customStyle="1" w:styleId="31">
    <w:name w:val="标题 2 Char"/>
    <w:link w:val="3"/>
    <w:qFormat/>
    <w:uiPriority w:val="1"/>
    <w:rPr>
      <w:rFonts w:ascii="宋体" w:hAnsi="宋体" w:eastAsia="黑体" w:cs="宋体"/>
      <w:b/>
      <w:bCs/>
      <w:sz w:val="28"/>
      <w:szCs w:val="45"/>
      <w:lang w:eastAsia="en-US"/>
    </w:rPr>
  </w:style>
  <w:style w:type="paragraph" w:styleId="32">
    <w:name w:val="List Paragraph"/>
    <w:basedOn w:val="1"/>
    <w:qFormat/>
    <w:uiPriority w:val="0"/>
    <w:pPr>
      <w:ind w:firstLine="420" w:firstLineChars="200"/>
    </w:pPr>
    <w:rPr>
      <w:rFonts w:ascii="Times New Roman" w:hAnsi="Times New Roman" w:eastAsia="仿宋" w:cs="Times New Roman"/>
      <w:sz w:val="32"/>
      <w:szCs w:val="22"/>
    </w:rPr>
  </w:style>
  <w:style w:type="character" w:customStyle="1" w:styleId="33">
    <w:name w:val="标题 1 字符"/>
    <w:basedOn w:val="27"/>
    <w:link w:val="2"/>
    <w:qFormat/>
    <w:uiPriority w:val="0"/>
    <w:rPr>
      <w:rFonts w:ascii="宋体" w:hAnsi="宋体" w:eastAsia="黑体" w:cs="宋体"/>
      <w:b/>
      <w:bCs/>
      <w:sz w:val="30"/>
      <w:szCs w:val="66"/>
      <w:lang w:eastAsia="en-US"/>
    </w:rPr>
  </w:style>
  <w:style w:type="character" w:customStyle="1" w:styleId="34">
    <w:name w:val="标题 2 字符"/>
    <w:basedOn w:val="27"/>
    <w:link w:val="3"/>
    <w:qFormat/>
    <w:uiPriority w:val="0"/>
    <w:rPr>
      <w:rFonts w:ascii="等线 Light" w:hAnsi="等线 Light" w:eastAsia="等线 Light" w:cs="Times New Roman"/>
      <w:b/>
      <w:bCs/>
      <w:sz w:val="32"/>
      <w:szCs w:val="32"/>
    </w:rPr>
  </w:style>
  <w:style w:type="character" w:customStyle="1" w:styleId="35">
    <w:name w:val="标题 3 字符"/>
    <w:basedOn w:val="27"/>
    <w:link w:val="4"/>
    <w:qFormat/>
    <w:uiPriority w:val="0"/>
    <w:rPr>
      <w:rFonts w:ascii="Times New Roman" w:hAnsi="Times New Roman" w:eastAsia="宋体" w:cs="Times New Roman"/>
      <w:b/>
      <w:bCs/>
      <w:sz w:val="32"/>
      <w:szCs w:val="32"/>
    </w:rPr>
  </w:style>
  <w:style w:type="character" w:customStyle="1" w:styleId="36">
    <w:name w:val="标题 4 字符"/>
    <w:basedOn w:val="27"/>
    <w:link w:val="5"/>
    <w:qFormat/>
    <w:uiPriority w:val="0"/>
    <w:rPr>
      <w:rFonts w:ascii="等线 Light" w:hAnsi="等线 Light" w:eastAsia="等线 Light" w:cs="Times New Roman"/>
      <w:b/>
      <w:bCs/>
      <w:sz w:val="28"/>
      <w:szCs w:val="28"/>
    </w:rPr>
  </w:style>
  <w:style w:type="character" w:customStyle="1" w:styleId="37">
    <w:name w:val="批注文字 字符"/>
    <w:basedOn w:val="27"/>
    <w:link w:val="8"/>
    <w:qFormat/>
    <w:uiPriority w:val="0"/>
    <w:rPr>
      <w:rFonts w:ascii="Times New Roman" w:hAnsi="Times New Roman" w:eastAsia="宋体" w:cs="Times New Roman"/>
    </w:rPr>
  </w:style>
  <w:style w:type="character" w:customStyle="1" w:styleId="38">
    <w:name w:val="正文文本 字符"/>
    <w:basedOn w:val="27"/>
    <w:link w:val="9"/>
    <w:qFormat/>
    <w:uiPriority w:val="0"/>
    <w:rPr>
      <w:rFonts w:ascii="仿宋" w:hAnsi="仿宋" w:eastAsia="仿宋" w:cs="仿宋"/>
      <w:sz w:val="35"/>
      <w:szCs w:val="35"/>
      <w:lang w:eastAsia="en-US"/>
    </w:rPr>
  </w:style>
  <w:style w:type="character" w:customStyle="1" w:styleId="39">
    <w:name w:val="页脚 字符"/>
    <w:basedOn w:val="27"/>
    <w:link w:val="15"/>
    <w:qFormat/>
    <w:uiPriority w:val="0"/>
    <w:rPr>
      <w:rFonts w:ascii="Times New Roman" w:hAnsi="Times New Roman" w:eastAsia="宋体" w:cs="Times New Roman"/>
      <w:sz w:val="28"/>
    </w:rPr>
  </w:style>
  <w:style w:type="character" w:customStyle="1" w:styleId="40">
    <w:name w:val="页眉 字符"/>
    <w:basedOn w:val="27"/>
    <w:link w:val="16"/>
    <w:qFormat/>
    <w:uiPriority w:val="0"/>
    <w:rPr>
      <w:rFonts w:ascii="Times New Roman" w:hAnsi="Times New Roman" w:eastAsia="宋体" w:cs="Times New Roman"/>
      <w:sz w:val="18"/>
    </w:rPr>
  </w:style>
  <w:style w:type="character" w:customStyle="1" w:styleId="41">
    <w:name w:val="标题 字符"/>
    <w:basedOn w:val="27"/>
    <w:link w:val="23"/>
    <w:qFormat/>
    <w:uiPriority w:val="0"/>
    <w:rPr>
      <w:rFonts w:ascii="等线 Light" w:hAnsi="等线 Light" w:eastAsia="等线 Light" w:cs="Times New Roman"/>
      <w:b/>
      <w:bCs/>
      <w:sz w:val="32"/>
      <w:szCs w:val="32"/>
    </w:rPr>
  </w:style>
  <w:style w:type="character" w:customStyle="1" w:styleId="42">
    <w:name w:val="text 字符"/>
    <w:basedOn w:val="27"/>
    <w:link w:val="43"/>
    <w:qFormat/>
    <w:uiPriority w:val="0"/>
    <w:rPr>
      <w:rFonts w:ascii="Times New Roman" w:hAnsi="Times New Roman" w:eastAsia="方正仿宋_GB2312" w:cs="Times New Roman"/>
      <w:sz w:val="32"/>
      <w:szCs w:val="32"/>
    </w:rPr>
  </w:style>
  <w:style w:type="paragraph" w:customStyle="1" w:styleId="43">
    <w:name w:val="text"/>
    <w:basedOn w:val="1"/>
    <w:link w:val="42"/>
    <w:qFormat/>
    <w:uiPriority w:val="0"/>
    <w:pPr>
      <w:spacing w:line="560" w:lineRule="exact"/>
      <w:ind w:firstLine="640" w:firstLineChars="200"/>
    </w:pPr>
    <w:rPr>
      <w:rFonts w:ascii="Times New Roman" w:hAnsi="Times New Roman" w:eastAsia="方正仿宋_GB2312" w:cs="Times New Roman"/>
      <w:sz w:val="32"/>
      <w:szCs w:val="32"/>
    </w:rPr>
  </w:style>
  <w:style w:type="paragraph" w:customStyle="1" w:styleId="44">
    <w:name w:val="TOC 标题1"/>
    <w:basedOn w:val="2"/>
    <w:next w:val="1"/>
    <w:qFormat/>
    <w:uiPriority w:val="0"/>
    <w:pPr>
      <w:keepNext/>
      <w:keepLines/>
      <w:widowControl/>
      <w:adjustRightInd/>
      <w:snapToGrid/>
      <w:spacing w:before="240" w:after="0" w:line="259" w:lineRule="auto"/>
      <w:ind w:left="0" w:right="0" w:firstLine="0"/>
      <w:jc w:val="left"/>
      <w:outlineLvl w:val="9"/>
    </w:pPr>
    <w:rPr>
      <w:rFonts w:ascii="等线 Light" w:hAnsi="等线 Light" w:eastAsia="等线 Light" w:cs="Times New Roman"/>
      <w:b w:val="0"/>
      <w:bCs w:val="0"/>
      <w:color w:val="0F4761"/>
      <w:kern w:val="0"/>
      <w:sz w:val="32"/>
      <w:szCs w:val="32"/>
      <w:lang w:eastAsia="zh-CN"/>
    </w:rPr>
  </w:style>
  <w:style w:type="character" w:customStyle="1" w:styleId="45">
    <w:name w:val="txt 字符"/>
    <w:basedOn w:val="27"/>
    <w:link w:val="46"/>
    <w:qFormat/>
    <w:uiPriority w:val="0"/>
    <w:rPr>
      <w:rFonts w:ascii="方正仿宋_GB2312" w:hAnsi="楷体" w:eastAsia="方正仿宋_GB2312" w:cs="Times New Roman"/>
      <w:sz w:val="32"/>
      <w:szCs w:val="32"/>
    </w:rPr>
  </w:style>
  <w:style w:type="paragraph" w:customStyle="1" w:styleId="46">
    <w:name w:val="txt"/>
    <w:basedOn w:val="1"/>
    <w:link w:val="45"/>
    <w:qFormat/>
    <w:uiPriority w:val="0"/>
    <w:pPr>
      <w:spacing w:line="560" w:lineRule="exact"/>
      <w:ind w:firstLine="640" w:firstLineChars="200"/>
    </w:pPr>
    <w:rPr>
      <w:rFonts w:ascii="方正仿宋_GB2312" w:hAnsi="楷体" w:eastAsia="方正仿宋_GB2312" w:cs="Times New Roman"/>
      <w:sz w:val="32"/>
      <w:szCs w:val="32"/>
    </w:rPr>
  </w:style>
  <w:style w:type="paragraph" w:customStyle="1" w:styleId="47">
    <w:name w:val="Body Text 21"/>
    <w:basedOn w:val="1"/>
    <w:qFormat/>
    <w:uiPriority w:val="0"/>
    <w:pPr>
      <w:spacing w:after="120" w:afterLines="0" w:line="480" w:lineRule="auto"/>
    </w:pPr>
    <w:rPr>
      <w:rFonts w:ascii="Times New Roman" w:hAnsi="Times New Roman" w:eastAsia="宋体" w:cs="Times New Roman"/>
      <w:szCs w:val="22"/>
    </w:rPr>
  </w:style>
  <w:style w:type="table" w:customStyle="1" w:styleId="48">
    <w:name w:val="网格型1"/>
    <w:basedOn w:val="25"/>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9">
    <w:name w:val="WPSOffice手动目录 1"/>
    <w:qFormat/>
    <w:uiPriority w:val="0"/>
    <w:rPr>
      <w:rFonts w:ascii="Times New Roman" w:hAnsi="Times New Roman" w:eastAsia="宋体" w:cs="Times New Roman"/>
      <w:lang w:val="en-US" w:eastAsia="zh-CN" w:bidi="ar-SA"/>
    </w:rPr>
  </w:style>
  <w:style w:type="character" w:customStyle="1" w:styleId="50">
    <w:name w:val="未处理的提及1"/>
    <w:basedOn w:val="27"/>
    <w:qFormat/>
    <w:uiPriority w:val="0"/>
    <w:rPr>
      <w:rFonts w:ascii="Times New Roman" w:hAnsi="Times New Roman" w:eastAsia="宋体" w:cs="Times New Roman"/>
      <w:color w:val="605E5C"/>
      <w:shd w:val="clear" w:color="auto" w:fill="E1DFDD"/>
    </w:rPr>
  </w:style>
  <w:style w:type="paragraph" w:customStyle="1" w:styleId="51">
    <w:name w:val="Revision"/>
    <w:qFormat/>
    <w:uiPriority w:val="0"/>
    <w:rPr>
      <w:rFonts w:ascii="等线" w:hAnsi="等线" w:eastAsia="等线"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pn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6.xml"/><Relationship Id="rId17" Type="http://schemas.openxmlformats.org/officeDocument/2006/relationships/footer" Target="footer15.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131</Pages>
  <Words>15688</Words>
  <Characters>16364</Characters>
  <Lines>390</Lines>
  <Paragraphs>109</Paragraphs>
  <TotalTime>0</TotalTime>
  <ScaleCrop>false</ScaleCrop>
  <LinksUpToDate>false</LinksUpToDate>
  <CharactersWithSpaces>16722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2024-11-26T16:58:00Z</dcterms:created>
  <dc:creator>荣 周</dc:creator>
  <cp:lastModifiedBy>瞬的爱</cp:lastModifiedBy>
  <cp:lastPrinted>2026-05-18T17:49:00Z</cp:lastPrinted>
  <dcterms:modified xsi:type="dcterms:W3CDTF">2026-05-21T01:55:04Z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503E26C8B370EE4F487E0A6A11A2A723</vt:lpwstr>
  </property>
  <property fmtid="{D5CDD505-2E9C-101B-9397-08002B2CF9AE}" pid="4" name="KSOTemplateDocerSaveRecord">
    <vt:lpwstr>eyJoZGlkIjoiNmJiNzk3MWYzNDI3MDZlZWQ0NjFmNTVjNTFiZjZhMzMiLCJ1c2VySWQiOiIxNjcwNDc1Nzk4In0=</vt:lpwstr>
  </property>
</Properties>
</file>