
<file path=[Content_Types].xml><?xml version="1.0" encoding="utf-8"?>
<Types xmlns="http://schemas.openxmlformats.org/package/2006/content-types">
  <Default Extension="xml" ContentType="application/xml"/>
  <Default Extension="wmf" ContentType="image/x-wmf"/>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844F5B2">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eastAsia="宋体"/>
          <w:sz w:val="44"/>
          <w:szCs w:val="44"/>
          <w:vertAlign w:val="baseline"/>
          <w:lang w:eastAsia="zh-CN"/>
        </w:rPr>
      </w:pPr>
    </w:p>
    <w:p w14:paraId="10C90666">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eastAsia="宋体"/>
          <w:sz w:val="44"/>
          <w:szCs w:val="44"/>
          <w:vertAlign w:val="baseline"/>
          <w:lang w:eastAsia="zh-CN"/>
        </w:rPr>
      </w:pPr>
    </w:p>
    <w:p w14:paraId="6621FF74">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eastAsia="宋体"/>
          <w:sz w:val="44"/>
          <w:szCs w:val="44"/>
          <w:vertAlign w:val="baseline"/>
          <w:lang w:eastAsia="zh-CN"/>
        </w:rPr>
      </w:pPr>
    </w:p>
    <w:p w14:paraId="58A42127">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eastAsia="宋体"/>
          <w:sz w:val="44"/>
          <w:szCs w:val="44"/>
          <w:vertAlign w:val="baseline"/>
          <w:lang w:eastAsia="zh-CN"/>
        </w:rPr>
      </w:pPr>
    </w:p>
    <w:p w14:paraId="33982457">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eastAsia="宋体"/>
          <w:sz w:val="44"/>
          <w:szCs w:val="44"/>
          <w:vertAlign w:val="baseline"/>
          <w:lang w:eastAsia="zh-CN"/>
        </w:rPr>
      </w:pPr>
      <w:r>
        <w:drawing>
          <wp:anchor distT="0" distB="0" distL="114300" distR="114300" simplePos="0" relativeHeight="251659264" behindDoc="1" locked="0" layoutInCell="1" allowOverlap="1">
            <wp:simplePos x="0" y="0"/>
            <wp:positionH relativeFrom="page">
              <wp:posOffset>1184910</wp:posOffset>
            </wp:positionH>
            <wp:positionV relativeFrom="page">
              <wp:posOffset>3047365</wp:posOffset>
            </wp:positionV>
            <wp:extent cx="5205730" cy="1419225"/>
            <wp:effectExtent l="0" t="0" r="6350" b="13335"/>
            <wp:wrapNone/>
            <wp:docPr id="1" name="图片 2" descr="C:\Users\86130\Desktop\市政府\zjk图片\zjk图片\秘书二科\发文\赤政发.png赤政发"/>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descr="C:\Users\86130\Desktop\市政府\zjk图片\zjk图片\秘书二科\发文\赤政发.png赤政发"/>
                    <pic:cNvPicPr>
                      <a:picLocks noChangeAspect="1"/>
                    </pic:cNvPicPr>
                  </pic:nvPicPr>
                  <pic:blipFill>
                    <a:blip r:embed="rId6"/>
                    <a:stretch>
                      <a:fillRect/>
                    </a:stretch>
                  </pic:blipFill>
                  <pic:spPr>
                    <a:xfrm>
                      <a:off x="0" y="0"/>
                      <a:ext cx="5205730" cy="1419225"/>
                    </a:xfrm>
                    <a:prstGeom prst="rect">
                      <a:avLst/>
                    </a:prstGeom>
                    <a:noFill/>
                    <a:ln>
                      <a:noFill/>
                    </a:ln>
                  </pic:spPr>
                </pic:pic>
              </a:graphicData>
            </a:graphic>
          </wp:anchor>
        </w:drawing>
      </w:r>
    </w:p>
    <w:p w14:paraId="04B7DAE6">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eastAsia="宋体"/>
          <w:sz w:val="44"/>
          <w:szCs w:val="44"/>
          <w:vertAlign w:val="baseline"/>
          <w:lang w:eastAsia="zh-CN"/>
        </w:rPr>
      </w:pPr>
    </w:p>
    <w:p w14:paraId="0189767E">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eastAsia="宋体"/>
          <w:sz w:val="32"/>
          <w:szCs w:val="32"/>
          <w:vertAlign w:val="baseline"/>
          <w:lang w:eastAsia="zh-CN"/>
        </w:rPr>
      </w:pPr>
    </w:p>
    <w:p w14:paraId="67657766">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eastAsia="宋体"/>
          <w:sz w:val="21"/>
          <w:szCs w:val="21"/>
          <w:vertAlign w:val="baseline"/>
          <w:lang w:eastAsia="zh-CN"/>
        </w:rPr>
      </w:pPr>
    </w:p>
    <w:p w14:paraId="16A65510">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eastAsia="宋体"/>
          <w:sz w:val="32"/>
          <w:szCs w:val="32"/>
          <w:vertAlign w:val="baseline"/>
          <w:lang w:eastAsia="zh-CN"/>
        </w:rPr>
      </w:pPr>
    </w:p>
    <w:p w14:paraId="0252D270">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eastAsia="宋体"/>
          <w:sz w:val="32"/>
          <w:szCs w:val="32"/>
          <w:vertAlign w:val="baseline"/>
          <w:lang w:eastAsia="zh-CN"/>
        </w:rPr>
      </w:pPr>
    </w:p>
    <w:tbl>
      <w:tblPr>
        <w:tblStyle w:val="7"/>
        <w:tblW w:w="8832" w:type="dxa"/>
        <w:tblInd w:w="12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8832"/>
      </w:tblGrid>
      <w:tr w14:paraId="4C5EC4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4" w:hRule="exact"/>
        </w:trPr>
        <w:tc>
          <w:tcPr>
            <w:tcW w:w="8832" w:type="dxa"/>
            <w:tcBorders>
              <w:top w:val="nil"/>
              <w:left w:val="nil"/>
              <w:bottom w:val="single" w:color="FF0000" w:sz="24" w:space="0"/>
              <w:right w:val="nil"/>
            </w:tcBorders>
            <w:noWrap w:val="0"/>
            <w:vAlign w:val="top"/>
          </w:tcPr>
          <w:p w14:paraId="1F7A0A38">
            <w:pPr>
              <w:keepNext w:val="0"/>
              <w:keepLines w:val="0"/>
              <w:pageBreakBefore w:val="0"/>
              <w:widowControl w:val="0"/>
              <w:kinsoku/>
              <w:wordWrap/>
              <w:overflowPunct/>
              <w:topLinePunct w:val="0"/>
              <w:autoSpaceDE/>
              <w:autoSpaceDN/>
              <w:bidi w:val="0"/>
              <w:adjustRightInd w:val="0"/>
              <w:snapToGrid w:val="0"/>
              <w:spacing w:after="157" w:afterLines="50"/>
              <w:jc w:val="center"/>
              <w:textAlignment w:val="auto"/>
              <w:rPr>
                <w:rFonts w:hint="eastAsia" w:ascii="仿宋_GB2312" w:hAnsi="仿宋_GB2312" w:eastAsia="仿宋_GB2312" w:cs="仿宋_GB2312"/>
                <w:vertAlign w:val="baseline"/>
                <w:lang w:eastAsia="zh-CN"/>
              </w:rPr>
            </w:pPr>
            <w:r>
              <w:rPr>
                <w:rFonts w:hint="eastAsia" w:ascii="仿宋_GB2312" w:hAnsi="仿宋_GB2312" w:eastAsia="仿宋_GB2312" w:cs="仿宋_GB2312"/>
                <w:b w:val="0"/>
                <w:bCs w:val="0"/>
                <w:sz w:val="32"/>
                <w:szCs w:val="32"/>
                <w:lang w:eastAsia="zh-CN"/>
              </w:rPr>
              <w:t>赤政发〔2025〕20号</w:t>
            </w:r>
          </w:p>
          <w:p w14:paraId="57ED84DF">
            <w:pPr>
              <w:keepNext w:val="0"/>
              <w:keepLines w:val="0"/>
              <w:pageBreakBefore w:val="0"/>
              <w:widowControl w:val="0"/>
              <w:kinsoku/>
              <w:wordWrap/>
              <w:overflowPunct/>
              <w:topLinePunct w:val="0"/>
              <w:autoSpaceDE/>
              <w:autoSpaceDN/>
              <w:bidi w:val="0"/>
              <w:adjustRightInd w:val="0"/>
              <w:snapToGrid w:val="0"/>
              <w:spacing w:after="157" w:afterLines="50"/>
              <w:jc w:val="center"/>
              <w:textAlignment w:val="auto"/>
              <w:rPr>
                <w:rFonts w:hint="default" w:ascii="仿宋" w:hAnsi="仿宋" w:eastAsia="仿宋" w:cs="仿宋"/>
                <w:b w:val="0"/>
                <w:bCs w:val="0"/>
                <w:sz w:val="32"/>
                <w:szCs w:val="32"/>
                <w:lang w:val="en-US"/>
              </w:rPr>
            </w:pPr>
          </w:p>
        </w:tc>
      </w:tr>
    </w:tbl>
    <w:p w14:paraId="05CF5428">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cs="仿宋_GB2312"/>
          <w:sz w:val="32"/>
          <w:szCs w:val="32"/>
        </w:rPr>
      </w:pPr>
      <w:bookmarkStart w:id="0" w:name="OLE_LINK37"/>
      <w:bookmarkStart w:id="1" w:name="_Hlk192597220"/>
    </w:p>
    <w:p w14:paraId="3CFFC9B3">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cs="仿宋_GB2312"/>
          <w:sz w:val="32"/>
          <w:szCs w:val="32"/>
        </w:rPr>
      </w:pPr>
    </w:p>
    <w:p w14:paraId="27D4B62F">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cs="仿宋_GB2312"/>
          <w:sz w:val="32"/>
          <w:szCs w:val="32"/>
        </w:rPr>
      </w:pPr>
    </w:p>
    <w:p w14:paraId="6DBDCC8A">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sz w:val="44"/>
          <w:szCs w:val="44"/>
        </w:rPr>
      </w:pPr>
      <w:r>
        <w:rPr>
          <w:rFonts w:hint="eastAsia" w:ascii="方正小标宋简体" w:hAnsi="方正小标宋简体" w:eastAsia="方正小标宋简体"/>
          <w:sz w:val="44"/>
          <w:szCs w:val="44"/>
        </w:rPr>
        <w:t>赤峰市人民政府关于印发</w:t>
      </w:r>
      <w:bookmarkStart w:id="2" w:name="OLE_LINK38"/>
      <w:r>
        <w:rPr>
          <w:rFonts w:hint="eastAsia" w:ascii="方正小标宋简体" w:hAnsi="方正小标宋简体" w:eastAsia="方正小标宋简体"/>
          <w:sz w:val="44"/>
          <w:szCs w:val="44"/>
        </w:rPr>
        <w:t>《赤峰高新技术</w:t>
      </w:r>
    </w:p>
    <w:p w14:paraId="37EA24C5">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sz w:val="44"/>
          <w:szCs w:val="44"/>
        </w:rPr>
      </w:pPr>
      <w:r>
        <w:rPr>
          <w:rFonts w:hint="eastAsia" w:ascii="方正小标宋简体" w:hAnsi="方正小标宋简体" w:eastAsia="方正小标宋简体"/>
          <w:sz w:val="44"/>
          <w:szCs w:val="44"/>
        </w:rPr>
        <w:t>产业开发区东山产业园企业入园、退出及项目</w:t>
      </w:r>
    </w:p>
    <w:p w14:paraId="7863EA70">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sz w:val="44"/>
          <w:szCs w:val="44"/>
        </w:rPr>
      </w:pPr>
      <w:r>
        <w:rPr>
          <w:rFonts w:hint="eastAsia" w:ascii="方正小标宋简体" w:hAnsi="方正小标宋简体" w:eastAsia="方正小标宋简体"/>
          <w:sz w:val="44"/>
          <w:szCs w:val="44"/>
        </w:rPr>
        <w:t>建设管理办法（试行）</w:t>
      </w:r>
      <w:r>
        <w:rPr>
          <w:rFonts w:ascii="方正小标宋简体" w:hAnsi="方正小标宋简体" w:eastAsia="方正小标宋简体"/>
          <w:sz w:val="44"/>
          <w:szCs w:val="44"/>
        </w:rPr>
        <w:t>》</w:t>
      </w:r>
      <w:bookmarkEnd w:id="2"/>
      <w:r>
        <w:rPr>
          <w:rFonts w:ascii="方正小标宋简体" w:hAnsi="方正小标宋简体" w:eastAsia="方正小标宋简体"/>
          <w:sz w:val="44"/>
          <w:szCs w:val="44"/>
        </w:rPr>
        <w:t>的通知</w:t>
      </w:r>
    </w:p>
    <w:p w14:paraId="220B8E34">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eastAsia" w:ascii="仿宋_GB2312" w:hAnsi="仿宋_GB2312" w:cs="仿宋_GB2312"/>
          <w:sz w:val="32"/>
          <w:szCs w:val="32"/>
        </w:rPr>
      </w:pPr>
    </w:p>
    <w:p w14:paraId="54358B8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right="0"/>
        <w:jc w:val="both"/>
        <w:textAlignment w:val="auto"/>
        <w:rPr>
          <w:rFonts w:hint="eastAsia" w:ascii="仿宋_GB2312" w:hAnsi="仿宋_GB2312" w:cs="仿宋_GB2312"/>
          <w:sz w:val="32"/>
          <w:szCs w:val="32"/>
        </w:rPr>
      </w:pPr>
      <w:r>
        <w:rPr>
          <w:rFonts w:hint="eastAsia" w:ascii="仿宋_GB2312" w:hAnsi="等线" w:eastAsia="仿宋_GB2312" w:cs="仿宋_GB2312"/>
          <w:kern w:val="2"/>
          <w:sz w:val="32"/>
          <w:szCs w:val="32"/>
          <w:lang w:val="en-US" w:eastAsia="zh-CN" w:bidi="ar"/>
        </w:rPr>
        <w:t>市发展改革委、科技局、工业和信息化局、财政局、自然资源局、生态环境局、住房和</w:t>
      </w:r>
      <w:bookmarkStart w:id="50" w:name="_GoBack"/>
      <w:bookmarkEnd w:id="50"/>
      <w:r>
        <w:rPr>
          <w:rFonts w:hint="eastAsia" w:ascii="仿宋_GB2312" w:hAnsi="等线" w:eastAsia="仿宋_GB2312" w:cs="仿宋_GB2312"/>
          <w:kern w:val="2"/>
          <w:sz w:val="32"/>
          <w:szCs w:val="32"/>
          <w:lang w:val="en-US" w:eastAsia="zh-CN" w:bidi="ar"/>
        </w:rPr>
        <w:t>城乡建设局、水利局、应急局、统计局、政务服务与数据管理局，高新区管委会，国家税务总局赤峰市税务局</w:t>
      </w:r>
      <w:r>
        <w:rPr>
          <w:rFonts w:hint="eastAsia" w:ascii="仿宋_GB2312" w:hAnsi="仿宋_GB2312" w:eastAsia="仿宋_GB2312" w:cs="仿宋_GB2312"/>
          <w:sz w:val="32"/>
          <w:szCs w:val="32"/>
        </w:rPr>
        <w:t>：</w:t>
      </w:r>
    </w:p>
    <w:p w14:paraId="78B0E867">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eastAsia" w:ascii="仿宋_GB2312" w:hAnsi="仿宋_GB2312" w:cs="仿宋_GB2312"/>
          <w:sz w:val="32"/>
          <w:szCs w:val="32"/>
        </w:rPr>
      </w:pPr>
      <w:r>
        <w:rPr>
          <w:rFonts w:hint="eastAsia" w:ascii="仿宋_GB2312" w:hAnsi="仿宋_GB2312" w:eastAsia="仿宋_GB2312" w:cs="仿宋_GB2312"/>
          <w:sz w:val="32"/>
          <w:szCs w:val="32"/>
        </w:rPr>
        <w:t>现将《赤峰高新技术产业开发区东山产业园企业入园、退出及项目建设管理办法（试行）》印发给你们，请结合实际，认真贯彻落实。</w:t>
      </w:r>
    </w:p>
    <w:p w14:paraId="0CE89E20">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eastAsia" w:ascii="仿宋_GB2312" w:hAnsi="仿宋_GB2312" w:cs="仿宋_GB2312"/>
          <w:sz w:val="32"/>
          <w:szCs w:val="32"/>
        </w:rPr>
      </w:pPr>
    </w:p>
    <w:p w14:paraId="72603D1C">
      <w:pPr>
        <w:keepNext w:val="0"/>
        <w:keepLines w:val="0"/>
        <w:pageBreakBefore w:val="0"/>
        <w:widowControl w:val="0"/>
        <w:kinsoku/>
        <w:wordWrap/>
        <w:overflowPunct/>
        <w:topLinePunct w:val="0"/>
        <w:autoSpaceDE/>
        <w:autoSpaceDN/>
        <w:bidi w:val="0"/>
        <w:adjustRightInd/>
        <w:snapToGrid/>
        <w:spacing w:line="560" w:lineRule="exact"/>
        <w:ind w:left="1542" w:leftChars="300" w:hanging="936" w:hangingChars="300"/>
        <w:textAlignment w:val="auto"/>
        <w:rPr>
          <w:rFonts w:hint="eastAsia" w:ascii="仿宋_GB2312" w:hAnsi="仿宋_GB2312" w:cs="仿宋_GB2312"/>
          <w:sz w:val="32"/>
          <w:szCs w:val="32"/>
        </w:rPr>
      </w:pPr>
    </w:p>
    <w:p w14:paraId="7E6F83BD">
      <w:pPr>
        <w:keepNext w:val="0"/>
        <w:keepLines w:val="0"/>
        <w:pageBreakBefore w:val="0"/>
        <w:widowControl w:val="0"/>
        <w:kinsoku/>
        <w:wordWrap/>
        <w:overflowPunct/>
        <w:topLinePunct w:val="0"/>
        <w:autoSpaceDE/>
        <w:autoSpaceDN/>
        <w:bidi w:val="0"/>
        <w:adjustRightInd/>
        <w:snapToGrid/>
        <w:spacing w:line="560" w:lineRule="exact"/>
        <w:ind w:left="1542" w:leftChars="300" w:hanging="936" w:hangingChars="300"/>
        <w:textAlignment w:val="auto"/>
        <w:rPr>
          <w:rFonts w:hint="eastAsia" w:ascii="仿宋_GB2312" w:hAnsi="仿宋_GB2312" w:cs="仿宋_GB2312"/>
          <w:sz w:val="32"/>
          <w:szCs w:val="32"/>
        </w:rPr>
      </w:pPr>
      <w:r>
        <w:rPr>
          <w:rFonts w:hint="eastAsia" w:ascii="仿宋_GB2312" w:hAnsi="仿宋_GB2312" w:eastAsia="仿宋_GB2312" w:cs="仿宋_GB2312"/>
          <w:sz w:val="32"/>
          <w:szCs w:val="32"/>
        </w:rPr>
        <w:t xml:space="preserve">                          </w:t>
      </w:r>
    </w:p>
    <w:p w14:paraId="76347983">
      <w:pPr>
        <w:keepNext w:val="0"/>
        <w:keepLines w:val="0"/>
        <w:pageBreakBefore w:val="0"/>
        <w:widowControl w:val="0"/>
        <w:kinsoku/>
        <w:wordWrap/>
        <w:overflowPunct/>
        <w:topLinePunct w:val="0"/>
        <w:autoSpaceDE/>
        <w:autoSpaceDN/>
        <w:bidi w:val="0"/>
        <w:adjustRightInd/>
        <w:snapToGrid/>
        <w:spacing w:line="560" w:lineRule="exact"/>
        <w:ind w:left="1542" w:leftChars="300" w:hanging="936" w:hangingChars="3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 xml:space="preserve">  2025年8月</w:t>
      </w:r>
      <w:r>
        <w:rPr>
          <w:rFonts w:hint="eastAsia" w:ascii="仿宋_GB2312" w:hAnsi="仿宋_GB2312" w:eastAsia="仿宋_GB2312" w:cs="仿宋_GB2312"/>
          <w:sz w:val="32"/>
          <w:szCs w:val="32"/>
          <w:lang w:val="en-US" w:eastAsia="zh-CN"/>
        </w:rPr>
        <w:t>25</w:t>
      </w:r>
      <w:r>
        <w:rPr>
          <w:rFonts w:hint="eastAsia" w:ascii="仿宋_GB2312" w:hAnsi="仿宋_GB2312" w:eastAsia="仿宋_GB2312" w:cs="仿宋_GB2312"/>
          <w:sz w:val="32"/>
          <w:szCs w:val="32"/>
        </w:rPr>
        <w:t>日</w:t>
      </w:r>
    </w:p>
    <w:p w14:paraId="7F697581">
      <w:pPr>
        <w:keepNext w:val="0"/>
        <w:keepLines w:val="0"/>
        <w:pageBreakBefore w:val="0"/>
        <w:widowControl w:val="0"/>
        <w:kinsoku/>
        <w:wordWrap/>
        <w:overflowPunct/>
        <w:topLinePunct w:val="0"/>
        <w:autoSpaceDE/>
        <w:autoSpaceDN/>
        <w:bidi w:val="0"/>
        <w:adjustRightInd/>
        <w:snapToGrid/>
        <w:spacing w:line="560" w:lineRule="exact"/>
        <w:ind w:left="1542" w:leftChars="300" w:hanging="936" w:hangingChars="300"/>
        <w:textAlignment w:val="auto"/>
        <w:rPr>
          <w:rFonts w:ascii="方正小标宋简体" w:hAnsi="方正小标宋简体" w:eastAsia="方正小标宋简体" w:cs="方正小标宋简体"/>
          <w:spacing w:val="-6"/>
          <w:sz w:val="44"/>
          <w:szCs w:val="44"/>
        </w:rPr>
      </w:pPr>
      <w:r>
        <w:rPr>
          <w:rFonts w:hint="eastAsia" w:ascii="仿宋_GB2312" w:hAnsi="仿宋_GB2312" w:eastAsia="仿宋_GB2312" w:cs="仿宋_GB2312"/>
          <w:sz w:val="32"/>
          <w:szCs w:val="32"/>
        </w:rPr>
        <w:t>（此件</w:t>
      </w:r>
      <w:r>
        <w:rPr>
          <w:rFonts w:hint="eastAsia" w:ascii="仿宋_GB2312" w:hAnsi="仿宋_GB2312" w:eastAsia="仿宋_GB2312" w:cs="仿宋_GB2312"/>
          <w:sz w:val="32"/>
          <w:szCs w:val="32"/>
          <w:lang w:eastAsia="zh-CN"/>
        </w:rPr>
        <w:t>主动</w:t>
      </w:r>
      <w:r>
        <w:rPr>
          <w:rFonts w:hint="eastAsia" w:ascii="仿宋_GB2312" w:hAnsi="仿宋_GB2312" w:eastAsia="仿宋_GB2312" w:cs="仿宋_GB2312"/>
          <w:sz w:val="32"/>
          <w:szCs w:val="32"/>
        </w:rPr>
        <w:t>公开）</w:t>
      </w:r>
    </w:p>
    <w:p w14:paraId="1DE6892C">
      <w:pPr>
        <w:overflowPunct w:val="0"/>
        <w:spacing w:line="560" w:lineRule="exact"/>
        <w:jc w:val="center"/>
        <w:outlineLvl w:val="0"/>
        <w:rPr>
          <w:rFonts w:hint="eastAsia" w:ascii="方正小标宋简体" w:hAnsi="方正小标宋简体" w:eastAsia="方正小标宋简体" w:cs="方正小标宋简体"/>
          <w:spacing w:val="-6"/>
          <w:sz w:val="44"/>
          <w:szCs w:val="44"/>
        </w:rPr>
      </w:pPr>
    </w:p>
    <w:p w14:paraId="37A7E078">
      <w:pPr>
        <w:overflowPunct w:val="0"/>
        <w:spacing w:line="560" w:lineRule="exact"/>
        <w:jc w:val="center"/>
        <w:outlineLvl w:val="0"/>
        <w:rPr>
          <w:rFonts w:hint="eastAsia" w:ascii="方正小标宋简体" w:hAnsi="方正小标宋简体" w:eastAsia="方正小标宋简体" w:cs="方正小标宋简体"/>
          <w:spacing w:val="-6"/>
          <w:sz w:val="44"/>
          <w:szCs w:val="44"/>
        </w:rPr>
      </w:pPr>
    </w:p>
    <w:p w14:paraId="1FBD1475">
      <w:pPr>
        <w:overflowPunct w:val="0"/>
        <w:spacing w:line="560" w:lineRule="exact"/>
        <w:jc w:val="center"/>
        <w:outlineLvl w:val="0"/>
        <w:rPr>
          <w:rFonts w:hint="eastAsia" w:ascii="方正小标宋简体" w:hAnsi="方正小标宋简体" w:eastAsia="方正小标宋简体" w:cs="方正小标宋简体"/>
          <w:spacing w:val="-6"/>
          <w:sz w:val="44"/>
          <w:szCs w:val="44"/>
        </w:rPr>
      </w:pPr>
    </w:p>
    <w:p w14:paraId="620FF8F4">
      <w:pPr>
        <w:overflowPunct w:val="0"/>
        <w:spacing w:line="560" w:lineRule="exact"/>
        <w:jc w:val="center"/>
        <w:outlineLvl w:val="0"/>
        <w:rPr>
          <w:rFonts w:hint="eastAsia" w:ascii="方正小标宋简体" w:hAnsi="方正小标宋简体" w:eastAsia="方正小标宋简体" w:cs="方正小标宋简体"/>
          <w:spacing w:val="-6"/>
          <w:sz w:val="44"/>
          <w:szCs w:val="44"/>
        </w:rPr>
      </w:pPr>
    </w:p>
    <w:p w14:paraId="0CB95329">
      <w:pPr>
        <w:overflowPunct w:val="0"/>
        <w:spacing w:line="560" w:lineRule="exact"/>
        <w:jc w:val="center"/>
        <w:outlineLvl w:val="0"/>
        <w:rPr>
          <w:rFonts w:hint="eastAsia" w:ascii="方正小标宋简体" w:hAnsi="方正小标宋简体" w:eastAsia="方正小标宋简体" w:cs="方正小标宋简体"/>
          <w:spacing w:val="-6"/>
          <w:sz w:val="44"/>
          <w:szCs w:val="44"/>
        </w:rPr>
      </w:pPr>
    </w:p>
    <w:p w14:paraId="1A258707">
      <w:pPr>
        <w:overflowPunct w:val="0"/>
        <w:spacing w:line="560" w:lineRule="exact"/>
        <w:jc w:val="center"/>
        <w:outlineLvl w:val="0"/>
        <w:rPr>
          <w:rFonts w:hint="eastAsia" w:ascii="方正小标宋简体" w:hAnsi="方正小标宋简体" w:eastAsia="方正小标宋简体" w:cs="方正小标宋简体"/>
          <w:spacing w:val="-6"/>
          <w:sz w:val="44"/>
          <w:szCs w:val="44"/>
        </w:rPr>
      </w:pPr>
    </w:p>
    <w:p w14:paraId="18AFA595">
      <w:pPr>
        <w:overflowPunct w:val="0"/>
        <w:spacing w:line="560" w:lineRule="exact"/>
        <w:jc w:val="center"/>
        <w:outlineLvl w:val="0"/>
        <w:rPr>
          <w:rFonts w:hint="eastAsia" w:ascii="方正小标宋简体" w:hAnsi="方正小标宋简体" w:eastAsia="方正小标宋简体" w:cs="方正小标宋简体"/>
          <w:spacing w:val="-6"/>
          <w:sz w:val="44"/>
          <w:szCs w:val="44"/>
        </w:rPr>
      </w:pPr>
    </w:p>
    <w:p w14:paraId="55F5A1DF">
      <w:pPr>
        <w:overflowPunct w:val="0"/>
        <w:spacing w:line="560" w:lineRule="exact"/>
        <w:jc w:val="center"/>
        <w:outlineLvl w:val="0"/>
        <w:rPr>
          <w:rFonts w:hint="eastAsia" w:ascii="方正小标宋简体" w:hAnsi="方正小标宋简体" w:eastAsia="方正小标宋简体" w:cs="方正小标宋简体"/>
          <w:spacing w:val="-6"/>
          <w:sz w:val="44"/>
          <w:szCs w:val="44"/>
        </w:rPr>
      </w:pPr>
    </w:p>
    <w:p w14:paraId="2BE3EFB3">
      <w:pPr>
        <w:overflowPunct w:val="0"/>
        <w:spacing w:line="560" w:lineRule="exact"/>
        <w:jc w:val="center"/>
        <w:outlineLvl w:val="0"/>
        <w:rPr>
          <w:rFonts w:hint="eastAsia" w:ascii="方正小标宋简体" w:hAnsi="方正小标宋简体" w:eastAsia="方正小标宋简体" w:cs="方正小标宋简体"/>
          <w:spacing w:val="-6"/>
          <w:sz w:val="44"/>
          <w:szCs w:val="44"/>
        </w:rPr>
      </w:pPr>
    </w:p>
    <w:p w14:paraId="58DBAC4C">
      <w:pPr>
        <w:overflowPunct w:val="0"/>
        <w:spacing w:line="560" w:lineRule="exact"/>
        <w:jc w:val="center"/>
        <w:outlineLvl w:val="0"/>
        <w:rPr>
          <w:rFonts w:hint="eastAsia" w:ascii="方正小标宋简体" w:hAnsi="方正小标宋简体" w:eastAsia="方正小标宋简体" w:cs="方正小标宋简体"/>
          <w:spacing w:val="-6"/>
          <w:sz w:val="44"/>
          <w:szCs w:val="44"/>
        </w:rPr>
      </w:pPr>
    </w:p>
    <w:p w14:paraId="4D0B2500">
      <w:pPr>
        <w:overflowPunct w:val="0"/>
        <w:spacing w:line="560" w:lineRule="exact"/>
        <w:jc w:val="center"/>
        <w:outlineLvl w:val="0"/>
        <w:rPr>
          <w:rFonts w:hint="eastAsia" w:ascii="方正小标宋简体" w:hAnsi="方正小标宋简体" w:eastAsia="方正小标宋简体" w:cs="方正小标宋简体"/>
          <w:spacing w:val="-6"/>
          <w:sz w:val="44"/>
          <w:szCs w:val="44"/>
        </w:rPr>
      </w:pPr>
    </w:p>
    <w:p w14:paraId="62CEEE94">
      <w:pPr>
        <w:overflowPunct w:val="0"/>
        <w:spacing w:line="560" w:lineRule="exact"/>
        <w:jc w:val="center"/>
        <w:outlineLvl w:val="0"/>
        <w:rPr>
          <w:rFonts w:hint="eastAsia" w:ascii="方正小标宋简体" w:hAnsi="方正小标宋简体" w:eastAsia="方正小标宋简体" w:cs="方正小标宋简体"/>
          <w:spacing w:val="-6"/>
          <w:sz w:val="44"/>
          <w:szCs w:val="44"/>
        </w:rPr>
      </w:pPr>
    </w:p>
    <w:p w14:paraId="0C2F06F9">
      <w:pPr>
        <w:overflowPunct w:val="0"/>
        <w:spacing w:line="560" w:lineRule="exact"/>
        <w:jc w:val="center"/>
        <w:outlineLvl w:val="0"/>
        <w:rPr>
          <w:rFonts w:hint="eastAsia" w:ascii="方正小标宋简体" w:hAnsi="方正小标宋简体" w:eastAsia="方正小标宋简体" w:cs="方正小标宋简体"/>
          <w:spacing w:val="-6"/>
          <w:sz w:val="44"/>
          <w:szCs w:val="44"/>
        </w:rPr>
      </w:pPr>
    </w:p>
    <w:p w14:paraId="03CDA52B">
      <w:pPr>
        <w:overflowPunct w:val="0"/>
        <w:spacing w:line="560" w:lineRule="exact"/>
        <w:jc w:val="center"/>
        <w:outlineLvl w:val="0"/>
        <w:rPr>
          <w:rFonts w:hint="eastAsia" w:ascii="方正小标宋简体" w:hAnsi="方正小标宋简体" w:eastAsia="方正小标宋简体" w:cs="方正小标宋简体"/>
          <w:spacing w:val="-6"/>
          <w:sz w:val="44"/>
          <w:szCs w:val="44"/>
        </w:rPr>
      </w:pPr>
    </w:p>
    <w:p w14:paraId="7CD99E8F">
      <w:pPr>
        <w:overflowPunct w:val="0"/>
        <w:spacing w:line="560" w:lineRule="exact"/>
        <w:jc w:val="center"/>
        <w:outlineLvl w:val="0"/>
        <w:rPr>
          <w:rFonts w:hint="eastAsia" w:ascii="方正小标宋简体" w:hAnsi="方正小标宋简体" w:eastAsia="方正小标宋简体" w:cs="方正小标宋简体"/>
          <w:spacing w:val="-6"/>
          <w:sz w:val="44"/>
          <w:szCs w:val="44"/>
        </w:rPr>
      </w:pPr>
    </w:p>
    <w:p w14:paraId="0BFF9F81">
      <w:pPr>
        <w:overflowPunct w:val="0"/>
        <w:spacing w:line="560" w:lineRule="exact"/>
        <w:jc w:val="center"/>
        <w:outlineLvl w:val="0"/>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pacing w:val="-6"/>
          <w:sz w:val="44"/>
          <w:szCs w:val="44"/>
        </w:rPr>
        <w:t>赤峰高新技术产业开发区东山产业园企业入园、</w:t>
      </w:r>
      <w:r>
        <w:rPr>
          <w:rFonts w:hint="eastAsia" w:ascii="方正小标宋简体" w:hAnsi="方正小标宋简体" w:eastAsia="方正小标宋简体" w:cs="方正小标宋简体"/>
          <w:sz w:val="44"/>
          <w:szCs w:val="44"/>
        </w:rPr>
        <w:t>退出及项目建设管理办法（试行）</w:t>
      </w:r>
    </w:p>
    <w:bookmarkEnd w:id="0"/>
    <w:bookmarkEnd w:id="1"/>
    <w:p w14:paraId="3C6A0AF3">
      <w:pPr>
        <w:overflowPunct w:val="0"/>
        <w:spacing w:line="560" w:lineRule="exact"/>
        <w:jc w:val="left"/>
      </w:pPr>
      <w:bookmarkStart w:id="3" w:name="_Hlk166835703"/>
    </w:p>
    <w:bookmarkEnd w:id="3"/>
    <w:p w14:paraId="1B26AD4E">
      <w:pPr>
        <w:overflowPunct w:val="0"/>
        <w:spacing w:line="560" w:lineRule="exact"/>
        <w:jc w:val="center"/>
        <w:rPr>
          <w:rFonts w:hint="eastAsia" w:ascii="黑体" w:hAnsi="黑体" w:eastAsia="黑体"/>
          <w:sz w:val="32"/>
          <w:szCs w:val="32"/>
        </w:rPr>
      </w:pPr>
      <w:bookmarkStart w:id="4" w:name="_Toc28868"/>
      <w:bookmarkStart w:id="5" w:name="_Toc23307"/>
      <w:bookmarkStart w:id="6" w:name="_Toc357"/>
      <w:bookmarkStart w:id="7" w:name="_Toc6922"/>
      <w:bookmarkStart w:id="8" w:name="_Toc21988"/>
      <w:bookmarkStart w:id="9" w:name="_Toc27534"/>
      <w:bookmarkStart w:id="10" w:name="_Toc549"/>
      <w:bookmarkStart w:id="11" w:name="_Toc20607"/>
      <w:r>
        <w:rPr>
          <w:rFonts w:hint="eastAsia" w:ascii="黑体" w:hAnsi="黑体" w:eastAsia="黑体"/>
          <w:sz w:val="32"/>
          <w:szCs w:val="32"/>
        </w:rPr>
        <w:t>第一章</w:t>
      </w:r>
      <w:r>
        <w:rPr>
          <w:rFonts w:ascii="黑体" w:hAnsi="黑体" w:eastAsia="黑体"/>
          <w:sz w:val="32"/>
          <w:szCs w:val="32"/>
        </w:rPr>
        <w:t xml:space="preserve"> 总</w:t>
      </w:r>
      <w:r>
        <w:rPr>
          <w:rFonts w:hint="eastAsia" w:ascii="黑体" w:hAnsi="黑体" w:eastAsia="黑体"/>
          <w:sz w:val="32"/>
          <w:szCs w:val="32"/>
        </w:rPr>
        <w:t xml:space="preserve">   </w:t>
      </w:r>
      <w:r>
        <w:rPr>
          <w:rFonts w:ascii="黑体" w:hAnsi="黑体" w:eastAsia="黑体"/>
          <w:sz w:val="32"/>
          <w:szCs w:val="32"/>
        </w:rPr>
        <w:t>则</w:t>
      </w:r>
    </w:p>
    <w:bookmarkEnd w:id="4"/>
    <w:bookmarkEnd w:id="5"/>
    <w:bookmarkEnd w:id="6"/>
    <w:bookmarkEnd w:id="7"/>
    <w:bookmarkEnd w:id="8"/>
    <w:bookmarkEnd w:id="9"/>
    <w:bookmarkEnd w:id="10"/>
    <w:bookmarkEnd w:id="11"/>
    <w:p w14:paraId="2027CD9F">
      <w:pPr>
        <w:spacing w:line="560" w:lineRule="exact"/>
        <w:ind w:firstLine="624" w:firstLineChars="200"/>
        <w:jc w:val="left"/>
        <w:rPr>
          <w:rFonts w:hint="eastAsia" w:ascii="仿宋_GB2312" w:hAnsi="仿宋" w:eastAsia="仿宋_GB2312"/>
          <w:b/>
          <w:bCs/>
          <w:sz w:val="32"/>
          <w:szCs w:val="32"/>
        </w:rPr>
      </w:pPr>
    </w:p>
    <w:p w14:paraId="38F808FB">
      <w:pPr>
        <w:spacing w:line="560" w:lineRule="exact"/>
        <w:ind w:firstLine="624" w:firstLineChars="200"/>
        <w:rPr>
          <w:rFonts w:hint="eastAsia" w:ascii="仿宋_GB2312" w:hAnsi="仿宋" w:eastAsia="仿宋_GB2312"/>
          <w:sz w:val="32"/>
          <w:szCs w:val="32"/>
        </w:rPr>
      </w:pPr>
      <w:r>
        <w:rPr>
          <w:rFonts w:hint="eastAsia" w:ascii="楷体_GB2312" w:hAnsi="楷体_GB2312" w:eastAsia="楷体_GB2312" w:cs="楷体_GB2312"/>
          <w:sz w:val="32"/>
          <w:szCs w:val="32"/>
        </w:rPr>
        <w:t>第一条</w:t>
      </w:r>
      <w:r>
        <w:rPr>
          <w:rFonts w:hint="eastAsia" w:ascii="黑体" w:hAnsi="黑体" w:eastAsia="黑体" w:cs="黑体"/>
          <w:sz w:val="32"/>
          <w:szCs w:val="32"/>
        </w:rPr>
        <w:t>  </w:t>
      </w:r>
      <w:bookmarkStart w:id="12" w:name="OLE_LINK30"/>
      <w:r>
        <w:rPr>
          <w:rFonts w:hint="eastAsia" w:ascii="仿宋_GB2312" w:hAnsi="仿宋" w:eastAsia="仿宋_GB2312"/>
          <w:sz w:val="32"/>
          <w:szCs w:val="32"/>
        </w:rPr>
        <w:t>为进一步</w:t>
      </w:r>
      <w:r>
        <w:rPr>
          <w:rFonts w:ascii="仿宋_GB2312" w:hAnsi="仿宋" w:eastAsia="仿宋_GB2312"/>
          <w:sz w:val="32"/>
          <w:szCs w:val="32"/>
        </w:rPr>
        <w:t>规范</w:t>
      </w:r>
      <w:r>
        <w:rPr>
          <w:rFonts w:hint="eastAsia" w:ascii="仿宋_GB2312" w:hAnsi="仿宋" w:eastAsia="仿宋_GB2312"/>
          <w:sz w:val="32"/>
          <w:szCs w:val="32"/>
        </w:rPr>
        <w:t>赤峰高新技术产业开发区东山产业园企业（含建设项目）</w:t>
      </w:r>
      <w:r>
        <w:rPr>
          <w:rFonts w:ascii="仿宋_GB2312" w:hAnsi="仿宋" w:eastAsia="仿宋_GB2312"/>
          <w:sz w:val="32"/>
          <w:szCs w:val="32"/>
        </w:rPr>
        <w:t>准入、建设、退出管理，</w:t>
      </w:r>
      <w:r>
        <w:rPr>
          <w:rFonts w:hint="eastAsia" w:ascii="仿宋_GB2312" w:hAnsi="仿宋" w:eastAsia="仿宋_GB2312"/>
          <w:sz w:val="32"/>
          <w:szCs w:val="32"/>
        </w:rPr>
        <w:t>聚焦园区产业发展方向，真正发挥产业聚集、产业链延伸及耦合共生效能，实现区域经济结构进一步调整和升级优化的目标，</w:t>
      </w:r>
      <w:bookmarkStart w:id="13" w:name="OLE_LINK43"/>
      <w:r>
        <w:rPr>
          <w:rFonts w:hint="eastAsia" w:ascii="仿宋_GB2312" w:hAnsi="仿宋" w:eastAsia="仿宋_GB2312"/>
          <w:sz w:val="32"/>
          <w:szCs w:val="32"/>
        </w:rPr>
        <w:t>根据相关法律、法规和国家、自治区、赤峰市有关产业政策，</w:t>
      </w:r>
      <w:bookmarkEnd w:id="13"/>
      <w:r>
        <w:rPr>
          <w:rFonts w:hint="eastAsia" w:ascii="仿宋_GB2312" w:hAnsi="仿宋" w:eastAsia="仿宋_GB2312"/>
          <w:sz w:val="32"/>
          <w:szCs w:val="32"/>
        </w:rPr>
        <w:t>结合东山产业园实际，现制定本管理办法，实现企业入驻精准、运营管理规范，有效提升政府营商软环境和企业经营硬实力。</w:t>
      </w:r>
      <w:bookmarkEnd w:id="12"/>
    </w:p>
    <w:p w14:paraId="2A32411C">
      <w:pPr>
        <w:spacing w:line="560" w:lineRule="exact"/>
        <w:ind w:firstLine="624" w:firstLineChars="200"/>
        <w:rPr>
          <w:rFonts w:hint="eastAsia" w:ascii="仿宋_GB2312" w:hAnsi="仿宋" w:eastAsia="仿宋_GB2312"/>
          <w:sz w:val="32"/>
          <w:szCs w:val="32"/>
        </w:rPr>
      </w:pPr>
      <w:r>
        <w:rPr>
          <w:rFonts w:hint="eastAsia" w:ascii="楷体_GB2312" w:hAnsi="楷体_GB2312" w:eastAsia="楷体_GB2312" w:cs="楷体_GB2312"/>
          <w:sz w:val="32"/>
          <w:szCs w:val="32"/>
        </w:rPr>
        <w:t>第二条</w:t>
      </w:r>
      <w:r>
        <w:rPr>
          <w:rFonts w:hint="eastAsia" w:ascii="黑体" w:hAnsi="黑体" w:eastAsia="黑体" w:cs="黑体"/>
          <w:sz w:val="32"/>
          <w:szCs w:val="32"/>
        </w:rPr>
        <w:t>  </w:t>
      </w:r>
      <w:r>
        <w:rPr>
          <w:rFonts w:ascii="仿宋_GB2312" w:hAnsi="仿宋" w:eastAsia="仿宋_GB2312"/>
          <w:sz w:val="32"/>
          <w:szCs w:val="32"/>
        </w:rPr>
        <w:t>本办法适用于</w:t>
      </w:r>
      <w:r>
        <w:rPr>
          <w:rFonts w:hint="eastAsia" w:ascii="仿宋_GB2312" w:hAnsi="仿宋" w:eastAsia="仿宋_GB2312"/>
          <w:sz w:val="32"/>
          <w:szCs w:val="32"/>
        </w:rPr>
        <w:t>东山产业园内拟入驻及已入驻的企业（建设项目）</w:t>
      </w:r>
      <w:r>
        <w:rPr>
          <w:rFonts w:ascii="仿宋_GB2312" w:hAnsi="仿宋" w:eastAsia="仿宋_GB2312"/>
          <w:sz w:val="32"/>
          <w:szCs w:val="32"/>
        </w:rPr>
        <w:t>。</w:t>
      </w:r>
    </w:p>
    <w:p w14:paraId="30F78134">
      <w:pPr>
        <w:spacing w:line="560" w:lineRule="exact"/>
        <w:ind w:firstLine="624" w:firstLineChars="200"/>
        <w:rPr>
          <w:rFonts w:hint="eastAsia" w:ascii="仿宋_GB2312" w:hAnsi="仿宋" w:eastAsia="仿宋_GB2312"/>
          <w:sz w:val="32"/>
          <w:szCs w:val="32"/>
        </w:rPr>
      </w:pPr>
      <w:bookmarkStart w:id="14" w:name="OLE_LINK65"/>
      <w:bookmarkStart w:id="15" w:name="OLE_LINK67"/>
      <w:r>
        <w:rPr>
          <w:rFonts w:hint="eastAsia" w:ascii="楷体_GB2312" w:hAnsi="楷体_GB2312" w:eastAsia="楷体_GB2312" w:cs="楷体_GB2312"/>
          <w:sz w:val="32"/>
          <w:szCs w:val="32"/>
        </w:rPr>
        <w:t>第三条</w:t>
      </w:r>
      <w:r>
        <w:rPr>
          <w:rFonts w:hint="eastAsia" w:ascii="黑体" w:hAnsi="黑体" w:eastAsia="黑体" w:cs="黑体"/>
          <w:sz w:val="32"/>
          <w:szCs w:val="32"/>
        </w:rPr>
        <w:t>  </w:t>
      </w:r>
      <w:bookmarkStart w:id="16" w:name="OLE_LINK66"/>
      <w:r>
        <w:rPr>
          <w:rFonts w:ascii="仿宋_GB2312" w:hAnsi="仿宋" w:eastAsia="仿宋_GB2312"/>
          <w:sz w:val="32"/>
          <w:szCs w:val="32"/>
        </w:rPr>
        <w:t>本办法遵循以下原则</w:t>
      </w:r>
      <w:bookmarkEnd w:id="16"/>
      <w:r>
        <w:rPr>
          <w:rFonts w:ascii="仿宋_GB2312" w:hAnsi="仿宋" w:eastAsia="仿宋_GB2312"/>
          <w:sz w:val="32"/>
          <w:szCs w:val="32"/>
        </w:rPr>
        <w:t>。</w:t>
      </w:r>
    </w:p>
    <w:bookmarkEnd w:id="14"/>
    <w:p w14:paraId="1D14D226">
      <w:pPr>
        <w:spacing w:line="560" w:lineRule="exact"/>
        <w:ind w:firstLine="624" w:firstLineChars="200"/>
        <w:rPr>
          <w:rFonts w:hint="eastAsia" w:ascii="仿宋_GB2312" w:hAnsi="仿宋" w:eastAsia="仿宋_GB2312"/>
          <w:sz w:val="32"/>
          <w:szCs w:val="32"/>
        </w:rPr>
      </w:pPr>
      <w:r>
        <w:rPr>
          <w:rFonts w:hint="eastAsia" w:ascii="仿宋_GB2312" w:hAnsi="仿宋" w:eastAsia="仿宋_GB2312"/>
          <w:sz w:val="32"/>
          <w:szCs w:val="32"/>
        </w:rPr>
        <w:t>（一）</w:t>
      </w:r>
      <w:bookmarkStart w:id="17" w:name="OLE_LINK138"/>
      <w:r>
        <w:rPr>
          <w:rFonts w:hint="eastAsia" w:ascii="仿宋_GB2312" w:hAnsi="仿宋" w:eastAsia="仿宋_GB2312"/>
          <w:sz w:val="32"/>
          <w:szCs w:val="32"/>
        </w:rPr>
        <w:t>公平公正</w:t>
      </w:r>
      <w:bookmarkEnd w:id="17"/>
      <w:r>
        <w:rPr>
          <w:rFonts w:hint="eastAsia" w:ascii="仿宋_GB2312" w:hAnsi="仿宋" w:eastAsia="仿宋_GB2312"/>
          <w:sz w:val="32"/>
          <w:szCs w:val="32"/>
        </w:rPr>
        <w:t>、公开透明。</w:t>
      </w:r>
      <w:r>
        <w:rPr>
          <w:rFonts w:ascii="仿宋_GB2312" w:hAnsi="仿宋" w:eastAsia="仿宋_GB2312"/>
          <w:sz w:val="32"/>
          <w:szCs w:val="32"/>
        </w:rPr>
        <w:t>坚持准入</w:t>
      </w:r>
      <w:r>
        <w:rPr>
          <w:rFonts w:hint="eastAsia" w:ascii="仿宋_GB2312" w:hAnsi="仿宋" w:eastAsia="仿宋_GB2312"/>
          <w:sz w:val="32"/>
          <w:szCs w:val="32"/>
        </w:rPr>
        <w:t>条件</w:t>
      </w:r>
      <w:r>
        <w:rPr>
          <w:rFonts w:ascii="仿宋_GB2312" w:hAnsi="仿宋" w:eastAsia="仿宋_GB2312"/>
          <w:sz w:val="32"/>
          <w:szCs w:val="32"/>
        </w:rPr>
        <w:t>与退出机制的统一，</w:t>
      </w:r>
      <w:r>
        <w:rPr>
          <w:rFonts w:hint="eastAsia" w:ascii="仿宋_GB2312" w:hAnsi="仿宋" w:eastAsia="仿宋_GB2312"/>
          <w:sz w:val="32"/>
          <w:szCs w:val="32"/>
        </w:rPr>
        <w:t>提升履约能力</w:t>
      </w:r>
      <w:r>
        <w:rPr>
          <w:rFonts w:ascii="仿宋_GB2312" w:hAnsi="仿宋" w:eastAsia="仿宋_GB2312"/>
          <w:sz w:val="32"/>
          <w:szCs w:val="32"/>
        </w:rPr>
        <w:t>；</w:t>
      </w:r>
      <w:r>
        <w:rPr>
          <w:rFonts w:hint="eastAsia" w:ascii="仿宋_GB2312" w:hAnsi="仿宋" w:eastAsia="仿宋_GB2312"/>
          <w:sz w:val="32"/>
          <w:szCs w:val="32"/>
        </w:rPr>
        <w:t>规范</w:t>
      </w:r>
      <w:r>
        <w:rPr>
          <w:rFonts w:ascii="仿宋_GB2312" w:hAnsi="仿宋" w:eastAsia="仿宋_GB2312"/>
          <w:sz w:val="32"/>
          <w:szCs w:val="32"/>
        </w:rPr>
        <w:t>评审流程、指标体系及处置标准的公开公示制度，确保企业入园资格审核、绩效评估、退出处理等全流程规则</w:t>
      </w:r>
      <w:r>
        <w:rPr>
          <w:rFonts w:hint="eastAsia" w:ascii="仿宋_GB2312" w:hAnsi="仿宋" w:eastAsia="仿宋_GB2312"/>
          <w:sz w:val="32"/>
          <w:szCs w:val="32"/>
        </w:rPr>
        <w:t>公平公正</w:t>
      </w:r>
      <w:r>
        <w:rPr>
          <w:rFonts w:ascii="仿宋_GB2312" w:hAnsi="仿宋" w:eastAsia="仿宋_GB2312"/>
          <w:sz w:val="32"/>
          <w:szCs w:val="32"/>
        </w:rPr>
        <w:t>，保障</w:t>
      </w:r>
      <w:r>
        <w:rPr>
          <w:rFonts w:hint="eastAsia" w:ascii="仿宋_GB2312" w:hAnsi="仿宋" w:eastAsia="仿宋_GB2312"/>
          <w:sz w:val="32"/>
          <w:szCs w:val="32"/>
        </w:rPr>
        <w:t>东山产业园内</w:t>
      </w:r>
      <w:r>
        <w:rPr>
          <w:rFonts w:ascii="仿宋_GB2312" w:hAnsi="仿宋" w:eastAsia="仿宋_GB2312"/>
          <w:sz w:val="32"/>
          <w:szCs w:val="32"/>
        </w:rPr>
        <w:t>市场主体</w:t>
      </w:r>
      <w:r>
        <w:rPr>
          <w:rFonts w:hint="eastAsia" w:ascii="仿宋_GB2312" w:hAnsi="仿宋" w:eastAsia="仿宋_GB2312"/>
          <w:sz w:val="32"/>
          <w:szCs w:val="32"/>
        </w:rPr>
        <w:t>依法合规经营</w:t>
      </w:r>
      <w:r>
        <w:rPr>
          <w:rFonts w:ascii="仿宋_GB2312" w:hAnsi="仿宋" w:eastAsia="仿宋_GB2312"/>
          <w:sz w:val="32"/>
          <w:szCs w:val="32"/>
        </w:rPr>
        <w:t>。</w:t>
      </w:r>
    </w:p>
    <w:p w14:paraId="7BA7D8C2">
      <w:pPr>
        <w:spacing w:line="560" w:lineRule="exact"/>
        <w:ind w:firstLine="624" w:firstLineChars="200"/>
        <w:rPr>
          <w:rFonts w:hint="eastAsia" w:ascii="仿宋_GB2312" w:hAnsi="仿宋" w:eastAsia="仿宋_GB2312"/>
          <w:sz w:val="32"/>
          <w:szCs w:val="32"/>
        </w:rPr>
      </w:pPr>
      <w:r>
        <w:rPr>
          <w:rFonts w:hint="eastAsia" w:ascii="仿宋_GB2312" w:hAnsi="仿宋" w:eastAsia="仿宋_GB2312"/>
          <w:sz w:val="32"/>
          <w:szCs w:val="32"/>
        </w:rPr>
        <w:t>（二）统筹协同、质效并重。</w:t>
      </w:r>
      <w:r>
        <w:rPr>
          <w:rFonts w:ascii="仿宋_GB2312" w:hAnsi="仿宋" w:eastAsia="仿宋_GB2312"/>
          <w:sz w:val="32"/>
          <w:szCs w:val="32"/>
        </w:rPr>
        <w:t>建立跨部门联合</w:t>
      </w:r>
      <w:r>
        <w:rPr>
          <w:rFonts w:hint="eastAsia" w:ascii="仿宋_GB2312" w:hAnsi="仿宋" w:eastAsia="仿宋_GB2312"/>
          <w:sz w:val="32"/>
          <w:szCs w:val="32"/>
        </w:rPr>
        <w:t>协同</w:t>
      </w:r>
      <w:r>
        <w:rPr>
          <w:rFonts w:ascii="仿宋_GB2312" w:hAnsi="仿宋" w:eastAsia="仿宋_GB2312"/>
          <w:sz w:val="32"/>
          <w:szCs w:val="32"/>
        </w:rPr>
        <w:t>机制，强化项目全周期的统筹调度；优化审批流程、</w:t>
      </w:r>
      <w:r>
        <w:rPr>
          <w:rFonts w:hint="eastAsia" w:ascii="仿宋_GB2312" w:hAnsi="仿宋" w:eastAsia="仿宋_GB2312"/>
          <w:sz w:val="32"/>
          <w:szCs w:val="32"/>
        </w:rPr>
        <w:t>提高</w:t>
      </w:r>
      <w:r>
        <w:rPr>
          <w:rFonts w:ascii="仿宋_GB2312" w:hAnsi="仿宋" w:eastAsia="仿宋_GB2312"/>
          <w:sz w:val="32"/>
          <w:szCs w:val="32"/>
        </w:rPr>
        <w:t>办理</w:t>
      </w:r>
      <w:r>
        <w:rPr>
          <w:rFonts w:hint="eastAsia" w:ascii="仿宋_GB2312" w:hAnsi="仿宋" w:eastAsia="仿宋_GB2312"/>
          <w:sz w:val="32"/>
          <w:szCs w:val="32"/>
        </w:rPr>
        <w:t>效率</w:t>
      </w:r>
      <w:r>
        <w:rPr>
          <w:rFonts w:ascii="仿宋_GB2312" w:hAnsi="仿宋" w:eastAsia="仿宋_GB2312"/>
          <w:sz w:val="32"/>
          <w:szCs w:val="32"/>
        </w:rPr>
        <w:t>，推动项目高效落地</w:t>
      </w:r>
      <w:r>
        <w:rPr>
          <w:rFonts w:hint="eastAsia" w:ascii="仿宋_GB2312" w:hAnsi="仿宋" w:eastAsia="仿宋_GB2312"/>
          <w:sz w:val="32"/>
          <w:szCs w:val="32"/>
        </w:rPr>
        <w:t>；</w:t>
      </w:r>
      <w:r>
        <w:rPr>
          <w:rFonts w:ascii="仿宋_GB2312" w:hAnsi="仿宋" w:eastAsia="仿宋_GB2312"/>
          <w:sz w:val="32"/>
          <w:szCs w:val="32"/>
        </w:rPr>
        <w:t>注重产业发展质量，实现发展效益与管理效能的有机统一。</w:t>
      </w:r>
    </w:p>
    <w:p w14:paraId="5847773C">
      <w:pPr>
        <w:spacing w:line="560" w:lineRule="exact"/>
        <w:ind w:firstLine="624" w:firstLineChars="200"/>
        <w:rPr>
          <w:rFonts w:hint="eastAsia" w:ascii="仿宋_GB2312" w:hAnsi="仿宋" w:eastAsia="仿宋_GB2312"/>
          <w:sz w:val="32"/>
          <w:szCs w:val="32"/>
        </w:rPr>
      </w:pPr>
      <w:r>
        <w:rPr>
          <w:rFonts w:hint="eastAsia" w:ascii="仿宋_GB2312" w:hAnsi="仿宋" w:eastAsia="仿宋_GB2312"/>
          <w:sz w:val="32"/>
          <w:szCs w:val="32"/>
        </w:rPr>
        <w:t>（三）产业集聚、资源集约。</w:t>
      </w:r>
      <w:r>
        <w:rPr>
          <w:rFonts w:ascii="仿宋_GB2312" w:hAnsi="仿宋" w:eastAsia="仿宋_GB2312"/>
          <w:sz w:val="32"/>
          <w:szCs w:val="32"/>
        </w:rPr>
        <w:t>以规划</w:t>
      </w:r>
      <w:r>
        <w:rPr>
          <w:rFonts w:hint="eastAsia" w:ascii="仿宋_GB2312" w:hAnsi="仿宋" w:eastAsia="仿宋_GB2312"/>
          <w:sz w:val="32"/>
          <w:szCs w:val="32"/>
        </w:rPr>
        <w:t>和定位</w:t>
      </w:r>
      <w:r>
        <w:rPr>
          <w:rFonts w:ascii="仿宋_GB2312" w:hAnsi="仿宋" w:eastAsia="仿宋_GB2312"/>
          <w:sz w:val="32"/>
          <w:szCs w:val="32"/>
        </w:rPr>
        <w:t>为导向，引导企业围绕产业链上下游布局，推动技术、人才、配套服务等要素集聚，形成产业协同发展生态；严格落实土地、环境等资源的高效利用标准，通过指标约束，杜绝资源浪费，实现要素的集约化利用与可持续发展。</w:t>
      </w:r>
    </w:p>
    <w:bookmarkEnd w:id="15"/>
    <w:p w14:paraId="6AF5AB24">
      <w:pPr>
        <w:adjustRightInd w:val="0"/>
        <w:snapToGrid w:val="0"/>
        <w:spacing w:line="560" w:lineRule="exact"/>
        <w:ind w:firstLine="624" w:firstLineChars="200"/>
        <w:rPr>
          <w:rFonts w:ascii="Times New Roman" w:hAnsi="Times New Roman" w:eastAsia="仿宋_GB2312" w:cs="Times New Roman"/>
          <w:sz w:val="32"/>
          <w:szCs w:val="32"/>
        </w:rPr>
      </w:pPr>
      <w:r>
        <w:rPr>
          <w:rFonts w:hint="eastAsia" w:ascii="楷体_GB2312" w:hAnsi="楷体_GB2312" w:eastAsia="楷体_GB2312" w:cs="楷体_GB2312"/>
          <w:sz w:val="32"/>
          <w:szCs w:val="32"/>
        </w:rPr>
        <w:t>第四条</w:t>
      </w:r>
      <w:r>
        <w:rPr>
          <w:rFonts w:hint="eastAsia" w:ascii="黑体" w:hAnsi="黑体" w:eastAsia="黑体" w:cs="黑体"/>
          <w:sz w:val="32"/>
          <w:szCs w:val="32"/>
        </w:rPr>
        <w:t xml:space="preserve">  </w:t>
      </w:r>
      <w:r>
        <w:rPr>
          <w:rFonts w:hint="eastAsia" w:ascii="仿宋_GB2312" w:hAnsi="仿宋" w:eastAsia="仿宋_GB2312"/>
          <w:sz w:val="32"/>
          <w:szCs w:val="32"/>
        </w:rPr>
        <w:t>组织保障。</w:t>
      </w:r>
    </w:p>
    <w:p w14:paraId="27AF92FE">
      <w:pPr>
        <w:adjustRightInd w:val="0"/>
        <w:snapToGrid w:val="0"/>
        <w:spacing w:line="560" w:lineRule="exact"/>
        <w:ind w:firstLine="624" w:firstLineChars="200"/>
        <w:rPr>
          <w:rFonts w:hint="eastAsia" w:ascii="仿宋_GB2312" w:hAnsi="仿宋" w:eastAsia="仿宋_GB2312"/>
          <w:sz w:val="32"/>
          <w:szCs w:val="32"/>
        </w:rPr>
      </w:pPr>
      <w:r>
        <w:rPr>
          <w:rFonts w:hint="eastAsia" w:ascii="仿宋_GB2312" w:hAnsi="仿宋" w:eastAsia="仿宋_GB2312"/>
          <w:sz w:val="32"/>
          <w:szCs w:val="32"/>
        </w:rPr>
        <w:t>赤峰高新技术产业开发区管理委员会（以下简称高新区管委会）</w:t>
      </w:r>
      <w:r>
        <w:rPr>
          <w:rFonts w:ascii="仿宋_GB2312" w:hAnsi="仿宋" w:eastAsia="仿宋_GB2312"/>
          <w:sz w:val="32"/>
          <w:szCs w:val="32"/>
        </w:rPr>
        <w:t>针对入园的建设项目应建立项目联合决策咨询机制。</w:t>
      </w:r>
      <w:r>
        <w:rPr>
          <w:rFonts w:hint="eastAsia" w:ascii="仿宋_GB2312" w:hAnsi="仿宋" w:eastAsia="仿宋_GB2312"/>
          <w:sz w:val="32"/>
          <w:szCs w:val="32"/>
        </w:rPr>
        <w:t>对新引进企业进行准入评估，对存量企业及改扩建项目每年进行绩效评估。</w:t>
      </w:r>
    </w:p>
    <w:p w14:paraId="204F75AA">
      <w:pPr>
        <w:adjustRightInd w:val="0"/>
        <w:snapToGrid w:val="0"/>
        <w:spacing w:line="560" w:lineRule="exact"/>
        <w:ind w:firstLine="624" w:firstLineChars="200"/>
        <w:rPr>
          <w:rFonts w:hint="eastAsia" w:ascii="仿宋_GB2312" w:hAnsi="仿宋" w:eastAsia="仿宋_GB2312"/>
          <w:sz w:val="32"/>
          <w:szCs w:val="32"/>
        </w:rPr>
      </w:pPr>
      <w:r>
        <w:rPr>
          <w:rFonts w:hint="eastAsia" w:ascii="楷体_GB2312" w:hAnsi="楷体_GB2312" w:eastAsia="楷体_GB2312" w:cs="楷体_GB2312"/>
          <w:sz w:val="32"/>
          <w:szCs w:val="32"/>
        </w:rPr>
        <w:t>第五条</w:t>
      </w:r>
      <w:r>
        <w:rPr>
          <w:rFonts w:hint="eastAsia" w:ascii="仿宋_GB2312" w:hAnsi="仿宋" w:eastAsia="仿宋_GB2312"/>
          <w:sz w:val="32"/>
          <w:szCs w:val="32"/>
        </w:rPr>
        <w:t xml:space="preserve">  东山产业园定位。</w:t>
      </w:r>
    </w:p>
    <w:p w14:paraId="31BBB0D6">
      <w:pPr>
        <w:adjustRightInd w:val="0"/>
        <w:snapToGrid w:val="0"/>
        <w:spacing w:line="560" w:lineRule="exact"/>
        <w:ind w:firstLine="624" w:firstLineChars="200"/>
        <w:rPr>
          <w:rFonts w:hint="eastAsia" w:ascii="仿宋_GB2312" w:hAnsi="仿宋" w:eastAsia="仿宋_GB2312"/>
          <w:sz w:val="32"/>
          <w:szCs w:val="32"/>
        </w:rPr>
      </w:pPr>
      <w:bookmarkStart w:id="18" w:name="_Hlk166835718"/>
      <w:bookmarkStart w:id="19" w:name="_Toc12572"/>
      <w:r>
        <w:rPr>
          <w:rFonts w:hint="eastAsia" w:ascii="仿宋_GB2312" w:hAnsi="仿宋" w:eastAsia="仿宋_GB2312"/>
          <w:sz w:val="32"/>
          <w:szCs w:val="32"/>
        </w:rPr>
        <w:t>入园企业（建设项目）应符合赤峰高新区总体规划、产业规划等各类</w:t>
      </w:r>
      <w:bookmarkStart w:id="20" w:name="OLE_LINK1"/>
      <w:r>
        <w:rPr>
          <w:rFonts w:hint="eastAsia" w:ascii="仿宋_GB2312" w:hAnsi="仿宋" w:eastAsia="仿宋_GB2312"/>
          <w:sz w:val="32"/>
          <w:szCs w:val="32"/>
        </w:rPr>
        <w:t>规划及产业定位，符合国家产业政策和环保等相关政策；鼓励高新技术</w:t>
      </w:r>
      <w:bookmarkEnd w:id="20"/>
      <w:r>
        <w:rPr>
          <w:rFonts w:hint="eastAsia" w:ascii="仿宋_GB2312" w:hAnsi="仿宋" w:eastAsia="仿宋_GB2312"/>
          <w:sz w:val="32"/>
          <w:szCs w:val="32"/>
        </w:rPr>
        <w:t>企业，资源节约型、环保友好型企业，有利于本地资源深度转化、综合利用及延伸产业链的企业，有利于促进园区主导产业规模培植和壮大的企业，以及国家产业政策鼓励发展的其他企业入驻园区。鼓励区域协同发展，发挥全市</w:t>
      </w:r>
      <w:bookmarkStart w:id="21" w:name="OLE_LINK68"/>
      <w:r>
        <w:rPr>
          <w:rFonts w:hint="eastAsia" w:ascii="仿宋_GB2312" w:hAnsi="仿宋" w:eastAsia="仿宋_GB2312"/>
          <w:sz w:val="32"/>
          <w:szCs w:val="32"/>
        </w:rPr>
        <w:t>南部工业经济带</w:t>
      </w:r>
      <w:bookmarkEnd w:id="21"/>
      <w:r>
        <w:rPr>
          <w:rFonts w:hint="eastAsia" w:ascii="仿宋_GB2312" w:hAnsi="仿宋" w:eastAsia="仿宋_GB2312"/>
          <w:sz w:val="32"/>
          <w:szCs w:val="32"/>
        </w:rPr>
        <w:t>的核心区作用，在全市大格局下，推进产业链一体化发展。</w:t>
      </w:r>
    </w:p>
    <w:p w14:paraId="2669F7AF">
      <w:pPr>
        <w:spacing w:line="560" w:lineRule="exact"/>
        <w:jc w:val="center"/>
        <w:rPr>
          <w:rFonts w:hint="eastAsia" w:ascii="黑体" w:hAnsi="黑体" w:eastAsia="黑体" w:cs="黑体"/>
          <w:bCs/>
          <w:sz w:val="32"/>
          <w:szCs w:val="32"/>
        </w:rPr>
      </w:pPr>
    </w:p>
    <w:p w14:paraId="17150334">
      <w:pPr>
        <w:spacing w:line="560" w:lineRule="exact"/>
        <w:jc w:val="center"/>
        <w:rPr>
          <w:rFonts w:hint="eastAsia" w:ascii="黑体" w:hAnsi="黑体" w:eastAsia="黑体" w:cs="黑体"/>
          <w:bCs/>
          <w:sz w:val="32"/>
          <w:szCs w:val="32"/>
        </w:rPr>
      </w:pPr>
      <w:r>
        <w:rPr>
          <w:rFonts w:hint="eastAsia" w:ascii="黑体" w:hAnsi="黑体" w:eastAsia="黑体" w:cs="黑体"/>
          <w:bCs/>
          <w:sz w:val="32"/>
          <w:szCs w:val="32"/>
        </w:rPr>
        <w:t xml:space="preserve">第二章 </w:t>
      </w:r>
      <w:bookmarkEnd w:id="18"/>
      <w:bookmarkEnd w:id="19"/>
      <w:r>
        <w:rPr>
          <w:rFonts w:hint="eastAsia" w:ascii="黑体" w:hAnsi="黑体" w:eastAsia="黑体" w:cs="黑体"/>
          <w:bCs/>
          <w:sz w:val="32"/>
          <w:szCs w:val="32"/>
        </w:rPr>
        <w:t>准入机制</w:t>
      </w:r>
    </w:p>
    <w:p w14:paraId="0DA58B71">
      <w:pPr>
        <w:adjustRightInd w:val="0"/>
        <w:snapToGrid w:val="0"/>
        <w:spacing w:line="560" w:lineRule="exact"/>
        <w:ind w:firstLine="624" w:firstLineChars="200"/>
        <w:rPr>
          <w:rFonts w:hint="eastAsia" w:ascii="仿宋_GB2312" w:hAnsi="仿宋" w:eastAsia="仿宋_GB2312"/>
          <w:b/>
          <w:bCs/>
          <w:sz w:val="32"/>
          <w:szCs w:val="32"/>
        </w:rPr>
      </w:pPr>
      <w:bookmarkStart w:id="22" w:name="_Toc31649"/>
    </w:p>
    <w:p w14:paraId="1B24EFB9">
      <w:pPr>
        <w:adjustRightInd w:val="0"/>
        <w:snapToGrid w:val="0"/>
        <w:spacing w:line="560" w:lineRule="exact"/>
        <w:ind w:firstLine="624" w:firstLineChars="200"/>
        <w:rPr>
          <w:rFonts w:hint="eastAsia" w:ascii="仿宋_GB2312" w:hAnsi="仿宋" w:eastAsia="仿宋_GB2312"/>
          <w:sz w:val="32"/>
          <w:szCs w:val="32"/>
        </w:rPr>
      </w:pPr>
      <w:r>
        <w:rPr>
          <w:rFonts w:hint="eastAsia" w:ascii="楷体_GB2312" w:hAnsi="楷体_GB2312" w:eastAsia="楷体_GB2312" w:cs="楷体_GB2312"/>
          <w:sz w:val="32"/>
          <w:szCs w:val="32"/>
        </w:rPr>
        <w:t>第六条</w:t>
      </w:r>
      <w:r>
        <w:rPr>
          <w:rFonts w:hint="eastAsia" w:ascii="黑体" w:hAnsi="黑体" w:eastAsia="黑体" w:cs="黑体"/>
          <w:sz w:val="32"/>
          <w:szCs w:val="32"/>
        </w:rPr>
        <w:t xml:space="preserve"> </w:t>
      </w:r>
      <w:bookmarkEnd w:id="22"/>
      <w:r>
        <w:rPr>
          <w:rFonts w:hint="eastAsia" w:ascii="黑体" w:hAnsi="黑体" w:eastAsia="黑体" w:cs="黑体"/>
          <w:sz w:val="32"/>
          <w:szCs w:val="32"/>
        </w:rPr>
        <w:t xml:space="preserve"> </w:t>
      </w:r>
      <w:r>
        <w:rPr>
          <w:rFonts w:ascii="仿宋_GB2312" w:hAnsi="仿宋" w:eastAsia="仿宋_GB2312"/>
          <w:sz w:val="32"/>
          <w:szCs w:val="32"/>
        </w:rPr>
        <w:t>入园企业（</w:t>
      </w:r>
      <w:r>
        <w:rPr>
          <w:rFonts w:hint="eastAsia" w:ascii="仿宋_GB2312" w:hAnsi="仿宋" w:eastAsia="仿宋_GB2312"/>
          <w:sz w:val="32"/>
          <w:szCs w:val="32"/>
        </w:rPr>
        <w:t>建设</w:t>
      </w:r>
      <w:r>
        <w:rPr>
          <w:rFonts w:ascii="仿宋_GB2312" w:hAnsi="仿宋" w:eastAsia="仿宋_GB2312"/>
          <w:sz w:val="32"/>
          <w:szCs w:val="32"/>
        </w:rPr>
        <w:t>项目）应符合以下条件。</w:t>
      </w:r>
    </w:p>
    <w:p w14:paraId="60FC75F5">
      <w:pPr>
        <w:adjustRightInd w:val="0"/>
        <w:snapToGrid w:val="0"/>
        <w:spacing w:line="560" w:lineRule="exact"/>
        <w:ind w:firstLine="624" w:firstLineChars="200"/>
        <w:rPr>
          <w:rFonts w:hint="eastAsia" w:ascii="仿宋_GB2312" w:hAnsi="仿宋" w:eastAsia="仿宋_GB2312"/>
          <w:sz w:val="32"/>
          <w:szCs w:val="32"/>
        </w:rPr>
      </w:pPr>
      <w:r>
        <w:rPr>
          <w:rFonts w:hint="eastAsia" w:ascii="仿宋_GB2312" w:hAnsi="仿宋" w:eastAsia="仿宋_GB2312"/>
          <w:sz w:val="32"/>
          <w:szCs w:val="32"/>
        </w:rPr>
        <w:t>（一）符合国家法律法规、上级相关政策对拟入驻企业（建设项目）要求达到的用地、规划、安全、环保、节能、减排等有关规定。</w:t>
      </w:r>
    </w:p>
    <w:p w14:paraId="5920A988">
      <w:pPr>
        <w:adjustRightInd w:val="0"/>
        <w:snapToGrid w:val="0"/>
        <w:spacing w:line="560" w:lineRule="exact"/>
        <w:ind w:firstLine="624" w:firstLineChars="200"/>
        <w:rPr>
          <w:rFonts w:hint="eastAsia" w:ascii="仿宋_GB2312" w:hAnsi="仿宋" w:eastAsia="仿宋_GB2312"/>
          <w:sz w:val="32"/>
          <w:szCs w:val="32"/>
        </w:rPr>
      </w:pPr>
      <w:r>
        <w:rPr>
          <w:rFonts w:hint="eastAsia" w:ascii="仿宋_GB2312" w:hAnsi="仿宋" w:eastAsia="仿宋_GB2312"/>
          <w:sz w:val="32"/>
          <w:szCs w:val="32"/>
        </w:rPr>
        <w:t>（二）项目所采用工艺技术应具有较高科技含量，符合《产业结构调整指导目录(2024年本)》以及其他国家、自治区及赤峰市对工艺技术的有关要求，鼓励国内领先、国际先进工业产业技术，禁止淘汰、落后工艺技术，满足节能减排和环境保护的要求。</w:t>
      </w:r>
      <w:r>
        <w:rPr>
          <w:rFonts w:ascii="仿宋_GB2312" w:hAnsi="仿宋" w:eastAsia="仿宋_GB2312"/>
          <w:sz w:val="32"/>
          <w:szCs w:val="32"/>
        </w:rPr>
        <w:t>对属于限制类的新建项目，</w:t>
      </w:r>
      <w:r>
        <w:rPr>
          <w:rFonts w:hint="eastAsia" w:ascii="仿宋_GB2312" w:hAnsi="仿宋" w:eastAsia="仿宋_GB2312"/>
          <w:sz w:val="32"/>
          <w:szCs w:val="32"/>
        </w:rPr>
        <w:t>按产业政策规定进行论证</w:t>
      </w:r>
      <w:r>
        <w:rPr>
          <w:rFonts w:ascii="仿宋_GB2312" w:hAnsi="仿宋" w:eastAsia="仿宋_GB2312"/>
          <w:sz w:val="32"/>
          <w:szCs w:val="32"/>
        </w:rPr>
        <w:t xml:space="preserve">，对属于限制类的现有生产能力，允许企业在一定期限内采取措施改造升级。 </w:t>
      </w:r>
    </w:p>
    <w:p w14:paraId="22C1C3AD">
      <w:pPr>
        <w:adjustRightInd w:val="0"/>
        <w:snapToGrid w:val="0"/>
        <w:spacing w:line="560" w:lineRule="exact"/>
        <w:ind w:firstLine="624" w:firstLineChars="200"/>
        <w:rPr>
          <w:rFonts w:hint="eastAsia" w:ascii="仿宋_GB2312" w:hAnsi="仿宋" w:eastAsia="仿宋_GB2312"/>
          <w:sz w:val="32"/>
          <w:szCs w:val="32"/>
        </w:rPr>
      </w:pPr>
      <w:r>
        <w:rPr>
          <w:rFonts w:hint="eastAsia" w:ascii="仿宋_GB2312" w:hAnsi="仿宋" w:eastAsia="仿宋_GB2312"/>
          <w:sz w:val="32"/>
          <w:szCs w:val="32"/>
        </w:rPr>
        <w:t>（三）入园项目应符合《</w:t>
      </w:r>
      <w:r>
        <w:rPr>
          <w:rFonts w:ascii="仿宋_GB2312" w:hAnsi="仿宋" w:eastAsia="仿宋_GB2312"/>
          <w:sz w:val="32"/>
          <w:szCs w:val="32"/>
        </w:rPr>
        <w:t>内蒙古赤峰高新技术产业开发区产业发展规划（2022-2035</w:t>
      </w:r>
      <w:r>
        <w:rPr>
          <w:rFonts w:hint="eastAsia" w:ascii="仿宋_GB2312" w:hAnsi="仿宋" w:eastAsia="仿宋_GB2312"/>
          <w:sz w:val="32"/>
          <w:szCs w:val="32"/>
        </w:rPr>
        <w:t>》要求</w:t>
      </w:r>
      <w:r>
        <w:rPr>
          <w:rFonts w:ascii="仿宋_GB2312" w:hAnsi="仿宋" w:eastAsia="仿宋_GB2312"/>
          <w:sz w:val="32"/>
          <w:szCs w:val="32"/>
        </w:rPr>
        <w:t>。</w:t>
      </w:r>
    </w:p>
    <w:p w14:paraId="578FA952">
      <w:pPr>
        <w:adjustRightInd w:val="0"/>
        <w:snapToGrid w:val="0"/>
        <w:spacing w:line="560" w:lineRule="exact"/>
        <w:ind w:firstLine="624" w:firstLineChars="200"/>
        <w:rPr>
          <w:rFonts w:hint="eastAsia" w:ascii="仿宋_GB2312" w:hAnsi="仿宋" w:eastAsia="仿宋_GB2312"/>
          <w:sz w:val="32"/>
          <w:szCs w:val="32"/>
        </w:rPr>
      </w:pPr>
      <w:bookmarkStart w:id="23" w:name="_Toc11854"/>
      <w:r>
        <w:rPr>
          <w:rFonts w:hint="eastAsia" w:ascii="仿宋_GB2312" w:hAnsi="仿宋" w:eastAsia="仿宋_GB2312"/>
          <w:sz w:val="32"/>
          <w:szCs w:val="32"/>
        </w:rPr>
        <w:t>（四）符合</w:t>
      </w:r>
      <w:r>
        <w:rPr>
          <w:rFonts w:ascii="仿宋_GB2312" w:hAnsi="仿宋" w:eastAsia="仿宋_GB2312"/>
          <w:sz w:val="32"/>
          <w:szCs w:val="32"/>
        </w:rPr>
        <w:t>环保准入条件</w:t>
      </w:r>
      <w:r>
        <w:rPr>
          <w:rFonts w:hint="eastAsia" w:ascii="仿宋_GB2312" w:hAnsi="仿宋" w:eastAsia="仿宋_GB2312"/>
          <w:sz w:val="32"/>
          <w:szCs w:val="32"/>
        </w:rPr>
        <w:t>。</w:t>
      </w:r>
      <w:r>
        <w:rPr>
          <w:rFonts w:ascii="仿宋_GB2312" w:hAnsi="仿宋" w:eastAsia="仿宋_GB2312"/>
          <w:sz w:val="32"/>
          <w:szCs w:val="32"/>
        </w:rPr>
        <w:t>入园企业（</w:t>
      </w:r>
      <w:r>
        <w:rPr>
          <w:rFonts w:hint="eastAsia" w:ascii="仿宋_GB2312" w:hAnsi="仿宋" w:eastAsia="仿宋_GB2312"/>
          <w:sz w:val="32"/>
          <w:szCs w:val="32"/>
        </w:rPr>
        <w:t>建设</w:t>
      </w:r>
      <w:r>
        <w:rPr>
          <w:rFonts w:ascii="仿宋_GB2312" w:hAnsi="仿宋" w:eastAsia="仿宋_GB2312"/>
          <w:sz w:val="32"/>
          <w:szCs w:val="32"/>
        </w:rPr>
        <w:t>项目）</w:t>
      </w:r>
      <w:r>
        <w:rPr>
          <w:rFonts w:hint="eastAsia" w:ascii="仿宋_GB2312" w:hAnsi="仿宋" w:eastAsia="仿宋_GB2312"/>
          <w:sz w:val="32"/>
          <w:szCs w:val="32"/>
        </w:rPr>
        <w:t>应符合园区规划环评、《赤峰市“三线一单”生态环境分区管控实施方案》及行业准入条件。</w:t>
      </w:r>
    </w:p>
    <w:p w14:paraId="36A5958A">
      <w:pPr>
        <w:adjustRightInd w:val="0"/>
        <w:snapToGrid w:val="0"/>
        <w:spacing w:line="560" w:lineRule="exact"/>
        <w:ind w:firstLine="624" w:firstLineChars="200"/>
        <w:rPr>
          <w:rFonts w:hint="eastAsia" w:ascii="仿宋_GB2312" w:hAnsi="仿宋" w:eastAsia="仿宋_GB2312"/>
          <w:sz w:val="32"/>
          <w:szCs w:val="32"/>
        </w:rPr>
      </w:pPr>
      <w:r>
        <w:rPr>
          <w:rFonts w:hint="eastAsia" w:ascii="仿宋_GB2312" w:hAnsi="仿宋" w:eastAsia="仿宋_GB2312"/>
          <w:sz w:val="32"/>
          <w:szCs w:val="32"/>
        </w:rPr>
        <w:t>（五）</w:t>
      </w:r>
      <w:r>
        <w:rPr>
          <w:rFonts w:ascii="仿宋_GB2312" w:hAnsi="仿宋" w:eastAsia="仿宋_GB2312"/>
          <w:sz w:val="32"/>
          <w:szCs w:val="32"/>
        </w:rPr>
        <w:t>入园企业（</w:t>
      </w:r>
      <w:r>
        <w:rPr>
          <w:rFonts w:hint="eastAsia" w:ascii="仿宋_GB2312" w:hAnsi="仿宋" w:eastAsia="仿宋_GB2312"/>
          <w:sz w:val="32"/>
          <w:szCs w:val="32"/>
        </w:rPr>
        <w:t>建设</w:t>
      </w:r>
      <w:r>
        <w:rPr>
          <w:rFonts w:ascii="仿宋_GB2312" w:hAnsi="仿宋" w:eastAsia="仿宋_GB2312"/>
          <w:sz w:val="32"/>
          <w:szCs w:val="32"/>
        </w:rPr>
        <w:t>项目）符合安全准入条件</w:t>
      </w:r>
      <w:r>
        <w:rPr>
          <w:rFonts w:hint="eastAsia" w:ascii="仿宋_GB2312" w:hAnsi="仿宋" w:eastAsia="仿宋_GB2312"/>
          <w:sz w:val="32"/>
          <w:szCs w:val="32"/>
        </w:rPr>
        <w:t>：</w:t>
      </w:r>
    </w:p>
    <w:p w14:paraId="69BC6913">
      <w:pPr>
        <w:adjustRightInd w:val="0"/>
        <w:snapToGrid w:val="0"/>
        <w:spacing w:line="560" w:lineRule="exact"/>
        <w:ind w:firstLine="624" w:firstLineChars="200"/>
        <w:rPr>
          <w:rFonts w:hint="eastAsia" w:ascii="仿宋_GB2312" w:hAnsi="仿宋" w:eastAsia="仿宋_GB2312"/>
          <w:sz w:val="32"/>
          <w:szCs w:val="32"/>
        </w:rPr>
      </w:pPr>
      <w:r>
        <w:rPr>
          <w:rFonts w:hint="eastAsia" w:ascii="仿宋_GB2312" w:hAnsi="仿宋" w:eastAsia="仿宋_GB2312"/>
          <w:sz w:val="32"/>
          <w:szCs w:val="32"/>
        </w:rPr>
        <w:t>1.入园项目应符合法律法规及相关文件明确的条件或要求。</w:t>
      </w:r>
    </w:p>
    <w:p w14:paraId="238FE369">
      <w:pPr>
        <w:adjustRightInd w:val="0"/>
        <w:snapToGrid w:val="0"/>
        <w:spacing w:line="560" w:lineRule="exact"/>
        <w:ind w:firstLine="624" w:firstLineChars="200"/>
        <w:rPr>
          <w:rFonts w:hint="eastAsia" w:ascii="仿宋_GB2312" w:hAnsi="仿宋" w:eastAsia="仿宋_GB2312"/>
          <w:sz w:val="32"/>
          <w:szCs w:val="32"/>
        </w:rPr>
      </w:pPr>
      <w:r>
        <w:rPr>
          <w:rFonts w:hint="eastAsia" w:ascii="仿宋_GB2312" w:hAnsi="仿宋" w:eastAsia="仿宋_GB2312"/>
          <w:sz w:val="32"/>
          <w:szCs w:val="32"/>
        </w:rPr>
        <w:t>2.化工、危险化学品等建设项目应符合《赤峰高新技术产业开发区东山产业园化工园区危险化学品建设项目安全准入条件》</w:t>
      </w:r>
    </w:p>
    <w:p w14:paraId="330B646B">
      <w:pPr>
        <w:adjustRightInd w:val="0"/>
        <w:snapToGrid w:val="0"/>
        <w:spacing w:line="560" w:lineRule="exact"/>
        <w:ind w:firstLine="624" w:firstLineChars="200"/>
        <w:rPr>
          <w:rFonts w:hint="eastAsia" w:ascii="仿宋_GB2312" w:hAnsi="仿宋" w:eastAsia="仿宋_GB2312"/>
          <w:sz w:val="32"/>
          <w:szCs w:val="32"/>
        </w:rPr>
      </w:pPr>
      <w:r>
        <w:rPr>
          <w:rFonts w:hint="eastAsia" w:ascii="仿宋_GB2312" w:hAnsi="仿宋" w:eastAsia="仿宋_GB2312"/>
          <w:sz w:val="32"/>
          <w:szCs w:val="32"/>
        </w:rPr>
        <w:t>（六）达到投资强度及投入产出标准</w:t>
      </w:r>
      <w:bookmarkEnd w:id="23"/>
      <w:r>
        <w:rPr>
          <w:rFonts w:hint="eastAsia" w:ascii="仿宋_GB2312" w:hAnsi="仿宋" w:eastAsia="仿宋_GB2312"/>
          <w:sz w:val="32"/>
          <w:szCs w:val="32"/>
        </w:rPr>
        <w:t>。单个项目一次性固定资产投资不低于1亿元，项目亩均投入产出须符合赤峰市和东山产业园规定要求，亩均固定资产投资额原则上不低于人民币200万元/亩，亩均产值原则上不低于300万元/亩，亩均工业增加值原则上不低于15万元/亩，</w:t>
      </w:r>
      <w:bookmarkStart w:id="24" w:name="OLE_LINK17"/>
      <w:r>
        <w:rPr>
          <w:rFonts w:hint="eastAsia" w:ascii="仿宋_GB2312" w:hAnsi="仿宋" w:eastAsia="仿宋_GB2312"/>
          <w:sz w:val="32"/>
          <w:szCs w:val="32"/>
        </w:rPr>
        <w:t>亩均税收</w:t>
      </w:r>
      <w:bookmarkEnd w:id="24"/>
      <w:r>
        <w:rPr>
          <w:rFonts w:hint="eastAsia" w:ascii="仿宋_GB2312" w:hAnsi="仿宋" w:eastAsia="仿宋_GB2312"/>
          <w:sz w:val="32"/>
          <w:szCs w:val="32"/>
        </w:rPr>
        <w:t>不低于5万元/亩。原则上产业项目应同时符合</w:t>
      </w:r>
      <w:bookmarkStart w:id="25" w:name="OLE_LINK15"/>
      <w:r>
        <w:rPr>
          <w:rFonts w:hint="eastAsia" w:ascii="仿宋_GB2312" w:hAnsi="仿宋" w:eastAsia="仿宋_GB2312"/>
          <w:sz w:val="32"/>
          <w:szCs w:val="32"/>
        </w:rPr>
        <w:t>亩均效益各项指标</w:t>
      </w:r>
      <w:bookmarkEnd w:id="25"/>
      <w:r>
        <w:rPr>
          <w:rFonts w:hint="eastAsia" w:ascii="仿宋_GB2312" w:hAnsi="仿宋" w:eastAsia="仿宋_GB2312"/>
          <w:sz w:val="32"/>
          <w:szCs w:val="32"/>
        </w:rPr>
        <w:t>要求，特殊情况下，如符合本条第九款，或某项亩均效益指标有突出贡献的产业项目，可按一事一议的方式准入。</w:t>
      </w:r>
    </w:p>
    <w:p w14:paraId="57DB14D2">
      <w:pPr>
        <w:adjustRightInd w:val="0"/>
        <w:snapToGrid w:val="0"/>
        <w:spacing w:line="560" w:lineRule="exact"/>
        <w:ind w:firstLine="624" w:firstLineChars="200"/>
        <w:rPr>
          <w:rFonts w:hint="eastAsia" w:ascii="仿宋_GB2312" w:hAnsi="仿宋" w:eastAsia="仿宋_GB2312"/>
          <w:sz w:val="32"/>
          <w:szCs w:val="32"/>
        </w:rPr>
      </w:pPr>
      <w:r>
        <w:rPr>
          <w:rFonts w:hint="eastAsia" w:ascii="仿宋_GB2312" w:hAnsi="仿宋" w:eastAsia="仿宋_GB2312"/>
          <w:sz w:val="32"/>
          <w:szCs w:val="32"/>
        </w:rPr>
        <w:t>（七）</w:t>
      </w:r>
      <w:r>
        <w:rPr>
          <w:rFonts w:ascii="仿宋_GB2312" w:hAnsi="仿宋" w:eastAsia="仿宋_GB2312"/>
          <w:sz w:val="32"/>
          <w:szCs w:val="32"/>
        </w:rPr>
        <w:t>入园企业需集约节约使用土地，</w:t>
      </w:r>
      <w:r>
        <w:rPr>
          <w:rFonts w:hint="eastAsia" w:ascii="仿宋_GB2312" w:hAnsi="仿宋" w:eastAsia="仿宋_GB2312"/>
          <w:sz w:val="32"/>
          <w:szCs w:val="32"/>
        </w:rPr>
        <w:t>符合自然资源部《工业项目建设用地控制指标》相关要求。</w:t>
      </w:r>
    </w:p>
    <w:p w14:paraId="62EDD814">
      <w:pPr>
        <w:adjustRightInd w:val="0"/>
        <w:snapToGrid w:val="0"/>
        <w:spacing w:line="560" w:lineRule="exact"/>
        <w:ind w:firstLine="624" w:firstLineChars="200"/>
        <w:rPr>
          <w:rFonts w:hint="eastAsia" w:ascii="仿宋_GB2312" w:hAnsi="仿宋" w:eastAsia="仿宋_GB2312"/>
          <w:sz w:val="32"/>
          <w:szCs w:val="32"/>
        </w:rPr>
      </w:pPr>
      <w:r>
        <w:rPr>
          <w:rFonts w:hint="eastAsia" w:ascii="仿宋_GB2312" w:hAnsi="仿宋" w:eastAsia="仿宋_GB2312"/>
          <w:sz w:val="32"/>
          <w:szCs w:val="32"/>
        </w:rPr>
        <w:t>（八）</w:t>
      </w:r>
      <w:r>
        <w:rPr>
          <w:rFonts w:ascii="仿宋_GB2312" w:hAnsi="仿宋" w:eastAsia="仿宋_GB2312"/>
          <w:sz w:val="32"/>
          <w:szCs w:val="32"/>
        </w:rPr>
        <w:t>入园的企业（</w:t>
      </w:r>
      <w:r>
        <w:rPr>
          <w:rFonts w:hint="eastAsia" w:ascii="仿宋_GB2312" w:hAnsi="仿宋" w:eastAsia="仿宋_GB2312"/>
          <w:sz w:val="32"/>
          <w:szCs w:val="32"/>
        </w:rPr>
        <w:t>建设</w:t>
      </w:r>
      <w:r>
        <w:rPr>
          <w:rFonts w:ascii="仿宋_GB2312" w:hAnsi="仿宋" w:eastAsia="仿宋_GB2312"/>
          <w:sz w:val="32"/>
          <w:szCs w:val="32"/>
        </w:rPr>
        <w:t>项目）符合能耗准入条件</w:t>
      </w:r>
      <w:r>
        <w:rPr>
          <w:rFonts w:hint="eastAsia" w:ascii="仿宋_GB2312" w:hAnsi="仿宋" w:eastAsia="仿宋_GB2312"/>
          <w:sz w:val="32"/>
          <w:szCs w:val="32"/>
        </w:rPr>
        <w:t>：</w:t>
      </w:r>
    </w:p>
    <w:p w14:paraId="7F7DAC27">
      <w:pPr>
        <w:adjustRightInd w:val="0"/>
        <w:snapToGrid w:val="0"/>
        <w:spacing w:line="560" w:lineRule="exact"/>
        <w:ind w:firstLine="624" w:firstLineChars="200"/>
        <w:rPr>
          <w:rFonts w:hint="eastAsia" w:ascii="仿宋_GB2312" w:hAnsi="仿宋" w:eastAsia="仿宋_GB2312"/>
          <w:sz w:val="32"/>
          <w:szCs w:val="32"/>
        </w:rPr>
      </w:pPr>
      <w:r>
        <w:rPr>
          <w:rFonts w:hint="eastAsia" w:ascii="仿宋_GB2312" w:hAnsi="仿宋" w:eastAsia="仿宋_GB2312"/>
          <w:sz w:val="32"/>
          <w:szCs w:val="32"/>
        </w:rPr>
        <w:t>1.新上项目应严格遵守国家、自治区及赤峰市能耗有关要求项目能效水平、能源消费应满足地区节能工作管理要求</w:t>
      </w:r>
      <w:r>
        <w:rPr>
          <w:rFonts w:ascii="仿宋_GB2312" w:hAnsi="仿宋" w:eastAsia="仿宋_GB2312"/>
          <w:sz w:val="32"/>
          <w:szCs w:val="32"/>
        </w:rPr>
        <w:t xml:space="preserve">。 </w:t>
      </w:r>
    </w:p>
    <w:p w14:paraId="3C36F1AA">
      <w:pPr>
        <w:adjustRightInd w:val="0"/>
        <w:snapToGrid w:val="0"/>
        <w:spacing w:line="560" w:lineRule="exact"/>
        <w:ind w:firstLine="624" w:firstLineChars="200"/>
        <w:rPr>
          <w:rFonts w:hint="eastAsia" w:ascii="仿宋_GB2312" w:hAnsi="仿宋" w:eastAsia="仿宋_GB2312"/>
          <w:sz w:val="32"/>
          <w:szCs w:val="32"/>
        </w:rPr>
      </w:pPr>
      <w:r>
        <w:rPr>
          <w:rFonts w:hint="eastAsia" w:ascii="仿宋_GB2312" w:hAnsi="仿宋" w:eastAsia="仿宋_GB2312"/>
          <w:sz w:val="32"/>
          <w:szCs w:val="32"/>
        </w:rPr>
        <w:t>2.列入“两高”范围的新上项目应遵守国家、自治区最新“两高”项目管控相关要求</w:t>
      </w:r>
      <w:r>
        <w:rPr>
          <w:rFonts w:ascii="仿宋_GB2312" w:hAnsi="仿宋" w:eastAsia="仿宋_GB2312"/>
          <w:sz w:val="32"/>
          <w:szCs w:val="32"/>
        </w:rPr>
        <w:t xml:space="preserve">。 </w:t>
      </w:r>
    </w:p>
    <w:p w14:paraId="3545EACA">
      <w:pPr>
        <w:adjustRightInd w:val="0"/>
        <w:snapToGrid w:val="0"/>
        <w:spacing w:line="560" w:lineRule="exact"/>
        <w:ind w:firstLine="624" w:firstLineChars="200"/>
        <w:rPr>
          <w:rFonts w:hint="eastAsia" w:ascii="仿宋_GB2312" w:hAnsi="仿宋" w:eastAsia="仿宋_GB2312"/>
          <w:sz w:val="32"/>
          <w:szCs w:val="32"/>
        </w:rPr>
      </w:pPr>
      <w:r>
        <w:rPr>
          <w:rFonts w:hint="eastAsia" w:ascii="仿宋_GB2312" w:hAnsi="仿宋" w:eastAsia="仿宋_GB2312"/>
          <w:sz w:val="32"/>
          <w:szCs w:val="32"/>
        </w:rPr>
        <w:t>3.要严格遵守国家《固定资产投资项目节能审查和碳排放评价办法》及自治区有关实施办法，未履行节能验收程序、未落实能耗指标承诺或化解能耗强度影响措施的项目，不得投产运行。设计能耗（等价值）1万吨标准煤以上的重点用能项目，建成投产后要及时纳入自治区能耗在线监测平台，实行动态监测管理。</w:t>
      </w:r>
    </w:p>
    <w:p w14:paraId="2EA2A588">
      <w:pPr>
        <w:adjustRightInd w:val="0"/>
        <w:snapToGrid w:val="0"/>
        <w:spacing w:line="560" w:lineRule="exact"/>
        <w:ind w:firstLine="624" w:firstLineChars="200"/>
        <w:rPr>
          <w:rFonts w:hint="eastAsia" w:ascii="仿宋_GB2312" w:hAnsi="仿宋" w:eastAsia="仿宋_GB2312"/>
          <w:sz w:val="32"/>
          <w:szCs w:val="32"/>
        </w:rPr>
      </w:pPr>
      <w:r>
        <w:rPr>
          <w:rFonts w:hint="eastAsia" w:ascii="仿宋_GB2312" w:hAnsi="仿宋" w:eastAsia="仿宋_GB2312"/>
          <w:sz w:val="32"/>
          <w:szCs w:val="32"/>
        </w:rPr>
        <w:t>（九）</w:t>
      </w:r>
      <w:r>
        <w:rPr>
          <w:rFonts w:ascii="仿宋_GB2312" w:hAnsi="仿宋" w:eastAsia="仿宋_GB2312"/>
          <w:sz w:val="32"/>
          <w:szCs w:val="32"/>
        </w:rPr>
        <w:t>优先准入的企业</w:t>
      </w:r>
      <w:r>
        <w:rPr>
          <w:rFonts w:hint="eastAsia" w:ascii="仿宋_GB2312" w:hAnsi="仿宋" w:eastAsia="仿宋_GB2312"/>
          <w:sz w:val="32"/>
          <w:szCs w:val="32"/>
        </w:rPr>
        <w:t>。</w:t>
      </w:r>
    </w:p>
    <w:p w14:paraId="2952BABF">
      <w:pPr>
        <w:adjustRightInd w:val="0"/>
        <w:snapToGrid w:val="0"/>
        <w:spacing w:line="560" w:lineRule="exact"/>
        <w:ind w:firstLine="624" w:firstLineChars="200"/>
        <w:rPr>
          <w:rFonts w:hint="eastAsia" w:ascii="仿宋_GB2312" w:hAnsi="仿宋" w:eastAsia="仿宋_GB2312"/>
          <w:sz w:val="32"/>
          <w:szCs w:val="32"/>
        </w:rPr>
      </w:pPr>
      <w:r>
        <w:rPr>
          <w:rFonts w:ascii="仿宋_GB2312" w:hAnsi="仿宋" w:eastAsia="仿宋_GB2312"/>
          <w:sz w:val="32"/>
          <w:szCs w:val="32"/>
        </w:rPr>
        <w:t>符合本实施细则规定的准入条件和建设用地控制指标，具备下列条件之一的投资项目，在同等条件下优先准入</w:t>
      </w:r>
      <w:r>
        <w:rPr>
          <w:rFonts w:hint="eastAsia" w:ascii="仿宋_GB2312" w:hAnsi="仿宋" w:eastAsia="仿宋_GB2312"/>
          <w:sz w:val="32"/>
          <w:szCs w:val="32"/>
        </w:rPr>
        <w:t>：</w:t>
      </w:r>
      <w:r>
        <w:rPr>
          <w:rFonts w:ascii="仿宋_GB2312" w:hAnsi="仿宋" w:eastAsia="仿宋_GB2312"/>
          <w:sz w:val="32"/>
          <w:szCs w:val="32"/>
        </w:rPr>
        <w:t xml:space="preserve"> </w:t>
      </w:r>
    </w:p>
    <w:p w14:paraId="5351A54E">
      <w:pPr>
        <w:adjustRightInd w:val="0"/>
        <w:snapToGrid w:val="0"/>
        <w:spacing w:line="560" w:lineRule="exact"/>
        <w:ind w:firstLine="624" w:firstLineChars="200"/>
        <w:rPr>
          <w:rFonts w:hint="eastAsia" w:ascii="仿宋_GB2312" w:hAnsi="仿宋" w:eastAsia="仿宋_GB2312"/>
          <w:sz w:val="32"/>
          <w:szCs w:val="32"/>
        </w:rPr>
      </w:pPr>
      <w:r>
        <w:rPr>
          <w:rFonts w:hint="eastAsia" w:ascii="仿宋_GB2312" w:hAnsi="仿宋" w:eastAsia="仿宋_GB2312"/>
          <w:sz w:val="32"/>
          <w:szCs w:val="32"/>
        </w:rPr>
        <w:t>1.</w:t>
      </w:r>
      <w:r>
        <w:rPr>
          <w:rFonts w:ascii="仿宋_GB2312" w:hAnsi="仿宋" w:eastAsia="仿宋_GB2312"/>
          <w:sz w:val="32"/>
          <w:szCs w:val="32"/>
        </w:rPr>
        <w:t>投资主体是世界500强、中国500强、行业领军企业或上市公司、领军企业或“隐形冠军”企业等</w:t>
      </w:r>
      <w:r>
        <w:rPr>
          <w:rFonts w:hint="eastAsia" w:ascii="仿宋_GB2312" w:hAnsi="仿宋" w:eastAsia="仿宋_GB2312"/>
          <w:sz w:val="32"/>
          <w:szCs w:val="32"/>
        </w:rPr>
        <w:t>。</w:t>
      </w:r>
    </w:p>
    <w:p w14:paraId="247A00B1">
      <w:pPr>
        <w:adjustRightInd w:val="0"/>
        <w:snapToGrid w:val="0"/>
        <w:spacing w:line="560" w:lineRule="exact"/>
        <w:ind w:firstLine="624" w:firstLineChars="200"/>
        <w:rPr>
          <w:rFonts w:hint="eastAsia" w:ascii="仿宋_GB2312" w:hAnsi="仿宋" w:eastAsia="仿宋_GB2312"/>
          <w:sz w:val="32"/>
          <w:szCs w:val="32"/>
        </w:rPr>
      </w:pPr>
      <w:r>
        <w:rPr>
          <w:rFonts w:hint="eastAsia" w:ascii="仿宋_GB2312" w:hAnsi="仿宋" w:eastAsia="仿宋_GB2312"/>
          <w:sz w:val="32"/>
          <w:szCs w:val="32"/>
        </w:rPr>
        <w:t>2.</w:t>
      </w:r>
      <w:r>
        <w:rPr>
          <w:rFonts w:ascii="仿宋_GB2312" w:hAnsi="仿宋" w:eastAsia="仿宋_GB2312"/>
          <w:sz w:val="32"/>
          <w:szCs w:val="32"/>
        </w:rPr>
        <w:t>投资主体是</w:t>
      </w:r>
      <w:r>
        <w:rPr>
          <w:rFonts w:hint="eastAsia" w:ascii="仿宋_GB2312" w:hAnsi="仿宋" w:eastAsia="仿宋_GB2312"/>
          <w:sz w:val="32"/>
          <w:szCs w:val="32"/>
        </w:rPr>
        <w:t>行业龙头</w:t>
      </w:r>
      <w:r>
        <w:rPr>
          <w:rFonts w:ascii="仿宋_GB2312" w:hAnsi="仿宋" w:eastAsia="仿宋_GB2312"/>
          <w:sz w:val="32"/>
          <w:szCs w:val="32"/>
        </w:rPr>
        <w:t>企业或国家重点支持的高新技术企业，建有经认定的博士后工作站、省级以上企业技术中心、工程技术研究中心、重点实验室</w:t>
      </w:r>
      <w:r>
        <w:rPr>
          <w:rFonts w:hint="eastAsia" w:ascii="仿宋_GB2312" w:hAnsi="仿宋" w:eastAsia="仿宋_GB2312"/>
          <w:sz w:val="32"/>
          <w:szCs w:val="32"/>
        </w:rPr>
        <w:t>等</w:t>
      </w:r>
      <w:r>
        <w:rPr>
          <w:rFonts w:ascii="仿宋_GB2312" w:hAnsi="仿宋" w:eastAsia="仿宋_GB2312"/>
          <w:sz w:val="32"/>
          <w:szCs w:val="32"/>
        </w:rPr>
        <w:t>，团队核心成员是海外或省级以上领军人才</w:t>
      </w:r>
      <w:r>
        <w:rPr>
          <w:rFonts w:hint="eastAsia" w:ascii="仿宋_GB2312" w:hAnsi="仿宋" w:eastAsia="仿宋_GB2312"/>
          <w:sz w:val="32"/>
          <w:szCs w:val="32"/>
        </w:rPr>
        <w:t>。</w:t>
      </w:r>
    </w:p>
    <w:p w14:paraId="12C2F02C">
      <w:pPr>
        <w:adjustRightInd w:val="0"/>
        <w:snapToGrid w:val="0"/>
        <w:spacing w:line="560" w:lineRule="exact"/>
        <w:ind w:firstLine="624" w:firstLineChars="200"/>
        <w:rPr>
          <w:rFonts w:hint="eastAsia" w:ascii="仿宋_GB2312" w:hAnsi="仿宋" w:eastAsia="仿宋_GB2312"/>
          <w:sz w:val="32"/>
          <w:szCs w:val="32"/>
        </w:rPr>
      </w:pPr>
      <w:r>
        <w:rPr>
          <w:rFonts w:hint="eastAsia" w:ascii="仿宋_GB2312" w:hAnsi="仿宋" w:eastAsia="仿宋_GB2312"/>
          <w:sz w:val="32"/>
          <w:szCs w:val="32"/>
        </w:rPr>
        <w:t>3.</w:t>
      </w:r>
      <w:r>
        <w:rPr>
          <w:rFonts w:ascii="仿宋_GB2312" w:hAnsi="仿宋" w:eastAsia="仿宋_GB2312"/>
          <w:sz w:val="32"/>
          <w:szCs w:val="32"/>
        </w:rPr>
        <w:t>属于国家、</w:t>
      </w:r>
      <w:r>
        <w:rPr>
          <w:rFonts w:hint="eastAsia" w:ascii="仿宋_GB2312" w:hAnsi="仿宋" w:eastAsia="仿宋_GB2312"/>
          <w:sz w:val="32"/>
          <w:szCs w:val="32"/>
        </w:rPr>
        <w:t>自治区、赤峰市</w:t>
      </w:r>
      <w:r>
        <w:rPr>
          <w:rFonts w:ascii="仿宋_GB2312" w:hAnsi="仿宋" w:eastAsia="仿宋_GB2312"/>
          <w:sz w:val="32"/>
          <w:szCs w:val="32"/>
        </w:rPr>
        <w:t>重点支持高新技术领域，在核心关键技术拥有自主知识产权</w:t>
      </w:r>
      <w:r>
        <w:rPr>
          <w:rFonts w:hint="eastAsia" w:ascii="仿宋_GB2312" w:hAnsi="仿宋" w:eastAsia="仿宋_GB2312"/>
          <w:sz w:val="32"/>
          <w:szCs w:val="32"/>
        </w:rPr>
        <w:t>。</w:t>
      </w:r>
    </w:p>
    <w:p w14:paraId="53473A94">
      <w:pPr>
        <w:adjustRightInd w:val="0"/>
        <w:snapToGrid w:val="0"/>
        <w:spacing w:line="560" w:lineRule="exact"/>
        <w:ind w:firstLine="624" w:firstLineChars="200"/>
        <w:rPr>
          <w:rFonts w:hint="eastAsia" w:ascii="仿宋_GB2312" w:hAnsi="仿宋" w:eastAsia="仿宋_GB2312"/>
          <w:sz w:val="32"/>
          <w:szCs w:val="32"/>
        </w:rPr>
      </w:pPr>
      <w:r>
        <w:rPr>
          <w:rFonts w:hint="eastAsia" w:ascii="仿宋_GB2312" w:hAnsi="仿宋" w:eastAsia="仿宋_GB2312"/>
          <w:sz w:val="32"/>
          <w:szCs w:val="32"/>
        </w:rPr>
        <w:t>4.</w:t>
      </w:r>
      <w:r>
        <w:rPr>
          <w:rFonts w:ascii="仿宋_GB2312" w:hAnsi="仿宋" w:eastAsia="仿宋_GB2312"/>
          <w:sz w:val="32"/>
          <w:szCs w:val="32"/>
        </w:rPr>
        <w:t>对园区</w:t>
      </w:r>
      <w:r>
        <w:rPr>
          <w:rFonts w:hint="eastAsia" w:ascii="仿宋_GB2312" w:hAnsi="仿宋" w:eastAsia="仿宋_GB2312"/>
          <w:sz w:val="32"/>
          <w:szCs w:val="32"/>
        </w:rPr>
        <w:t>产</w:t>
      </w:r>
      <w:r>
        <w:rPr>
          <w:rFonts w:ascii="仿宋_GB2312" w:hAnsi="仿宋" w:eastAsia="仿宋_GB2312"/>
          <w:sz w:val="32"/>
          <w:szCs w:val="32"/>
        </w:rPr>
        <w:t>业结构调整和转型升级、建链强链补链延链具有重要意义的重大特色项目或对提升我市竞争力、影响力、吸引力和开放度作用明显的项目</w:t>
      </w:r>
      <w:r>
        <w:rPr>
          <w:rFonts w:hint="eastAsia" w:ascii="仿宋_GB2312" w:hAnsi="仿宋" w:eastAsia="仿宋_GB2312"/>
          <w:sz w:val="32"/>
          <w:szCs w:val="32"/>
        </w:rPr>
        <w:t>。</w:t>
      </w:r>
    </w:p>
    <w:p w14:paraId="3FF4A19A">
      <w:pPr>
        <w:adjustRightInd w:val="0"/>
        <w:snapToGrid w:val="0"/>
        <w:spacing w:line="560" w:lineRule="exact"/>
        <w:ind w:firstLine="624" w:firstLineChars="200"/>
        <w:rPr>
          <w:rFonts w:hint="eastAsia" w:ascii="仿宋_GB2312" w:hAnsi="仿宋" w:eastAsia="仿宋_GB2312"/>
          <w:sz w:val="32"/>
          <w:szCs w:val="32"/>
        </w:rPr>
      </w:pPr>
      <w:r>
        <w:rPr>
          <w:rFonts w:hint="eastAsia" w:ascii="仿宋_GB2312" w:hAnsi="仿宋" w:eastAsia="仿宋_GB2312"/>
          <w:sz w:val="32"/>
          <w:szCs w:val="32"/>
        </w:rPr>
        <w:t>5.</w:t>
      </w:r>
      <w:r>
        <w:rPr>
          <w:rFonts w:ascii="仿宋_GB2312" w:hAnsi="仿宋" w:eastAsia="仿宋_GB2312"/>
          <w:sz w:val="32"/>
          <w:szCs w:val="32"/>
        </w:rPr>
        <w:t>自治区内连续三年及以上土地产出绩效名列前茅的优质企业</w:t>
      </w:r>
      <w:r>
        <w:rPr>
          <w:rFonts w:hint="eastAsia" w:ascii="仿宋_GB2312" w:hAnsi="仿宋" w:eastAsia="仿宋_GB2312"/>
          <w:sz w:val="32"/>
          <w:szCs w:val="32"/>
        </w:rPr>
        <w:t>。</w:t>
      </w:r>
    </w:p>
    <w:p w14:paraId="70091001">
      <w:pPr>
        <w:adjustRightInd w:val="0"/>
        <w:snapToGrid w:val="0"/>
        <w:spacing w:line="560" w:lineRule="exact"/>
        <w:ind w:firstLine="624" w:firstLineChars="200"/>
        <w:rPr>
          <w:rFonts w:hint="eastAsia" w:ascii="仿宋_GB2312" w:hAnsi="仿宋" w:eastAsia="仿宋_GB2312"/>
          <w:sz w:val="32"/>
          <w:szCs w:val="32"/>
        </w:rPr>
      </w:pPr>
      <w:r>
        <w:rPr>
          <w:rFonts w:hint="eastAsia" w:ascii="仿宋_GB2312" w:hAnsi="仿宋" w:eastAsia="仿宋_GB2312"/>
          <w:sz w:val="32"/>
          <w:szCs w:val="32"/>
        </w:rPr>
        <w:t>6.</w:t>
      </w:r>
      <w:r>
        <w:rPr>
          <w:rFonts w:ascii="仿宋_GB2312" w:hAnsi="仿宋" w:eastAsia="仿宋_GB2312"/>
          <w:sz w:val="32"/>
          <w:szCs w:val="32"/>
        </w:rPr>
        <w:t>拟投资主体同类产业项目上一完整年度的亩均税收或前三年的平均亩均税收已经达到或超过控制指标的1.5倍以上</w:t>
      </w:r>
      <w:r>
        <w:rPr>
          <w:rFonts w:hint="eastAsia" w:ascii="仿宋_GB2312" w:hAnsi="仿宋" w:eastAsia="仿宋_GB2312"/>
          <w:sz w:val="32"/>
          <w:szCs w:val="32"/>
        </w:rPr>
        <w:t>。</w:t>
      </w:r>
    </w:p>
    <w:p w14:paraId="6F5A5CAD">
      <w:pPr>
        <w:adjustRightInd w:val="0"/>
        <w:snapToGrid w:val="0"/>
        <w:spacing w:line="560" w:lineRule="exact"/>
        <w:ind w:firstLine="624" w:firstLineChars="200"/>
        <w:rPr>
          <w:rFonts w:hint="eastAsia" w:ascii="仿宋_GB2312" w:hAnsi="仿宋" w:eastAsia="仿宋_GB2312"/>
          <w:sz w:val="32"/>
          <w:szCs w:val="32"/>
        </w:rPr>
      </w:pPr>
      <w:r>
        <w:rPr>
          <w:rFonts w:hint="eastAsia" w:ascii="仿宋_GB2312" w:hAnsi="仿宋" w:eastAsia="仿宋_GB2312"/>
          <w:sz w:val="32"/>
          <w:szCs w:val="32"/>
        </w:rPr>
        <w:t>7.整体迁入的国家高新技术企业、专精特新小巨人企业、制造业单项冠军企业。</w:t>
      </w:r>
    </w:p>
    <w:p w14:paraId="4E2F959B">
      <w:pPr>
        <w:adjustRightInd w:val="0"/>
        <w:snapToGrid w:val="0"/>
        <w:spacing w:line="560" w:lineRule="exact"/>
        <w:ind w:firstLine="624" w:firstLineChars="200"/>
        <w:rPr>
          <w:rFonts w:hint="eastAsia" w:ascii="仿宋_GB2312" w:hAnsi="仿宋" w:eastAsia="仿宋_GB2312"/>
          <w:sz w:val="32"/>
          <w:szCs w:val="32"/>
        </w:rPr>
      </w:pPr>
      <w:r>
        <w:rPr>
          <w:rFonts w:hint="eastAsia" w:ascii="仿宋_GB2312" w:hAnsi="仿宋" w:eastAsia="仿宋_GB2312"/>
          <w:sz w:val="32"/>
          <w:szCs w:val="32"/>
        </w:rPr>
        <w:t>8.其他优质投资主体，如产业链链主企业，以市政府一事一议的决策结果为准。</w:t>
      </w:r>
    </w:p>
    <w:p w14:paraId="6E8C290A">
      <w:pPr>
        <w:adjustRightInd w:val="0"/>
        <w:snapToGrid w:val="0"/>
        <w:spacing w:line="560" w:lineRule="exact"/>
        <w:ind w:firstLine="624" w:firstLineChars="200"/>
        <w:rPr>
          <w:rFonts w:hint="eastAsia" w:ascii="仿宋_GB2312" w:hAnsi="仿宋" w:eastAsia="仿宋_GB2312"/>
          <w:sz w:val="32"/>
          <w:szCs w:val="32"/>
        </w:rPr>
      </w:pPr>
      <w:r>
        <w:rPr>
          <w:rFonts w:hint="eastAsia" w:ascii="仿宋_GB2312" w:hAnsi="仿宋" w:eastAsia="仿宋_GB2312"/>
          <w:sz w:val="32"/>
          <w:szCs w:val="32"/>
        </w:rPr>
        <w:t>（十）项目应具有较好的经济效益，统筹好社会效益和生态效益。</w:t>
      </w:r>
    </w:p>
    <w:p w14:paraId="5B5A1CD1">
      <w:pPr>
        <w:adjustRightInd w:val="0"/>
        <w:snapToGrid w:val="0"/>
        <w:spacing w:line="560" w:lineRule="exact"/>
        <w:ind w:firstLine="624" w:firstLineChars="200"/>
        <w:rPr>
          <w:rFonts w:hint="eastAsia" w:ascii="仿宋_GB2312" w:hAnsi="仿宋" w:eastAsia="仿宋_GB2312"/>
          <w:sz w:val="32"/>
          <w:szCs w:val="32"/>
        </w:rPr>
      </w:pPr>
      <w:r>
        <w:rPr>
          <w:rFonts w:hint="eastAsia" w:ascii="楷体_GB2312" w:hAnsi="楷体_GB2312" w:eastAsia="楷体_GB2312" w:cs="楷体_GB2312"/>
          <w:sz w:val="32"/>
          <w:szCs w:val="32"/>
        </w:rPr>
        <w:t>第七条</w:t>
      </w:r>
      <w:r>
        <w:rPr>
          <w:rFonts w:hint="eastAsia" w:ascii="黑体" w:hAnsi="黑体" w:eastAsia="黑体" w:cs="黑体"/>
          <w:sz w:val="32"/>
          <w:szCs w:val="32"/>
        </w:rPr>
        <w:t xml:space="preserve">  </w:t>
      </w:r>
      <w:r>
        <w:rPr>
          <w:rFonts w:hint="eastAsia" w:ascii="仿宋_GB2312" w:hAnsi="仿宋" w:eastAsia="仿宋_GB2312"/>
          <w:sz w:val="32"/>
          <w:szCs w:val="32"/>
        </w:rPr>
        <w:t>支持</w:t>
      </w:r>
      <w:r>
        <w:rPr>
          <w:rFonts w:ascii="仿宋_GB2312" w:hAnsi="仿宋" w:eastAsia="仿宋_GB2312"/>
          <w:sz w:val="32"/>
          <w:szCs w:val="32"/>
        </w:rPr>
        <w:t>政策</w:t>
      </w:r>
      <w:r>
        <w:rPr>
          <w:rFonts w:hint="eastAsia" w:ascii="仿宋_GB2312" w:hAnsi="仿宋" w:eastAsia="仿宋_GB2312"/>
          <w:sz w:val="32"/>
          <w:szCs w:val="32"/>
        </w:rPr>
        <w:t>。</w:t>
      </w:r>
    </w:p>
    <w:p w14:paraId="6778413C">
      <w:pPr>
        <w:adjustRightInd w:val="0"/>
        <w:snapToGrid w:val="0"/>
        <w:spacing w:line="560" w:lineRule="exact"/>
        <w:ind w:firstLine="624" w:firstLineChars="200"/>
        <w:rPr>
          <w:rFonts w:hint="eastAsia" w:ascii="仿宋_GB2312" w:hAnsi="仿宋" w:eastAsia="仿宋_GB2312"/>
          <w:sz w:val="32"/>
          <w:szCs w:val="32"/>
        </w:rPr>
      </w:pPr>
      <w:r>
        <w:rPr>
          <w:rFonts w:ascii="仿宋_GB2312" w:hAnsi="仿宋" w:eastAsia="仿宋_GB2312"/>
          <w:sz w:val="32"/>
          <w:szCs w:val="32"/>
        </w:rPr>
        <w:t>园区入驻企业</w:t>
      </w:r>
      <w:bookmarkStart w:id="26" w:name="OLE_LINK139"/>
      <w:r>
        <w:rPr>
          <w:rFonts w:hint="eastAsia" w:ascii="仿宋_GB2312" w:hAnsi="仿宋" w:eastAsia="仿宋_GB2312"/>
          <w:sz w:val="32"/>
          <w:szCs w:val="32"/>
        </w:rPr>
        <w:t>支持</w:t>
      </w:r>
      <w:bookmarkEnd w:id="26"/>
      <w:r>
        <w:rPr>
          <w:rFonts w:ascii="仿宋_GB2312" w:hAnsi="仿宋" w:eastAsia="仿宋_GB2312"/>
          <w:sz w:val="32"/>
          <w:szCs w:val="32"/>
        </w:rPr>
        <w:t>政策</w:t>
      </w:r>
      <w:r>
        <w:rPr>
          <w:rFonts w:hint="eastAsia" w:ascii="仿宋_GB2312" w:hAnsi="仿宋" w:eastAsia="仿宋_GB2312"/>
          <w:sz w:val="32"/>
          <w:szCs w:val="32"/>
        </w:rPr>
        <w:t>以双方签订的协议为准。</w:t>
      </w:r>
    </w:p>
    <w:p w14:paraId="4BB2F416">
      <w:pPr>
        <w:adjustRightInd w:val="0"/>
        <w:snapToGrid w:val="0"/>
        <w:spacing w:line="560" w:lineRule="exact"/>
        <w:ind w:firstLine="624" w:firstLineChars="200"/>
        <w:rPr>
          <w:rFonts w:hint="eastAsia" w:ascii="仿宋_GB2312" w:hAnsi="仿宋" w:eastAsia="仿宋_GB2312"/>
          <w:sz w:val="32"/>
          <w:szCs w:val="32"/>
        </w:rPr>
      </w:pPr>
      <w:r>
        <w:rPr>
          <w:rFonts w:hint="eastAsia" w:ascii="楷体_GB2312" w:hAnsi="楷体_GB2312" w:eastAsia="楷体_GB2312" w:cs="楷体_GB2312"/>
          <w:sz w:val="32"/>
          <w:szCs w:val="32"/>
        </w:rPr>
        <w:t>第八条</w:t>
      </w:r>
      <w:r>
        <w:rPr>
          <w:rFonts w:hint="eastAsia" w:ascii="黑体" w:hAnsi="黑体" w:eastAsia="黑体" w:cs="黑体"/>
          <w:sz w:val="32"/>
          <w:szCs w:val="32"/>
        </w:rPr>
        <w:t xml:space="preserve">  </w:t>
      </w:r>
      <w:r>
        <w:rPr>
          <w:rFonts w:hint="eastAsia" w:ascii="仿宋_GB2312" w:hAnsi="仿宋" w:eastAsia="仿宋_GB2312"/>
          <w:sz w:val="32"/>
          <w:szCs w:val="32"/>
        </w:rPr>
        <w:t>入驻流程。</w:t>
      </w:r>
    </w:p>
    <w:p w14:paraId="61F0FF08">
      <w:pPr>
        <w:adjustRightInd w:val="0"/>
        <w:snapToGrid w:val="0"/>
        <w:spacing w:line="560" w:lineRule="exact"/>
        <w:ind w:firstLine="624" w:firstLineChars="200"/>
        <w:rPr>
          <w:rFonts w:hint="eastAsia" w:ascii="仿宋_GB2312" w:hAnsi="仿宋" w:eastAsia="仿宋_GB2312"/>
          <w:sz w:val="32"/>
          <w:szCs w:val="32"/>
        </w:rPr>
      </w:pPr>
      <w:r>
        <w:rPr>
          <w:rFonts w:hint="eastAsia" w:ascii="仿宋_GB2312" w:hAnsi="仿宋" w:eastAsia="仿宋_GB2312"/>
          <w:sz w:val="32"/>
          <w:szCs w:val="32"/>
        </w:rPr>
        <w:t>（一）确定入驻东山产业园意向的企业向高新区管委会提出</w:t>
      </w:r>
      <w:r>
        <w:rPr>
          <w:rFonts w:ascii="仿宋_GB2312" w:hAnsi="仿宋" w:eastAsia="仿宋_GB2312"/>
          <w:sz w:val="32"/>
          <w:szCs w:val="32"/>
        </w:rPr>
        <w:t>入园申请</w:t>
      </w:r>
      <w:r>
        <w:rPr>
          <w:rFonts w:hint="eastAsia" w:ascii="仿宋_GB2312" w:hAnsi="仿宋" w:eastAsia="仿宋_GB2312"/>
          <w:sz w:val="32"/>
          <w:szCs w:val="32"/>
        </w:rPr>
        <w:t>，高新区管委会聘请有资质的第三方机构或3名以上相关领域、行业专家组成专家委员会，开展拟入驻企业（建设项目）准入预评估论证工作，形成预评估报告。</w:t>
      </w:r>
    </w:p>
    <w:p w14:paraId="7CF88489">
      <w:pPr>
        <w:adjustRightInd w:val="0"/>
        <w:snapToGrid w:val="0"/>
        <w:spacing w:line="560" w:lineRule="exact"/>
        <w:ind w:firstLine="624" w:firstLineChars="200"/>
        <w:rPr>
          <w:rFonts w:hint="eastAsia" w:ascii="仿宋_GB2312" w:hAnsi="仿宋" w:eastAsia="仿宋_GB2312"/>
          <w:sz w:val="32"/>
          <w:szCs w:val="32"/>
        </w:rPr>
      </w:pPr>
      <w:r>
        <w:rPr>
          <w:rFonts w:hint="eastAsia" w:ascii="仿宋_GB2312" w:hAnsi="仿宋" w:eastAsia="仿宋_GB2312"/>
          <w:sz w:val="32"/>
          <w:szCs w:val="32"/>
        </w:rPr>
        <w:t>（二）高新区管委会组织召开项目准入评审论证会议，对通过的企业（建设项目），下发准入通知书，企业凭准入通知书到有关部门办理相关许可手续。</w:t>
      </w:r>
    </w:p>
    <w:p w14:paraId="157308F7">
      <w:pPr>
        <w:adjustRightInd w:val="0"/>
        <w:snapToGrid w:val="0"/>
        <w:spacing w:line="560" w:lineRule="exact"/>
        <w:ind w:firstLine="624" w:firstLineChars="200"/>
        <w:rPr>
          <w:rFonts w:hint="eastAsia" w:ascii="仿宋_GB2312" w:hAnsi="仿宋" w:eastAsia="仿宋_GB2312"/>
          <w:sz w:val="32"/>
          <w:szCs w:val="32"/>
        </w:rPr>
      </w:pPr>
      <w:r>
        <w:rPr>
          <w:rFonts w:hint="eastAsia" w:ascii="仿宋_GB2312" w:hAnsi="仿宋" w:eastAsia="仿宋_GB2312"/>
          <w:sz w:val="32"/>
          <w:szCs w:val="32"/>
        </w:rPr>
        <w:t>（三）通过准入评审的项目，如后期项目选址、投入产出、建设规模、综合能耗、安全环保等相关内容发生重大变动的，企业（建设项目）须提前高新区管委会进行重新评审。</w:t>
      </w:r>
    </w:p>
    <w:p w14:paraId="00375FAE">
      <w:pPr>
        <w:adjustRightInd w:val="0"/>
        <w:snapToGrid w:val="0"/>
        <w:spacing w:line="560" w:lineRule="exact"/>
        <w:ind w:firstLine="624" w:firstLineChars="200"/>
        <w:rPr>
          <w:rFonts w:hint="eastAsia" w:ascii="仿宋_GB2312" w:hAnsi="仿宋" w:eastAsia="仿宋_GB2312"/>
          <w:sz w:val="32"/>
          <w:szCs w:val="32"/>
        </w:rPr>
      </w:pPr>
      <w:r>
        <w:rPr>
          <w:rFonts w:hint="eastAsia" w:ascii="仿宋_GB2312" w:hAnsi="仿宋" w:eastAsia="仿宋_GB2312"/>
          <w:sz w:val="32"/>
          <w:szCs w:val="32"/>
        </w:rPr>
        <w:t>（四）下达同意准入通知书后，企业（建设项目）与市政府或高新区管委会签订投资协议书。企业（建设项目）应及时办理工商注册、税务登记、立项备案、用地、规划、安全、环保、节能、职业卫生、施工许可等前期手续。</w:t>
      </w:r>
    </w:p>
    <w:p w14:paraId="0BD76D88">
      <w:pPr>
        <w:spacing w:line="560" w:lineRule="exact"/>
        <w:jc w:val="center"/>
        <w:outlineLvl w:val="0"/>
        <w:rPr>
          <w:rFonts w:hint="eastAsia" w:ascii="黑体" w:hAnsi="黑体" w:eastAsia="黑体" w:cs="黑体"/>
          <w:bCs/>
          <w:sz w:val="32"/>
          <w:szCs w:val="32"/>
        </w:rPr>
      </w:pPr>
      <w:bookmarkStart w:id="27" w:name="_Toc31088"/>
      <w:bookmarkStart w:id="28" w:name="_Toc20887"/>
      <w:bookmarkStart w:id="29" w:name="_Toc7780"/>
    </w:p>
    <w:p w14:paraId="6AFE897E">
      <w:pPr>
        <w:spacing w:line="560" w:lineRule="exact"/>
        <w:jc w:val="center"/>
        <w:outlineLvl w:val="0"/>
        <w:rPr>
          <w:rFonts w:hint="eastAsia" w:ascii="黑体" w:hAnsi="黑体" w:eastAsia="黑体" w:cs="黑体"/>
          <w:bCs/>
          <w:sz w:val="32"/>
          <w:szCs w:val="32"/>
        </w:rPr>
      </w:pPr>
      <w:r>
        <w:rPr>
          <w:rFonts w:hint="eastAsia" w:ascii="黑体" w:hAnsi="黑体" w:eastAsia="黑体" w:cs="黑体"/>
          <w:bCs/>
          <w:sz w:val="32"/>
          <w:szCs w:val="32"/>
        </w:rPr>
        <w:t xml:space="preserve">第三章 </w:t>
      </w:r>
      <w:bookmarkEnd w:id="27"/>
      <w:bookmarkEnd w:id="28"/>
      <w:bookmarkEnd w:id="29"/>
      <w:r>
        <w:rPr>
          <w:rFonts w:hint="eastAsia" w:ascii="黑体" w:hAnsi="黑体" w:eastAsia="黑体" w:cs="黑体"/>
          <w:bCs/>
          <w:sz w:val="32"/>
          <w:szCs w:val="32"/>
        </w:rPr>
        <w:t>园区管理</w:t>
      </w:r>
    </w:p>
    <w:p w14:paraId="6CE0C20D">
      <w:pPr>
        <w:adjustRightInd w:val="0"/>
        <w:snapToGrid w:val="0"/>
        <w:spacing w:line="560" w:lineRule="exact"/>
        <w:ind w:firstLine="624" w:firstLineChars="200"/>
        <w:rPr>
          <w:rFonts w:hint="eastAsia" w:ascii="仿宋_GB2312" w:hAnsi="仿宋" w:eastAsia="仿宋_GB2312"/>
          <w:b/>
          <w:bCs/>
          <w:sz w:val="32"/>
          <w:szCs w:val="32"/>
        </w:rPr>
      </w:pPr>
    </w:p>
    <w:p w14:paraId="2724A18D">
      <w:pPr>
        <w:adjustRightInd w:val="0"/>
        <w:snapToGrid w:val="0"/>
        <w:spacing w:line="560" w:lineRule="exact"/>
        <w:ind w:firstLine="624" w:firstLineChars="200"/>
        <w:rPr>
          <w:rFonts w:hint="eastAsia" w:ascii="仿宋_GB2312" w:hAnsi="仿宋" w:eastAsia="仿宋_GB2312"/>
          <w:sz w:val="32"/>
          <w:szCs w:val="32"/>
        </w:rPr>
      </w:pPr>
      <w:r>
        <w:rPr>
          <w:rFonts w:hint="eastAsia" w:ascii="楷体_GB2312" w:hAnsi="楷体_GB2312" w:eastAsia="楷体_GB2312" w:cs="楷体_GB2312"/>
          <w:sz w:val="32"/>
          <w:szCs w:val="32"/>
        </w:rPr>
        <w:t>第九条</w:t>
      </w:r>
      <w:r>
        <w:rPr>
          <w:rFonts w:hint="eastAsia" w:ascii="黑体" w:hAnsi="黑体" w:eastAsia="黑体" w:cs="黑体"/>
          <w:sz w:val="32"/>
          <w:szCs w:val="32"/>
        </w:rPr>
        <w:t xml:space="preserve">  </w:t>
      </w:r>
      <w:r>
        <w:rPr>
          <w:rFonts w:ascii="仿宋_GB2312" w:hAnsi="仿宋" w:eastAsia="仿宋_GB2312"/>
          <w:sz w:val="32"/>
          <w:szCs w:val="32"/>
        </w:rPr>
        <w:t>用地管理</w:t>
      </w:r>
      <w:r>
        <w:rPr>
          <w:rFonts w:hint="eastAsia" w:ascii="仿宋_GB2312" w:hAnsi="仿宋" w:eastAsia="仿宋_GB2312"/>
          <w:sz w:val="32"/>
          <w:szCs w:val="32"/>
        </w:rPr>
        <w:t>。</w:t>
      </w:r>
    </w:p>
    <w:p w14:paraId="1FB31560">
      <w:pPr>
        <w:adjustRightInd w:val="0"/>
        <w:snapToGrid w:val="0"/>
        <w:spacing w:line="560" w:lineRule="exact"/>
        <w:ind w:firstLine="624" w:firstLineChars="200"/>
        <w:rPr>
          <w:rFonts w:hint="eastAsia" w:ascii="仿宋_GB2312" w:hAnsi="仿宋" w:eastAsia="仿宋_GB2312"/>
          <w:sz w:val="32"/>
          <w:szCs w:val="32"/>
        </w:rPr>
      </w:pPr>
      <w:r>
        <w:rPr>
          <w:rFonts w:hint="eastAsia" w:ascii="仿宋_GB2312" w:hAnsi="仿宋" w:eastAsia="仿宋_GB2312"/>
          <w:sz w:val="32"/>
          <w:szCs w:val="32"/>
        </w:rPr>
        <w:t>（一）高新区管委会根据入驻企业投资行业和投资规模，按照园区的产业规划、产业布局及相关规定核定用地位置及用地面积。企业入园合同签订后，由属地自然资源局按程序依法供地。</w:t>
      </w:r>
    </w:p>
    <w:p w14:paraId="33F4E42A">
      <w:pPr>
        <w:adjustRightInd w:val="0"/>
        <w:snapToGrid w:val="0"/>
        <w:spacing w:line="560" w:lineRule="exact"/>
        <w:ind w:firstLine="624" w:firstLineChars="200"/>
        <w:rPr>
          <w:rFonts w:hint="eastAsia" w:ascii="仿宋_GB2312" w:hAnsi="仿宋" w:eastAsia="仿宋_GB2312"/>
          <w:sz w:val="32"/>
          <w:szCs w:val="32"/>
        </w:rPr>
      </w:pPr>
      <w:r>
        <w:rPr>
          <w:rFonts w:hint="eastAsia" w:ascii="仿宋_GB2312" w:hAnsi="仿宋" w:eastAsia="仿宋_GB2312"/>
          <w:sz w:val="32"/>
          <w:szCs w:val="32"/>
        </w:rPr>
        <w:t>（二）除不可抗力因素影响，新建项目须在交付土地后6个月内动工建设。因特殊情况确需延期的，应向高新区管委会提出申请，但延期时间累计最长不得超过4个月，超过4个月的，由属地自然资源部门依据相关法律法规处置。</w:t>
      </w:r>
    </w:p>
    <w:p w14:paraId="0750A006">
      <w:pPr>
        <w:adjustRightInd w:val="0"/>
        <w:snapToGrid w:val="0"/>
        <w:spacing w:line="560" w:lineRule="exact"/>
        <w:ind w:firstLine="624" w:firstLineChars="200"/>
        <w:rPr>
          <w:rFonts w:hint="eastAsia" w:ascii="仿宋_GB2312" w:hAnsi="仿宋" w:eastAsia="仿宋_GB2312"/>
          <w:sz w:val="32"/>
          <w:szCs w:val="32"/>
        </w:rPr>
      </w:pPr>
      <w:r>
        <w:rPr>
          <w:rFonts w:hint="eastAsia" w:ascii="仿宋_GB2312" w:hAnsi="仿宋" w:eastAsia="仿宋_GB2312"/>
          <w:sz w:val="32"/>
          <w:szCs w:val="32"/>
        </w:rPr>
        <w:t>（三）投资者不得擅自改变土地性质和用途，擅自改变用途以及擅自进行土地转让的，由属地自然资源局依法收回土地使用权。因该违法行为导致他人权益受损的，应承担相应的民事、行政、刑事责任。</w:t>
      </w:r>
    </w:p>
    <w:p w14:paraId="34075933">
      <w:pPr>
        <w:adjustRightInd w:val="0"/>
        <w:snapToGrid w:val="0"/>
        <w:spacing w:line="560" w:lineRule="exact"/>
        <w:ind w:firstLine="624" w:firstLineChars="200"/>
        <w:rPr>
          <w:rFonts w:hint="eastAsia" w:ascii="仿宋_GB2312" w:hAnsi="仿宋" w:eastAsia="仿宋_GB2312"/>
          <w:sz w:val="32"/>
          <w:szCs w:val="32"/>
        </w:rPr>
      </w:pPr>
      <w:r>
        <w:rPr>
          <w:rFonts w:hint="eastAsia" w:ascii="仿宋_GB2312" w:hAnsi="仿宋" w:eastAsia="仿宋_GB2312"/>
          <w:sz w:val="32"/>
          <w:szCs w:val="32"/>
        </w:rPr>
        <w:t>（四）</w:t>
      </w:r>
      <w:r>
        <w:rPr>
          <w:rFonts w:ascii="仿宋_GB2312" w:hAnsi="仿宋" w:eastAsia="仿宋_GB2312"/>
          <w:sz w:val="32"/>
          <w:szCs w:val="32"/>
        </w:rPr>
        <w:t>入园企业投资项目在规定建设期内应建成投产。单个项目</w:t>
      </w:r>
      <w:r>
        <w:rPr>
          <w:rFonts w:hint="eastAsia" w:ascii="仿宋_GB2312" w:hAnsi="仿宋" w:eastAsia="仿宋_GB2312"/>
          <w:sz w:val="32"/>
          <w:szCs w:val="32"/>
        </w:rPr>
        <w:t>开工建设的第一个完整年度</w:t>
      </w:r>
      <w:r>
        <w:rPr>
          <w:rFonts w:ascii="仿宋_GB2312" w:hAnsi="仿宋" w:eastAsia="仿宋_GB2312"/>
          <w:sz w:val="32"/>
          <w:szCs w:val="32"/>
        </w:rPr>
        <w:t>固定资产投入不得低于固定资产总投入的25%。</w:t>
      </w:r>
      <w:r>
        <w:rPr>
          <w:rFonts w:hint="eastAsia" w:ascii="仿宋_GB2312" w:hAnsi="仿宋" w:eastAsia="仿宋_GB2312"/>
          <w:sz w:val="32"/>
          <w:szCs w:val="32"/>
        </w:rPr>
        <w:t>企业未按合同约定建设，造成土地闲置，闲置满一年不满两年的，应依法缴纳土地闲置费；土地闲置满两年且未开工建设的，</w:t>
      </w:r>
      <w:bookmarkStart w:id="30" w:name="OLE_LINK134"/>
      <w:r>
        <w:rPr>
          <w:rFonts w:hint="eastAsia" w:ascii="仿宋_GB2312" w:hAnsi="仿宋" w:eastAsia="仿宋_GB2312"/>
          <w:sz w:val="32"/>
          <w:szCs w:val="32"/>
        </w:rPr>
        <w:t>属地自然资源局</w:t>
      </w:r>
      <w:bookmarkEnd w:id="30"/>
      <w:r>
        <w:rPr>
          <w:rFonts w:hint="eastAsia" w:ascii="仿宋_GB2312" w:hAnsi="仿宋" w:eastAsia="仿宋_GB2312"/>
          <w:sz w:val="32"/>
          <w:szCs w:val="32"/>
        </w:rPr>
        <w:t>有权无偿收回国有建设用地使用权。</w:t>
      </w:r>
    </w:p>
    <w:p w14:paraId="76443048">
      <w:pPr>
        <w:adjustRightInd w:val="0"/>
        <w:snapToGrid w:val="0"/>
        <w:spacing w:line="560" w:lineRule="exact"/>
        <w:ind w:firstLine="624" w:firstLineChars="200"/>
        <w:rPr>
          <w:rFonts w:hint="eastAsia" w:ascii="仿宋_GB2312" w:hAnsi="仿宋" w:eastAsia="仿宋_GB2312"/>
          <w:sz w:val="32"/>
          <w:szCs w:val="32"/>
        </w:rPr>
      </w:pPr>
      <w:r>
        <w:rPr>
          <w:rFonts w:hint="eastAsia" w:ascii="楷体_GB2312" w:hAnsi="楷体_GB2312" w:eastAsia="楷体_GB2312" w:cs="楷体_GB2312"/>
          <w:sz w:val="32"/>
          <w:szCs w:val="32"/>
        </w:rPr>
        <w:t>第十条</w:t>
      </w:r>
      <w:r>
        <w:rPr>
          <w:rFonts w:hint="eastAsia" w:ascii="黑体" w:hAnsi="黑体" w:eastAsia="黑体" w:cs="黑体"/>
          <w:sz w:val="32"/>
          <w:szCs w:val="32"/>
        </w:rPr>
        <w:t xml:space="preserve">  </w:t>
      </w:r>
      <w:r>
        <w:rPr>
          <w:rFonts w:ascii="仿宋_GB2312" w:hAnsi="仿宋" w:eastAsia="仿宋_GB2312"/>
          <w:sz w:val="32"/>
          <w:szCs w:val="32"/>
        </w:rPr>
        <w:t>规划管理</w:t>
      </w:r>
      <w:r>
        <w:rPr>
          <w:rFonts w:hint="eastAsia" w:ascii="仿宋_GB2312" w:hAnsi="仿宋" w:eastAsia="仿宋_GB2312"/>
          <w:sz w:val="32"/>
          <w:szCs w:val="32"/>
        </w:rPr>
        <w:t>。</w:t>
      </w:r>
    </w:p>
    <w:p w14:paraId="7FDCB6AF">
      <w:pPr>
        <w:adjustRightInd w:val="0"/>
        <w:snapToGrid w:val="0"/>
        <w:spacing w:line="560" w:lineRule="exact"/>
        <w:ind w:firstLine="624" w:firstLineChars="200"/>
        <w:rPr>
          <w:rFonts w:hint="eastAsia" w:ascii="仿宋_GB2312" w:hAnsi="仿宋" w:eastAsia="仿宋_GB2312"/>
          <w:sz w:val="32"/>
          <w:szCs w:val="32"/>
        </w:rPr>
      </w:pPr>
      <w:r>
        <w:rPr>
          <w:rFonts w:ascii="仿宋_GB2312" w:hAnsi="仿宋" w:eastAsia="仿宋_GB2312"/>
          <w:sz w:val="32"/>
          <w:szCs w:val="32"/>
        </w:rPr>
        <w:t>入驻企业应提供建设项目设计图纸</w:t>
      </w:r>
      <w:r>
        <w:rPr>
          <w:rFonts w:hint="eastAsia" w:ascii="仿宋_GB2312" w:hAnsi="仿宋" w:eastAsia="仿宋_GB2312"/>
          <w:sz w:val="32"/>
          <w:szCs w:val="32"/>
        </w:rPr>
        <w:t>（</w:t>
      </w:r>
      <w:r>
        <w:rPr>
          <w:rFonts w:ascii="仿宋_GB2312" w:hAnsi="仿宋" w:eastAsia="仿宋_GB2312"/>
          <w:sz w:val="32"/>
          <w:szCs w:val="32"/>
        </w:rPr>
        <w:t>包括厂区平面布置图、厂容厂貌效果图、地下管线布局及接口图等</w:t>
      </w:r>
      <w:r>
        <w:rPr>
          <w:rFonts w:hint="eastAsia" w:ascii="仿宋_GB2312" w:hAnsi="仿宋" w:eastAsia="仿宋_GB2312"/>
          <w:sz w:val="32"/>
          <w:szCs w:val="32"/>
        </w:rPr>
        <w:t>）</w:t>
      </w:r>
      <w:r>
        <w:rPr>
          <w:rFonts w:ascii="仿宋_GB2312" w:hAnsi="仿宋" w:eastAsia="仿宋_GB2312"/>
          <w:sz w:val="32"/>
          <w:szCs w:val="32"/>
        </w:rPr>
        <w:t>，整体设计要求美观大方，符合园区规划和高新区管委会的要求。建设项目的布局、建筑物设计等由高新区管委会根据规划要求进行审核。审核通过后，企业应严格按照园区规划要求进行建设，不得擅自变更；如需变更，应经高新区管委会批准。未经批准变更的，高新区管委会责令整改，拒不整改的协调相关部门予以强制拆除。</w:t>
      </w:r>
    </w:p>
    <w:p w14:paraId="674556D5">
      <w:pPr>
        <w:adjustRightInd w:val="0"/>
        <w:snapToGrid w:val="0"/>
        <w:spacing w:line="560" w:lineRule="exact"/>
        <w:ind w:firstLine="624" w:firstLineChars="200"/>
        <w:rPr>
          <w:rFonts w:hint="eastAsia" w:ascii="仿宋_GB2312" w:hAnsi="仿宋" w:eastAsia="仿宋_GB2312"/>
          <w:sz w:val="32"/>
          <w:szCs w:val="32"/>
        </w:rPr>
      </w:pPr>
      <w:r>
        <w:rPr>
          <w:rFonts w:hint="eastAsia" w:ascii="楷体_GB2312" w:hAnsi="楷体_GB2312" w:eastAsia="楷体_GB2312" w:cs="楷体_GB2312"/>
          <w:sz w:val="32"/>
          <w:szCs w:val="32"/>
        </w:rPr>
        <w:t>第十一条</w:t>
      </w:r>
      <w:r>
        <w:rPr>
          <w:rFonts w:hint="eastAsia" w:ascii="黑体" w:hAnsi="黑体" w:eastAsia="黑体" w:cs="黑体"/>
          <w:sz w:val="32"/>
          <w:szCs w:val="32"/>
        </w:rPr>
        <w:t xml:space="preserve">  </w:t>
      </w:r>
      <w:r>
        <w:rPr>
          <w:rFonts w:ascii="仿宋_GB2312" w:hAnsi="仿宋" w:eastAsia="仿宋_GB2312"/>
          <w:sz w:val="32"/>
          <w:szCs w:val="32"/>
        </w:rPr>
        <w:t>建设管理</w:t>
      </w:r>
      <w:r>
        <w:rPr>
          <w:rFonts w:hint="eastAsia" w:ascii="仿宋_GB2312" w:hAnsi="仿宋" w:eastAsia="仿宋_GB2312"/>
          <w:sz w:val="32"/>
          <w:szCs w:val="32"/>
        </w:rPr>
        <w:t>。</w:t>
      </w:r>
    </w:p>
    <w:p w14:paraId="212FB6FC">
      <w:pPr>
        <w:adjustRightInd w:val="0"/>
        <w:snapToGrid w:val="0"/>
        <w:spacing w:line="560" w:lineRule="exact"/>
        <w:ind w:firstLine="624" w:firstLineChars="200"/>
        <w:rPr>
          <w:rFonts w:hint="eastAsia" w:ascii="仿宋_GB2312" w:hAnsi="仿宋" w:eastAsia="仿宋_GB2312"/>
          <w:sz w:val="32"/>
          <w:szCs w:val="32"/>
        </w:rPr>
      </w:pPr>
      <w:r>
        <w:rPr>
          <w:rFonts w:hint="eastAsia" w:ascii="仿宋_GB2312" w:hAnsi="仿宋" w:eastAsia="仿宋_GB2312"/>
          <w:sz w:val="32"/>
          <w:szCs w:val="32"/>
        </w:rPr>
        <w:t>（一）</w:t>
      </w:r>
      <w:r>
        <w:rPr>
          <w:rFonts w:ascii="仿宋_GB2312" w:hAnsi="仿宋" w:eastAsia="仿宋_GB2312"/>
          <w:sz w:val="32"/>
          <w:szCs w:val="32"/>
        </w:rPr>
        <w:t>入驻企业的项目工程建设应由具备相应资质的设计单位提供图纸和技术资料，工程</w:t>
      </w:r>
      <w:r>
        <w:rPr>
          <w:rFonts w:hint="eastAsia" w:ascii="仿宋_GB2312" w:hAnsi="仿宋" w:eastAsia="仿宋_GB2312"/>
          <w:sz w:val="32"/>
          <w:szCs w:val="32"/>
        </w:rPr>
        <w:t>建设单位、监理、第三方服务</w:t>
      </w:r>
      <w:r>
        <w:rPr>
          <w:rFonts w:ascii="仿宋_GB2312" w:hAnsi="仿宋" w:eastAsia="仿宋_GB2312"/>
          <w:sz w:val="32"/>
          <w:szCs w:val="32"/>
        </w:rPr>
        <w:t>单位应具备相应资质和施工所需的相关手续。</w:t>
      </w:r>
    </w:p>
    <w:p w14:paraId="1AA24AE5">
      <w:pPr>
        <w:adjustRightInd w:val="0"/>
        <w:snapToGrid w:val="0"/>
        <w:spacing w:line="560" w:lineRule="exact"/>
        <w:ind w:firstLine="624" w:firstLineChars="200"/>
        <w:rPr>
          <w:rFonts w:hint="eastAsia" w:ascii="仿宋_GB2312" w:hAnsi="仿宋" w:eastAsia="仿宋_GB2312"/>
          <w:sz w:val="32"/>
          <w:szCs w:val="32"/>
        </w:rPr>
      </w:pPr>
      <w:r>
        <w:rPr>
          <w:rFonts w:hint="eastAsia" w:ascii="仿宋_GB2312" w:hAnsi="仿宋" w:eastAsia="仿宋_GB2312"/>
          <w:sz w:val="32"/>
          <w:szCs w:val="32"/>
        </w:rPr>
        <w:t>（二）</w:t>
      </w:r>
      <w:r>
        <w:rPr>
          <w:rFonts w:ascii="仿宋_GB2312" w:hAnsi="仿宋" w:eastAsia="仿宋_GB2312"/>
          <w:sz w:val="32"/>
          <w:szCs w:val="32"/>
        </w:rPr>
        <w:t>工程建设各方应严格执行国家相关法律法规和行业规范，严格履行基本建设程序，依法实行建设项目施工许可制、合同管理制和工程监理制，确保建设工程质量和安全。</w:t>
      </w:r>
    </w:p>
    <w:p w14:paraId="28EF7D6D">
      <w:pPr>
        <w:adjustRightInd w:val="0"/>
        <w:snapToGrid w:val="0"/>
        <w:spacing w:line="560" w:lineRule="exact"/>
        <w:ind w:firstLine="624" w:firstLineChars="200"/>
        <w:rPr>
          <w:rFonts w:hint="eastAsia" w:ascii="仿宋_GB2312" w:hAnsi="仿宋" w:eastAsia="仿宋_GB2312"/>
          <w:sz w:val="32"/>
          <w:szCs w:val="32"/>
        </w:rPr>
      </w:pPr>
      <w:r>
        <w:rPr>
          <w:rFonts w:hint="eastAsia" w:ascii="仿宋_GB2312" w:hAnsi="仿宋" w:eastAsia="仿宋_GB2312"/>
          <w:sz w:val="32"/>
          <w:szCs w:val="32"/>
        </w:rPr>
        <w:t>（三）</w:t>
      </w:r>
      <w:r>
        <w:rPr>
          <w:rFonts w:ascii="仿宋_GB2312" w:hAnsi="仿宋" w:eastAsia="仿宋_GB2312"/>
          <w:sz w:val="32"/>
          <w:szCs w:val="32"/>
        </w:rPr>
        <w:t>项目施工过程中，入驻企业要合理调配资金进度，确保建设资金及时足额到位，满足建设需要。同时，</w:t>
      </w:r>
      <w:r>
        <w:rPr>
          <w:rFonts w:hint="eastAsia" w:ascii="仿宋_GB2312" w:hAnsi="仿宋" w:eastAsia="仿宋_GB2312"/>
          <w:sz w:val="32"/>
          <w:szCs w:val="32"/>
        </w:rPr>
        <w:t>按照国家、自治区的有关规定，应及时足额缴纳职工工资保障金</w:t>
      </w:r>
      <w:r>
        <w:rPr>
          <w:rFonts w:ascii="仿宋_GB2312" w:hAnsi="仿宋" w:eastAsia="仿宋_GB2312"/>
          <w:sz w:val="32"/>
          <w:szCs w:val="32"/>
        </w:rPr>
        <w:t>，确保</w:t>
      </w:r>
      <w:r>
        <w:rPr>
          <w:rFonts w:hint="eastAsia" w:ascii="仿宋_GB2312" w:hAnsi="仿宋" w:eastAsia="仿宋_GB2312"/>
          <w:sz w:val="32"/>
          <w:szCs w:val="32"/>
        </w:rPr>
        <w:t>职工</w:t>
      </w:r>
      <w:r>
        <w:rPr>
          <w:rFonts w:ascii="仿宋_GB2312" w:hAnsi="仿宋" w:eastAsia="仿宋_GB2312"/>
          <w:sz w:val="32"/>
          <w:szCs w:val="32"/>
        </w:rPr>
        <w:t>工资按时足额发放。</w:t>
      </w:r>
      <w:r>
        <w:rPr>
          <w:rFonts w:hint="eastAsia" w:ascii="仿宋_GB2312" w:hAnsi="仿宋" w:eastAsia="仿宋_GB2312"/>
          <w:sz w:val="32"/>
          <w:szCs w:val="32"/>
        </w:rPr>
        <w:t>如发生职工工资拖欠问题，经核实确认后相关单位应及时据实支付，拒不履行支付义务的企业列入园区黑名单，被列入黑名单3次以上的企业自行退出园区。</w:t>
      </w:r>
    </w:p>
    <w:p w14:paraId="5AB3D645">
      <w:pPr>
        <w:adjustRightInd w:val="0"/>
        <w:snapToGrid w:val="0"/>
        <w:spacing w:line="560" w:lineRule="exact"/>
        <w:ind w:firstLine="624" w:firstLineChars="200"/>
        <w:rPr>
          <w:rFonts w:hint="eastAsia" w:ascii="仿宋_GB2312" w:hAnsi="仿宋" w:eastAsia="仿宋_GB2312"/>
          <w:sz w:val="32"/>
          <w:szCs w:val="32"/>
        </w:rPr>
      </w:pPr>
      <w:r>
        <w:rPr>
          <w:rFonts w:hint="eastAsia" w:ascii="仿宋_GB2312" w:hAnsi="仿宋" w:eastAsia="仿宋_GB2312"/>
          <w:sz w:val="32"/>
          <w:szCs w:val="32"/>
        </w:rPr>
        <w:t>（四）</w:t>
      </w:r>
      <w:r>
        <w:rPr>
          <w:rFonts w:ascii="仿宋_GB2312" w:hAnsi="仿宋" w:eastAsia="仿宋_GB2312"/>
          <w:sz w:val="32"/>
          <w:szCs w:val="32"/>
        </w:rPr>
        <w:t>入驻企业因生产经营需要，需改建和扩建的，应向高新区管委会提出申请，经评审</w:t>
      </w:r>
      <w:bookmarkStart w:id="31" w:name="OLE_LINK32"/>
      <w:r>
        <w:rPr>
          <w:rFonts w:ascii="仿宋_GB2312" w:hAnsi="仿宋" w:eastAsia="仿宋_GB2312"/>
          <w:sz w:val="32"/>
          <w:szCs w:val="32"/>
        </w:rPr>
        <w:t>批准</w:t>
      </w:r>
      <w:bookmarkEnd w:id="31"/>
      <w:r>
        <w:rPr>
          <w:rFonts w:ascii="仿宋_GB2312" w:hAnsi="仿宋" w:eastAsia="仿宋_GB2312"/>
          <w:sz w:val="32"/>
          <w:szCs w:val="32"/>
        </w:rPr>
        <w:t>后，按程序办理相关手续并实施改扩建工程。</w:t>
      </w:r>
    </w:p>
    <w:p w14:paraId="4D0C3F84">
      <w:pPr>
        <w:adjustRightInd w:val="0"/>
        <w:snapToGrid w:val="0"/>
        <w:spacing w:line="560" w:lineRule="exact"/>
        <w:ind w:firstLine="624" w:firstLineChars="200"/>
        <w:rPr>
          <w:rFonts w:hint="eastAsia" w:ascii="仿宋_GB2312" w:hAnsi="仿宋" w:eastAsia="仿宋_GB2312"/>
          <w:sz w:val="32"/>
          <w:szCs w:val="32"/>
        </w:rPr>
      </w:pPr>
      <w:r>
        <w:rPr>
          <w:rFonts w:hint="eastAsia" w:ascii="仿宋_GB2312" w:hAnsi="仿宋" w:eastAsia="仿宋_GB2312"/>
          <w:sz w:val="32"/>
          <w:szCs w:val="32"/>
        </w:rPr>
        <w:t>（五）入驻企业建设期间，要坚持安全、文明作业，不得在公路和园区道路上堆放砂石、水泥、钢材等建筑材料，如生产需要确需建设，须经高新区</w:t>
      </w:r>
      <w:bookmarkStart w:id="32" w:name="OLE_LINK33"/>
      <w:r>
        <w:rPr>
          <w:rFonts w:hint="eastAsia" w:ascii="仿宋_GB2312" w:hAnsi="仿宋" w:eastAsia="仿宋_GB2312"/>
          <w:sz w:val="32"/>
          <w:szCs w:val="32"/>
        </w:rPr>
        <w:t>管委会</w:t>
      </w:r>
      <w:bookmarkEnd w:id="32"/>
      <w:r>
        <w:rPr>
          <w:rFonts w:hint="eastAsia" w:ascii="仿宋_GB2312" w:hAnsi="仿宋" w:eastAsia="仿宋_GB2312"/>
          <w:sz w:val="32"/>
          <w:szCs w:val="32"/>
        </w:rPr>
        <w:t>批准。同时每月需向高新区管委会报送项目建设进度情况。</w:t>
      </w:r>
    </w:p>
    <w:p w14:paraId="60662668">
      <w:pPr>
        <w:adjustRightInd w:val="0"/>
        <w:snapToGrid w:val="0"/>
        <w:spacing w:line="560" w:lineRule="exact"/>
        <w:ind w:firstLine="624" w:firstLineChars="200"/>
        <w:rPr>
          <w:rFonts w:hint="eastAsia" w:ascii="仿宋_GB2312" w:hAnsi="仿宋" w:eastAsia="仿宋_GB2312"/>
          <w:sz w:val="32"/>
          <w:szCs w:val="32"/>
        </w:rPr>
      </w:pPr>
      <w:r>
        <w:rPr>
          <w:rFonts w:hint="eastAsia" w:ascii="楷体_GB2312" w:hAnsi="楷体_GB2312" w:eastAsia="楷体_GB2312" w:cs="楷体_GB2312"/>
          <w:sz w:val="32"/>
          <w:szCs w:val="32"/>
        </w:rPr>
        <w:t>第十二条</w:t>
      </w:r>
      <w:r>
        <w:rPr>
          <w:rFonts w:hint="eastAsia" w:ascii="黑体" w:hAnsi="黑体" w:eastAsia="黑体" w:cs="黑体"/>
          <w:sz w:val="32"/>
          <w:szCs w:val="32"/>
        </w:rPr>
        <w:t xml:space="preserve">  </w:t>
      </w:r>
      <w:r>
        <w:rPr>
          <w:rFonts w:ascii="仿宋_GB2312" w:hAnsi="仿宋" w:eastAsia="仿宋_GB2312"/>
          <w:sz w:val="32"/>
          <w:szCs w:val="32"/>
        </w:rPr>
        <w:t>生产经营</w:t>
      </w:r>
      <w:r>
        <w:rPr>
          <w:rFonts w:hint="eastAsia" w:ascii="仿宋_GB2312" w:hAnsi="仿宋" w:eastAsia="仿宋_GB2312"/>
          <w:sz w:val="32"/>
          <w:szCs w:val="32"/>
        </w:rPr>
        <w:t>及社会事务</w:t>
      </w:r>
      <w:r>
        <w:rPr>
          <w:rFonts w:ascii="仿宋_GB2312" w:hAnsi="仿宋" w:eastAsia="仿宋_GB2312"/>
          <w:sz w:val="32"/>
          <w:szCs w:val="32"/>
        </w:rPr>
        <w:t>管理</w:t>
      </w:r>
      <w:r>
        <w:rPr>
          <w:rFonts w:hint="eastAsia" w:ascii="仿宋_GB2312" w:hAnsi="仿宋" w:eastAsia="仿宋_GB2312"/>
          <w:sz w:val="32"/>
          <w:szCs w:val="32"/>
        </w:rPr>
        <w:t>。</w:t>
      </w:r>
    </w:p>
    <w:p w14:paraId="2A364083">
      <w:pPr>
        <w:adjustRightInd w:val="0"/>
        <w:snapToGrid w:val="0"/>
        <w:spacing w:line="560" w:lineRule="exact"/>
        <w:ind w:firstLine="624" w:firstLineChars="200"/>
        <w:rPr>
          <w:rFonts w:hint="eastAsia" w:ascii="仿宋_GB2312" w:hAnsi="仿宋" w:eastAsia="仿宋_GB2312"/>
          <w:sz w:val="32"/>
          <w:szCs w:val="32"/>
        </w:rPr>
      </w:pPr>
      <w:r>
        <w:rPr>
          <w:rFonts w:hint="eastAsia" w:ascii="仿宋_GB2312" w:hAnsi="仿宋" w:eastAsia="仿宋_GB2312"/>
          <w:sz w:val="32"/>
          <w:szCs w:val="32"/>
        </w:rPr>
        <w:t>（一）</w:t>
      </w:r>
      <w:r>
        <w:rPr>
          <w:rFonts w:ascii="仿宋_GB2312" w:hAnsi="仿宋" w:eastAsia="仿宋_GB2312"/>
          <w:sz w:val="32"/>
          <w:szCs w:val="32"/>
        </w:rPr>
        <w:t>入驻企业应依法从事生产经营活动。及时、如实上报生产经营中产品产量、产值、销售收入、纳税额、进出口额、从业人员等经济指标，依法纳税。</w:t>
      </w:r>
    </w:p>
    <w:p w14:paraId="388547CE">
      <w:pPr>
        <w:adjustRightInd w:val="0"/>
        <w:snapToGrid w:val="0"/>
        <w:spacing w:line="560" w:lineRule="exact"/>
        <w:ind w:firstLine="624" w:firstLineChars="200"/>
        <w:rPr>
          <w:rFonts w:hint="eastAsia" w:ascii="仿宋_GB2312" w:hAnsi="仿宋" w:eastAsia="仿宋_GB2312"/>
          <w:sz w:val="32"/>
          <w:szCs w:val="32"/>
        </w:rPr>
      </w:pPr>
      <w:r>
        <w:rPr>
          <w:rFonts w:hint="eastAsia" w:ascii="仿宋_GB2312" w:hAnsi="仿宋" w:eastAsia="仿宋_GB2312"/>
          <w:sz w:val="32"/>
          <w:szCs w:val="32"/>
        </w:rPr>
        <w:t>（二）</w:t>
      </w:r>
      <w:r>
        <w:rPr>
          <w:rFonts w:ascii="仿宋_GB2312" w:hAnsi="仿宋" w:eastAsia="仿宋_GB2312"/>
          <w:sz w:val="32"/>
          <w:szCs w:val="32"/>
        </w:rPr>
        <w:t>入驻企业歇业、停业，</w:t>
      </w:r>
      <w:r>
        <w:rPr>
          <w:rFonts w:hint="eastAsia" w:ascii="仿宋_GB2312" w:hAnsi="仿宋" w:eastAsia="仿宋_GB2312"/>
          <w:sz w:val="32"/>
          <w:szCs w:val="32"/>
        </w:rPr>
        <w:t>需</w:t>
      </w:r>
      <w:r>
        <w:rPr>
          <w:rFonts w:ascii="仿宋_GB2312" w:hAnsi="仿宋" w:eastAsia="仿宋_GB2312"/>
          <w:sz w:val="32"/>
          <w:szCs w:val="32"/>
        </w:rPr>
        <w:t>提前10</w:t>
      </w:r>
      <w:r>
        <w:rPr>
          <w:rFonts w:hint="eastAsia" w:ascii="仿宋_GB2312" w:hAnsi="仿宋" w:eastAsia="仿宋_GB2312"/>
          <w:sz w:val="32"/>
          <w:szCs w:val="32"/>
        </w:rPr>
        <w:t>个工作日</w:t>
      </w:r>
      <w:r>
        <w:rPr>
          <w:rFonts w:ascii="仿宋_GB2312" w:hAnsi="仿宋" w:eastAsia="仿宋_GB2312"/>
          <w:sz w:val="32"/>
          <w:szCs w:val="32"/>
        </w:rPr>
        <w:t>向高新区管委会</w:t>
      </w:r>
      <w:r>
        <w:rPr>
          <w:rFonts w:hint="eastAsia" w:ascii="仿宋_GB2312" w:hAnsi="仿宋" w:eastAsia="仿宋_GB2312"/>
          <w:sz w:val="32"/>
          <w:szCs w:val="32"/>
        </w:rPr>
        <w:t>备案</w:t>
      </w:r>
      <w:r>
        <w:rPr>
          <w:rFonts w:ascii="仿宋_GB2312" w:hAnsi="仿宋" w:eastAsia="仿宋_GB2312"/>
          <w:sz w:val="32"/>
          <w:szCs w:val="32"/>
        </w:rPr>
        <w:t>。</w:t>
      </w:r>
    </w:p>
    <w:p w14:paraId="464E97CB">
      <w:pPr>
        <w:adjustRightInd w:val="0"/>
        <w:snapToGrid w:val="0"/>
        <w:spacing w:line="560" w:lineRule="exact"/>
        <w:ind w:firstLine="624" w:firstLineChars="200"/>
        <w:rPr>
          <w:rFonts w:hint="eastAsia" w:ascii="仿宋_GB2312" w:hAnsi="仿宋" w:eastAsia="仿宋_GB2312"/>
          <w:sz w:val="32"/>
          <w:szCs w:val="32"/>
        </w:rPr>
      </w:pPr>
      <w:r>
        <w:rPr>
          <w:rFonts w:hint="eastAsia" w:ascii="仿宋_GB2312" w:hAnsi="仿宋" w:eastAsia="仿宋_GB2312"/>
          <w:sz w:val="32"/>
          <w:szCs w:val="32"/>
        </w:rPr>
        <w:t>（三）入驻企业应遵守赤峰市及园区综合治理、信访、消防、安全生产、劳动者权益保障、卫生防疫、职业病防治等社会事务相关要求，应按有关规定落实机构、人员、经费，制定相应的实施方案和应急预案，确保企业正常的生产经营秩序，创建安定和谐的社会环境。</w:t>
      </w:r>
    </w:p>
    <w:p w14:paraId="650A44DB">
      <w:pPr>
        <w:adjustRightInd w:val="0"/>
        <w:snapToGrid w:val="0"/>
        <w:spacing w:line="560" w:lineRule="exact"/>
        <w:ind w:firstLine="624" w:firstLineChars="200"/>
        <w:rPr>
          <w:rFonts w:hint="eastAsia" w:ascii="仿宋_GB2312" w:hAnsi="仿宋" w:eastAsia="仿宋_GB2312"/>
          <w:sz w:val="32"/>
          <w:szCs w:val="32"/>
        </w:rPr>
      </w:pPr>
      <w:r>
        <w:rPr>
          <w:rFonts w:hint="eastAsia" w:ascii="楷体_GB2312" w:hAnsi="楷体_GB2312" w:eastAsia="楷体_GB2312" w:cs="楷体_GB2312"/>
          <w:sz w:val="32"/>
          <w:szCs w:val="32"/>
        </w:rPr>
        <w:t>第十三条</w:t>
      </w:r>
      <w:r>
        <w:rPr>
          <w:rFonts w:hint="eastAsia" w:ascii="黑体" w:hAnsi="黑体" w:eastAsia="黑体" w:cs="黑体"/>
          <w:sz w:val="32"/>
          <w:szCs w:val="32"/>
        </w:rPr>
        <w:t xml:space="preserve">  </w:t>
      </w:r>
      <w:r>
        <w:rPr>
          <w:rFonts w:hint="eastAsia" w:ascii="仿宋_GB2312" w:hAnsi="仿宋" w:eastAsia="仿宋_GB2312"/>
          <w:sz w:val="32"/>
          <w:szCs w:val="32"/>
        </w:rPr>
        <w:t>基础设施管理。</w:t>
      </w:r>
    </w:p>
    <w:p w14:paraId="661317EB">
      <w:pPr>
        <w:adjustRightInd w:val="0"/>
        <w:snapToGrid w:val="0"/>
        <w:spacing w:line="560" w:lineRule="exact"/>
        <w:ind w:firstLine="624" w:firstLineChars="200"/>
        <w:rPr>
          <w:rFonts w:hint="eastAsia" w:ascii="仿宋_GB2312" w:hAnsi="仿宋" w:eastAsia="仿宋_GB2312"/>
          <w:sz w:val="32"/>
          <w:szCs w:val="32"/>
        </w:rPr>
      </w:pPr>
      <w:r>
        <w:rPr>
          <w:rFonts w:hint="eastAsia" w:ascii="仿宋_GB2312" w:hAnsi="仿宋" w:eastAsia="仿宋_GB2312"/>
          <w:sz w:val="32"/>
          <w:szCs w:val="32"/>
        </w:rPr>
        <w:t>（一）入驻园区企业按照园区规划使用园区内的水、电、暖、通讯、道路等资源及公用设施，不得擅自在厂区内外取用地下水、铺设供水管道、建设管廊、架设输配电线路、修筑交通便道及建设其它任何设施。如生产需要确需建设，应当经高新区管委会批准，并严格按园区规划和相关要求进行建设。</w:t>
      </w:r>
    </w:p>
    <w:p w14:paraId="4A127B99">
      <w:pPr>
        <w:adjustRightInd w:val="0"/>
        <w:snapToGrid w:val="0"/>
        <w:spacing w:line="560" w:lineRule="exact"/>
        <w:ind w:firstLine="624" w:firstLineChars="200"/>
        <w:rPr>
          <w:rFonts w:hint="eastAsia" w:ascii="仿宋_GB2312" w:hAnsi="仿宋" w:eastAsia="仿宋_GB2312"/>
          <w:sz w:val="32"/>
          <w:szCs w:val="32"/>
        </w:rPr>
      </w:pPr>
      <w:r>
        <w:rPr>
          <w:rFonts w:hint="eastAsia" w:ascii="仿宋_GB2312" w:hAnsi="仿宋" w:eastAsia="仿宋_GB2312"/>
          <w:sz w:val="32"/>
          <w:szCs w:val="32"/>
        </w:rPr>
        <w:t>（二）入驻企业对工业园区内的公共设施和园区整体形象负有保护义务，不得私搭乱建、乱挖乱排、违章停车等损坏公共设施、破坏园区形象行为。</w:t>
      </w:r>
    </w:p>
    <w:p w14:paraId="73C5664F">
      <w:pPr>
        <w:adjustRightInd w:val="0"/>
        <w:snapToGrid w:val="0"/>
        <w:spacing w:line="560" w:lineRule="exact"/>
        <w:ind w:firstLine="624" w:firstLineChars="200"/>
        <w:rPr>
          <w:rFonts w:hint="eastAsia" w:ascii="仿宋_GB2312" w:hAnsi="仿宋" w:eastAsia="仿宋_GB2312"/>
          <w:sz w:val="32"/>
          <w:szCs w:val="32"/>
          <w:lang w:eastAsia="zh"/>
        </w:rPr>
      </w:pPr>
      <w:r>
        <w:rPr>
          <w:rFonts w:hint="eastAsia" w:ascii="楷体_GB2312" w:hAnsi="楷体_GB2312" w:eastAsia="楷体_GB2312" w:cs="楷体_GB2312"/>
          <w:sz w:val="32"/>
          <w:szCs w:val="32"/>
        </w:rPr>
        <w:t>第十四条</w:t>
      </w:r>
      <w:r>
        <w:rPr>
          <w:rFonts w:hint="eastAsia" w:ascii="黑体" w:hAnsi="黑体" w:eastAsia="黑体" w:cs="黑体"/>
          <w:sz w:val="32"/>
          <w:szCs w:val="32"/>
        </w:rPr>
        <w:t xml:space="preserve">  </w:t>
      </w:r>
      <w:r>
        <w:rPr>
          <w:rFonts w:hint="eastAsia" w:ascii="仿宋_GB2312" w:hAnsi="仿宋" w:eastAsia="仿宋_GB2312"/>
          <w:sz w:val="32"/>
          <w:szCs w:val="32"/>
        </w:rPr>
        <w:t>厂容厂貌管理</w:t>
      </w:r>
      <w:r>
        <w:rPr>
          <w:rFonts w:hint="eastAsia" w:ascii="仿宋_GB2312" w:hAnsi="仿宋" w:eastAsia="仿宋_GB2312"/>
          <w:sz w:val="32"/>
          <w:szCs w:val="32"/>
          <w:lang w:eastAsia="zh"/>
        </w:rPr>
        <w:t>。</w:t>
      </w:r>
    </w:p>
    <w:p w14:paraId="39BF38DC">
      <w:pPr>
        <w:adjustRightInd w:val="0"/>
        <w:snapToGrid w:val="0"/>
        <w:spacing w:line="560" w:lineRule="exact"/>
        <w:ind w:firstLine="624" w:firstLineChars="200"/>
        <w:rPr>
          <w:rFonts w:hint="eastAsia" w:ascii="仿宋_GB2312" w:hAnsi="仿宋" w:eastAsia="仿宋_GB2312"/>
          <w:sz w:val="32"/>
          <w:szCs w:val="32"/>
        </w:rPr>
      </w:pPr>
      <w:r>
        <w:rPr>
          <w:rFonts w:hint="eastAsia" w:ascii="仿宋_GB2312" w:hAnsi="仿宋" w:eastAsia="仿宋_GB2312"/>
          <w:sz w:val="32"/>
          <w:szCs w:val="32"/>
        </w:rPr>
        <w:t>园区企业厂区内道路、车间、办公区、公共区域需保持干净，无垃圾、杂物、积水或油污堆积。确保雨污分流，排水沟渠畅通，无堵塞或异味。涉及粉尘、废气排放的企业需安装防尘设施，避免污染周边环境。厂房、办公楼等建筑外观需符合园区规划要求，禁止擅自改变外立面颜色、材质或结构。厂区内车辆（含运输车、员工私家车）需按划线停放，禁止占用消防通道或主干道。保持消防通道、紧急出口畅通，禁止设置障碍物。</w:t>
      </w:r>
    </w:p>
    <w:p w14:paraId="5206493D">
      <w:pPr>
        <w:adjustRightInd w:val="0"/>
        <w:snapToGrid w:val="0"/>
        <w:spacing w:line="560" w:lineRule="exact"/>
        <w:ind w:firstLine="624" w:firstLineChars="200"/>
        <w:rPr>
          <w:rFonts w:hint="eastAsia" w:ascii="仿宋_GB2312" w:hAnsi="仿宋" w:eastAsia="仿宋_GB2312"/>
          <w:sz w:val="32"/>
          <w:szCs w:val="32"/>
        </w:rPr>
      </w:pPr>
      <w:r>
        <w:rPr>
          <w:rFonts w:hint="eastAsia" w:ascii="楷体_GB2312" w:hAnsi="楷体_GB2312" w:eastAsia="楷体_GB2312" w:cs="楷体_GB2312"/>
          <w:sz w:val="32"/>
          <w:szCs w:val="32"/>
        </w:rPr>
        <w:t>第十五条</w:t>
      </w:r>
      <w:r>
        <w:rPr>
          <w:rFonts w:hint="eastAsia" w:ascii="黑体" w:hAnsi="黑体" w:eastAsia="黑体" w:cs="黑体"/>
          <w:sz w:val="32"/>
          <w:szCs w:val="32"/>
        </w:rPr>
        <w:t xml:space="preserve">  </w:t>
      </w:r>
      <w:r>
        <w:rPr>
          <w:rFonts w:hint="eastAsia" w:ascii="仿宋_GB2312" w:hAnsi="仿宋" w:eastAsia="仿宋_GB2312"/>
          <w:sz w:val="32"/>
          <w:szCs w:val="32"/>
        </w:rPr>
        <w:t>碳排放管理。</w:t>
      </w:r>
    </w:p>
    <w:p w14:paraId="6BF03610">
      <w:pPr>
        <w:adjustRightInd w:val="0"/>
        <w:snapToGrid w:val="0"/>
        <w:spacing w:line="560" w:lineRule="exact"/>
        <w:ind w:firstLine="624" w:firstLineChars="200"/>
        <w:rPr>
          <w:rFonts w:hint="eastAsia" w:ascii="仿宋_GB2312" w:hAnsi="仿宋" w:eastAsia="仿宋_GB2312"/>
          <w:sz w:val="32"/>
          <w:szCs w:val="32"/>
        </w:rPr>
      </w:pPr>
      <w:r>
        <w:rPr>
          <w:rFonts w:hint="eastAsia" w:ascii="仿宋_GB2312" w:hAnsi="仿宋" w:eastAsia="仿宋_GB2312"/>
          <w:sz w:val="32"/>
          <w:szCs w:val="32"/>
        </w:rPr>
        <w:t>（一）应当按照有关规定配备、使用能源和碳排放计量器具。企业按高新区管委会要求接入园区智慧园区、能碳管理平台等系统，并自觉接受管理。</w:t>
      </w:r>
    </w:p>
    <w:p w14:paraId="09175EBB">
      <w:pPr>
        <w:adjustRightInd w:val="0"/>
        <w:snapToGrid w:val="0"/>
        <w:spacing w:line="560" w:lineRule="exact"/>
        <w:ind w:firstLine="624" w:firstLineChars="200"/>
        <w:rPr>
          <w:rFonts w:hint="eastAsia" w:ascii="仿宋_GB2312" w:hAnsi="仿宋" w:eastAsia="仿宋_GB2312"/>
          <w:sz w:val="32"/>
          <w:szCs w:val="32"/>
        </w:rPr>
      </w:pPr>
      <w:r>
        <w:rPr>
          <w:rFonts w:hint="eastAsia" w:ascii="仿宋_GB2312" w:hAnsi="仿宋" w:eastAsia="仿宋_GB2312"/>
          <w:sz w:val="32"/>
          <w:szCs w:val="32"/>
        </w:rPr>
        <w:t>（二）配合高新区管委会开展碳排放数据采集、现场核查及后续整改工作，包括但不限于提供真实完整的生产数据、能源消耗记录等。</w:t>
      </w:r>
    </w:p>
    <w:p w14:paraId="13EBA7DF">
      <w:pPr>
        <w:adjustRightInd w:val="0"/>
        <w:snapToGrid w:val="0"/>
        <w:spacing w:line="560" w:lineRule="exact"/>
        <w:ind w:firstLine="624" w:firstLineChars="200"/>
        <w:rPr>
          <w:rFonts w:hint="eastAsia" w:ascii="仿宋_GB2312" w:hAnsi="仿宋" w:eastAsia="仿宋_GB2312"/>
          <w:sz w:val="32"/>
          <w:szCs w:val="32"/>
        </w:rPr>
      </w:pPr>
      <w:r>
        <w:rPr>
          <w:rFonts w:hint="eastAsia" w:ascii="仿宋_GB2312" w:hAnsi="仿宋" w:eastAsia="仿宋_GB2312"/>
          <w:sz w:val="32"/>
          <w:szCs w:val="32"/>
        </w:rPr>
        <w:t>（三）重点用能单位（</w:t>
      </w:r>
      <w:r>
        <w:rPr>
          <w:rFonts w:ascii="仿宋_GB2312" w:hAnsi="仿宋" w:eastAsia="仿宋_GB2312"/>
          <w:sz w:val="32"/>
          <w:szCs w:val="32"/>
        </w:rPr>
        <w:t>年综合能源消费量1万吨标准煤以上</w:t>
      </w:r>
      <w:r>
        <w:rPr>
          <w:rFonts w:hint="eastAsia" w:ascii="仿宋_GB2312" w:hAnsi="仿宋" w:eastAsia="仿宋_GB2312"/>
          <w:sz w:val="32"/>
          <w:szCs w:val="32"/>
        </w:rPr>
        <w:t>）每年进行一次碳排放核查，积极参与建设碳达峰试点园区、低碳园区、零碳园区等工作。</w:t>
      </w:r>
    </w:p>
    <w:p w14:paraId="25D16FFE">
      <w:pPr>
        <w:adjustRightInd w:val="0"/>
        <w:snapToGrid w:val="0"/>
        <w:spacing w:line="560" w:lineRule="exact"/>
        <w:ind w:firstLine="624" w:firstLineChars="200"/>
        <w:rPr>
          <w:rFonts w:hint="eastAsia" w:ascii="仿宋_GB2312" w:hAnsi="仿宋" w:eastAsia="仿宋_GB2312"/>
          <w:sz w:val="32"/>
          <w:szCs w:val="32"/>
          <w:lang w:eastAsia="zh"/>
        </w:rPr>
      </w:pPr>
      <w:r>
        <w:rPr>
          <w:rFonts w:hint="eastAsia" w:ascii="楷体_GB2312" w:hAnsi="楷体_GB2312" w:eastAsia="楷体_GB2312" w:cs="楷体_GB2312"/>
          <w:sz w:val="32"/>
          <w:szCs w:val="32"/>
        </w:rPr>
        <w:t xml:space="preserve">第十六条 </w:t>
      </w:r>
      <w:r>
        <w:rPr>
          <w:rFonts w:hint="eastAsia" w:ascii="黑体" w:hAnsi="黑体" w:eastAsia="黑体" w:cs="黑体"/>
          <w:sz w:val="32"/>
          <w:szCs w:val="32"/>
        </w:rPr>
        <w:t xml:space="preserve"> </w:t>
      </w:r>
      <w:r>
        <w:rPr>
          <w:rFonts w:hint="eastAsia" w:ascii="仿宋_GB2312" w:hAnsi="仿宋" w:eastAsia="仿宋_GB2312"/>
          <w:sz w:val="32"/>
          <w:szCs w:val="32"/>
        </w:rPr>
        <w:t>环境保护管理</w:t>
      </w:r>
      <w:r>
        <w:rPr>
          <w:rFonts w:hint="eastAsia" w:ascii="仿宋_GB2312" w:hAnsi="仿宋" w:eastAsia="仿宋_GB2312"/>
          <w:sz w:val="32"/>
          <w:szCs w:val="32"/>
          <w:lang w:eastAsia="zh"/>
        </w:rPr>
        <w:t>。</w:t>
      </w:r>
    </w:p>
    <w:p w14:paraId="02ABCDBC">
      <w:pPr>
        <w:adjustRightInd w:val="0"/>
        <w:snapToGrid w:val="0"/>
        <w:spacing w:line="560" w:lineRule="exact"/>
        <w:ind w:firstLine="624" w:firstLineChars="200"/>
        <w:rPr>
          <w:rFonts w:hint="eastAsia" w:ascii="仿宋_GB2312" w:hAnsi="仿宋" w:eastAsia="仿宋_GB2312"/>
          <w:sz w:val="32"/>
          <w:szCs w:val="32"/>
        </w:rPr>
      </w:pPr>
      <w:r>
        <w:rPr>
          <w:rFonts w:hint="eastAsia" w:ascii="仿宋_GB2312" w:hAnsi="仿宋" w:eastAsia="仿宋_GB2312"/>
          <w:sz w:val="32"/>
          <w:szCs w:val="32"/>
        </w:rPr>
        <w:t>（一）入驻企业要落实生态环境保护主体责任，严格执行建设项目环境影响评价和环境保护“三同时”制度，确保污染物达标排放。</w:t>
      </w:r>
    </w:p>
    <w:p w14:paraId="533D929B">
      <w:pPr>
        <w:adjustRightInd w:val="0"/>
        <w:snapToGrid w:val="0"/>
        <w:spacing w:line="560" w:lineRule="exact"/>
        <w:ind w:firstLine="624" w:firstLineChars="200"/>
        <w:rPr>
          <w:rFonts w:hint="eastAsia" w:ascii="仿宋_GB2312" w:hAnsi="仿宋" w:eastAsia="仿宋_GB2312"/>
          <w:sz w:val="32"/>
          <w:szCs w:val="32"/>
        </w:rPr>
      </w:pPr>
      <w:r>
        <w:rPr>
          <w:rFonts w:hint="eastAsia" w:ascii="仿宋_GB2312" w:hAnsi="仿宋" w:eastAsia="仿宋_GB2312"/>
          <w:sz w:val="32"/>
          <w:szCs w:val="32"/>
        </w:rPr>
        <w:t>（二）入驻企业要严格按照排污许可管理办法及条例规定，依法申请取得排污许可证，并按照排污许可证的规定排放污染物，正常运行和维护污染防治设施，依法开展自行监测，记录环境管理台账，落实排污主体责任。</w:t>
      </w:r>
    </w:p>
    <w:p w14:paraId="7D972266">
      <w:pPr>
        <w:adjustRightInd w:val="0"/>
        <w:snapToGrid w:val="0"/>
        <w:spacing w:line="560" w:lineRule="exact"/>
        <w:ind w:firstLine="624" w:firstLineChars="200"/>
        <w:rPr>
          <w:rFonts w:hint="eastAsia" w:ascii="仿宋_GB2312" w:hAnsi="仿宋" w:eastAsia="仿宋_GB2312"/>
          <w:sz w:val="32"/>
          <w:szCs w:val="32"/>
        </w:rPr>
      </w:pPr>
      <w:r>
        <w:rPr>
          <w:rFonts w:hint="eastAsia" w:ascii="仿宋_GB2312" w:hAnsi="仿宋" w:eastAsia="仿宋_GB2312"/>
          <w:sz w:val="32"/>
          <w:szCs w:val="32"/>
        </w:rPr>
        <w:t>（三）入驻企业要建立健全环境应急管理体系，设立环境应急管理机构，建立环境应急管理制度，依法依规编制企业突发环境事件应急预案，配备应急物资和装备，落实环境风险方案措施，定期组织演练。</w:t>
      </w:r>
    </w:p>
    <w:p w14:paraId="51F9F1A6">
      <w:pPr>
        <w:adjustRightInd w:val="0"/>
        <w:snapToGrid w:val="0"/>
        <w:spacing w:line="560" w:lineRule="exact"/>
        <w:ind w:firstLine="624" w:firstLineChars="200"/>
        <w:rPr>
          <w:rFonts w:hint="eastAsia" w:ascii="仿宋_GB2312" w:hAnsi="仿宋" w:eastAsia="仿宋_GB2312"/>
          <w:sz w:val="32"/>
          <w:szCs w:val="32"/>
        </w:rPr>
      </w:pPr>
      <w:r>
        <w:rPr>
          <w:rFonts w:hint="eastAsia" w:ascii="楷体_GB2312" w:hAnsi="楷体_GB2312" w:eastAsia="楷体_GB2312" w:cs="楷体_GB2312"/>
          <w:sz w:val="32"/>
          <w:szCs w:val="32"/>
        </w:rPr>
        <w:t>第十七条</w:t>
      </w:r>
      <w:r>
        <w:rPr>
          <w:rFonts w:hint="eastAsia" w:ascii="黑体" w:hAnsi="黑体" w:eastAsia="黑体" w:cs="黑体"/>
          <w:sz w:val="32"/>
          <w:szCs w:val="32"/>
        </w:rPr>
        <w:t xml:space="preserve">  </w:t>
      </w:r>
      <w:r>
        <w:rPr>
          <w:rFonts w:ascii="仿宋_GB2312" w:hAnsi="仿宋" w:eastAsia="仿宋_GB2312"/>
          <w:sz w:val="32"/>
          <w:szCs w:val="32"/>
        </w:rPr>
        <w:t>安全生产管理</w:t>
      </w:r>
      <w:r>
        <w:rPr>
          <w:rFonts w:hint="eastAsia" w:ascii="仿宋_GB2312" w:hAnsi="仿宋" w:eastAsia="仿宋_GB2312"/>
          <w:sz w:val="32"/>
          <w:szCs w:val="32"/>
        </w:rPr>
        <w:t>。</w:t>
      </w:r>
    </w:p>
    <w:p w14:paraId="0D47A935">
      <w:pPr>
        <w:adjustRightInd w:val="0"/>
        <w:snapToGrid w:val="0"/>
        <w:spacing w:line="560" w:lineRule="exact"/>
        <w:ind w:firstLine="624" w:firstLineChars="200"/>
        <w:rPr>
          <w:rFonts w:hint="eastAsia" w:ascii="仿宋_GB2312" w:hAnsi="仿宋" w:eastAsia="仿宋_GB2312"/>
          <w:sz w:val="32"/>
          <w:szCs w:val="32"/>
        </w:rPr>
      </w:pPr>
      <w:r>
        <w:rPr>
          <w:rFonts w:hint="eastAsia" w:ascii="仿宋_GB2312" w:hAnsi="仿宋" w:eastAsia="仿宋_GB2312"/>
          <w:sz w:val="32"/>
          <w:szCs w:val="32"/>
        </w:rPr>
        <w:t>（一）高新区管委会应对建设过程安全监督管理提出明确要求，包括但不限于建设单位、监理单位、第三方服务单位的资质及以往安全业绩要求，并对建设过程实施全过程安全管理。</w:t>
      </w:r>
    </w:p>
    <w:p w14:paraId="28FB0FB7">
      <w:pPr>
        <w:adjustRightInd w:val="0"/>
        <w:snapToGrid w:val="0"/>
        <w:spacing w:line="560" w:lineRule="exact"/>
        <w:ind w:firstLine="624" w:firstLineChars="200"/>
        <w:rPr>
          <w:rFonts w:hint="eastAsia" w:ascii="仿宋_GB2312" w:hAnsi="仿宋" w:eastAsia="仿宋_GB2312"/>
          <w:sz w:val="32"/>
          <w:szCs w:val="32"/>
        </w:rPr>
      </w:pPr>
      <w:r>
        <w:rPr>
          <w:rFonts w:hint="eastAsia" w:ascii="仿宋_GB2312" w:hAnsi="仿宋" w:eastAsia="仿宋_GB2312"/>
          <w:sz w:val="32"/>
          <w:szCs w:val="32"/>
        </w:rPr>
        <w:t>（二）入驻企业要严格落实企业安全生产主体责任，建立健全并落实全员安全生产责任制、制定并实施安全生产规章制度和操作规程，对特种作业工作岗位的员工应做到持证上岗。</w:t>
      </w:r>
    </w:p>
    <w:p w14:paraId="44A89E11">
      <w:pPr>
        <w:adjustRightInd w:val="0"/>
        <w:snapToGrid w:val="0"/>
        <w:spacing w:line="560" w:lineRule="exact"/>
        <w:ind w:firstLine="624" w:firstLineChars="200"/>
        <w:rPr>
          <w:rFonts w:hint="eastAsia" w:ascii="仿宋_GB2312" w:hAnsi="仿宋" w:eastAsia="仿宋_GB2312"/>
          <w:sz w:val="32"/>
          <w:szCs w:val="32"/>
        </w:rPr>
      </w:pPr>
      <w:r>
        <w:rPr>
          <w:rFonts w:hint="eastAsia" w:ascii="仿宋_GB2312" w:hAnsi="仿宋" w:eastAsia="仿宋_GB2312"/>
          <w:sz w:val="32"/>
          <w:szCs w:val="32"/>
        </w:rPr>
        <w:t>（三）入驻企业应当依法设置安全生产管理机构或者配备专/兼职安全生产管理人员，建立并落实双重预防工作机制，督促、检查本单位的安全生产工作，及时消除生产安全事故隐患。</w:t>
      </w:r>
    </w:p>
    <w:p w14:paraId="1989E662">
      <w:pPr>
        <w:adjustRightInd w:val="0"/>
        <w:snapToGrid w:val="0"/>
        <w:spacing w:line="560" w:lineRule="exact"/>
        <w:ind w:firstLine="624" w:firstLineChars="200"/>
        <w:rPr>
          <w:rFonts w:hint="eastAsia" w:ascii="仿宋_GB2312" w:hAnsi="仿宋" w:eastAsia="仿宋_GB2312"/>
          <w:sz w:val="32"/>
          <w:szCs w:val="32"/>
        </w:rPr>
      </w:pPr>
      <w:r>
        <w:rPr>
          <w:rFonts w:hint="eastAsia" w:ascii="仿宋_GB2312" w:hAnsi="仿宋" w:eastAsia="仿宋_GB2312"/>
          <w:sz w:val="32"/>
          <w:szCs w:val="32"/>
        </w:rPr>
        <w:t>（四）入驻企业应当积极参与高新区管委会和安监部门组织开展的安全培训，并依法制定本单位年度安全培训计划，做好本单位的安全生产教育培训工作。</w:t>
      </w:r>
    </w:p>
    <w:p w14:paraId="0E908D9F">
      <w:pPr>
        <w:adjustRightInd w:val="0"/>
        <w:snapToGrid w:val="0"/>
        <w:spacing w:line="560" w:lineRule="exact"/>
        <w:ind w:firstLine="624" w:firstLineChars="200"/>
        <w:rPr>
          <w:rFonts w:hint="eastAsia" w:ascii="仿宋_GB2312" w:hAnsi="仿宋" w:eastAsia="仿宋_GB2312"/>
          <w:sz w:val="32"/>
          <w:szCs w:val="32"/>
        </w:rPr>
      </w:pPr>
      <w:r>
        <w:rPr>
          <w:rFonts w:hint="eastAsia" w:ascii="仿宋_GB2312" w:hAnsi="仿宋" w:eastAsia="仿宋_GB2312"/>
          <w:sz w:val="32"/>
          <w:szCs w:val="32"/>
        </w:rPr>
        <w:t>（五）入驻企业要制定本单位生产安全事故应急救援预案和年度应急演练计划，并按计划组织开展。</w:t>
      </w:r>
    </w:p>
    <w:p w14:paraId="4083DE85">
      <w:pPr>
        <w:adjustRightInd w:val="0"/>
        <w:snapToGrid w:val="0"/>
        <w:spacing w:line="560" w:lineRule="exact"/>
        <w:ind w:firstLine="624" w:firstLineChars="200"/>
        <w:rPr>
          <w:rFonts w:hint="eastAsia" w:ascii="仿宋_GB2312" w:hAnsi="仿宋" w:eastAsia="仿宋_GB2312"/>
          <w:sz w:val="32"/>
          <w:szCs w:val="32"/>
        </w:rPr>
      </w:pPr>
      <w:r>
        <w:rPr>
          <w:rFonts w:hint="eastAsia" w:ascii="仿宋_GB2312" w:hAnsi="仿宋" w:eastAsia="仿宋_GB2312"/>
          <w:sz w:val="32"/>
          <w:szCs w:val="32"/>
        </w:rPr>
        <w:t>（六）入驻企业要对本单位发生的各类生产安全事故及时、如实上报高新区管委会和负有安全生产监督管理职责的部门，治安事件及时报告属地公安机关协助处理。</w:t>
      </w:r>
    </w:p>
    <w:p w14:paraId="302DF7F6">
      <w:pPr>
        <w:adjustRightInd w:val="0"/>
        <w:snapToGrid w:val="0"/>
        <w:spacing w:line="560" w:lineRule="exact"/>
        <w:ind w:firstLine="624" w:firstLineChars="200"/>
        <w:rPr>
          <w:rFonts w:hint="eastAsia" w:ascii="仿宋_GB2312" w:hAnsi="仿宋" w:eastAsia="仿宋_GB2312"/>
          <w:sz w:val="32"/>
          <w:szCs w:val="32"/>
        </w:rPr>
      </w:pPr>
      <w:r>
        <w:rPr>
          <w:rFonts w:hint="eastAsia" w:ascii="楷体_GB2312" w:hAnsi="楷体_GB2312" w:eastAsia="楷体_GB2312" w:cs="楷体_GB2312"/>
          <w:sz w:val="32"/>
          <w:szCs w:val="32"/>
        </w:rPr>
        <w:t>第十八条</w:t>
      </w:r>
      <w:r>
        <w:rPr>
          <w:rFonts w:hint="eastAsia" w:ascii="黑体" w:hAnsi="黑体" w:eastAsia="黑体" w:cs="黑体"/>
          <w:sz w:val="32"/>
          <w:szCs w:val="32"/>
        </w:rPr>
        <w:t xml:space="preserve">  </w:t>
      </w:r>
      <w:r>
        <w:rPr>
          <w:rFonts w:ascii="仿宋_GB2312" w:hAnsi="仿宋" w:eastAsia="仿宋_GB2312"/>
          <w:sz w:val="32"/>
          <w:szCs w:val="32"/>
        </w:rPr>
        <w:t>资产管理</w:t>
      </w:r>
      <w:r>
        <w:rPr>
          <w:rFonts w:hint="eastAsia" w:ascii="仿宋_GB2312" w:hAnsi="仿宋" w:eastAsia="仿宋_GB2312"/>
          <w:sz w:val="32"/>
          <w:szCs w:val="32"/>
        </w:rPr>
        <w:t>。</w:t>
      </w:r>
    </w:p>
    <w:p w14:paraId="444F3C30">
      <w:pPr>
        <w:adjustRightInd w:val="0"/>
        <w:snapToGrid w:val="0"/>
        <w:spacing w:line="560" w:lineRule="exact"/>
        <w:ind w:firstLine="624" w:firstLineChars="200"/>
        <w:rPr>
          <w:rFonts w:hint="eastAsia" w:ascii="仿宋_GB2312" w:hAnsi="仿宋" w:eastAsia="仿宋_GB2312"/>
          <w:sz w:val="32"/>
          <w:szCs w:val="32"/>
        </w:rPr>
      </w:pPr>
      <w:r>
        <w:rPr>
          <w:rFonts w:hint="eastAsia" w:ascii="仿宋_GB2312" w:hAnsi="仿宋" w:eastAsia="仿宋_GB2312"/>
          <w:sz w:val="32"/>
          <w:szCs w:val="32"/>
        </w:rPr>
        <w:t>（</w:t>
      </w:r>
      <w:r>
        <w:rPr>
          <w:rFonts w:ascii="仿宋_GB2312" w:hAnsi="仿宋" w:eastAsia="仿宋_GB2312"/>
          <w:sz w:val="32"/>
          <w:szCs w:val="32"/>
        </w:rPr>
        <w:t>一</w:t>
      </w:r>
      <w:r>
        <w:rPr>
          <w:rFonts w:hint="eastAsia" w:ascii="仿宋_GB2312" w:hAnsi="仿宋" w:eastAsia="仿宋_GB2312"/>
          <w:sz w:val="32"/>
          <w:szCs w:val="32"/>
        </w:rPr>
        <w:t>）除园区企业自有资产外，园区内的国有资产和基础设施由高新区管委会（或委托市属国有公司）统一管理统一调度使用</w:t>
      </w:r>
      <w:r>
        <w:rPr>
          <w:rFonts w:ascii="仿宋_GB2312" w:hAnsi="仿宋" w:eastAsia="仿宋_GB2312"/>
          <w:sz w:val="32"/>
          <w:szCs w:val="32"/>
        </w:rPr>
        <w:t>。</w:t>
      </w:r>
    </w:p>
    <w:p w14:paraId="5FEE1520">
      <w:pPr>
        <w:adjustRightInd w:val="0"/>
        <w:snapToGrid w:val="0"/>
        <w:spacing w:line="560" w:lineRule="exact"/>
        <w:ind w:firstLine="624" w:firstLineChars="200"/>
        <w:rPr>
          <w:rFonts w:hint="eastAsia" w:ascii="仿宋_GB2312" w:hAnsi="仿宋" w:eastAsia="仿宋_GB2312"/>
          <w:sz w:val="32"/>
          <w:szCs w:val="32"/>
        </w:rPr>
      </w:pPr>
      <w:r>
        <w:rPr>
          <w:rFonts w:hint="eastAsia" w:ascii="仿宋_GB2312" w:hAnsi="仿宋" w:eastAsia="仿宋_GB2312"/>
          <w:sz w:val="32"/>
          <w:szCs w:val="32"/>
        </w:rPr>
        <w:t>（</w:t>
      </w:r>
      <w:r>
        <w:rPr>
          <w:rFonts w:ascii="仿宋_GB2312" w:hAnsi="仿宋" w:eastAsia="仿宋_GB2312"/>
          <w:sz w:val="32"/>
          <w:szCs w:val="32"/>
        </w:rPr>
        <w:t>二</w:t>
      </w:r>
      <w:r>
        <w:rPr>
          <w:rFonts w:hint="eastAsia" w:ascii="仿宋_GB2312" w:hAnsi="仿宋" w:eastAsia="仿宋_GB2312"/>
          <w:sz w:val="32"/>
          <w:szCs w:val="32"/>
        </w:rPr>
        <w:t>）</w:t>
      </w:r>
      <w:r>
        <w:rPr>
          <w:rFonts w:ascii="仿宋_GB2312" w:hAnsi="仿宋" w:eastAsia="仿宋_GB2312"/>
          <w:sz w:val="32"/>
          <w:szCs w:val="32"/>
        </w:rPr>
        <w:t>企业资产由各企业自主管理，并按规划设计要求，对厂区范围内的水、电、路、绿化等基础设施进行建设和管理。</w:t>
      </w:r>
    </w:p>
    <w:p w14:paraId="18210978">
      <w:pPr>
        <w:adjustRightInd w:val="0"/>
        <w:snapToGrid w:val="0"/>
        <w:spacing w:line="560" w:lineRule="exact"/>
        <w:ind w:firstLine="624" w:firstLineChars="200"/>
        <w:rPr>
          <w:rFonts w:hint="eastAsia" w:ascii="仿宋_GB2312" w:hAnsi="仿宋" w:eastAsia="仿宋_GB2312"/>
          <w:sz w:val="32"/>
          <w:szCs w:val="32"/>
        </w:rPr>
      </w:pPr>
      <w:r>
        <w:rPr>
          <w:rFonts w:hint="eastAsia" w:ascii="仿宋_GB2312" w:hAnsi="仿宋" w:eastAsia="仿宋_GB2312"/>
          <w:sz w:val="32"/>
          <w:szCs w:val="32"/>
        </w:rPr>
        <w:t>（</w:t>
      </w:r>
      <w:r>
        <w:rPr>
          <w:rFonts w:ascii="仿宋_GB2312" w:hAnsi="仿宋" w:eastAsia="仿宋_GB2312"/>
          <w:sz w:val="32"/>
          <w:szCs w:val="32"/>
        </w:rPr>
        <w:t>三</w:t>
      </w:r>
      <w:r>
        <w:rPr>
          <w:rFonts w:hint="eastAsia" w:ascii="仿宋_GB2312" w:hAnsi="仿宋" w:eastAsia="仿宋_GB2312"/>
          <w:sz w:val="32"/>
          <w:szCs w:val="32"/>
        </w:rPr>
        <w:t>）</w:t>
      </w:r>
      <w:r>
        <w:rPr>
          <w:rFonts w:ascii="仿宋_GB2312" w:hAnsi="仿宋" w:eastAsia="仿宋_GB2312"/>
          <w:sz w:val="32"/>
          <w:szCs w:val="32"/>
        </w:rPr>
        <w:t>入驻企业转让或对外租赁</w:t>
      </w:r>
      <w:r>
        <w:rPr>
          <w:rFonts w:hint="eastAsia" w:ascii="仿宋_GB2312" w:hAnsi="仿宋" w:eastAsia="仿宋_GB2312"/>
          <w:sz w:val="32"/>
          <w:szCs w:val="32"/>
        </w:rPr>
        <w:t>厂房</w:t>
      </w:r>
      <w:r>
        <w:rPr>
          <w:rFonts w:ascii="仿宋_GB2312" w:hAnsi="仿宋" w:eastAsia="仿宋_GB2312"/>
          <w:sz w:val="32"/>
          <w:szCs w:val="32"/>
        </w:rPr>
        <w:t>时，</w:t>
      </w:r>
      <w:r>
        <w:rPr>
          <w:rFonts w:hint="eastAsia" w:ascii="仿宋_GB2312" w:hAnsi="仿宋" w:eastAsia="仿宋_GB2312"/>
          <w:sz w:val="32"/>
          <w:szCs w:val="32"/>
        </w:rPr>
        <w:t>需经</w:t>
      </w:r>
      <w:r>
        <w:rPr>
          <w:rFonts w:ascii="仿宋_GB2312" w:hAnsi="仿宋" w:eastAsia="仿宋_GB2312"/>
          <w:sz w:val="32"/>
          <w:szCs w:val="32"/>
        </w:rPr>
        <w:t>高新区管委会</w:t>
      </w:r>
      <w:r>
        <w:rPr>
          <w:rFonts w:hint="eastAsia" w:ascii="仿宋_GB2312" w:hAnsi="仿宋" w:eastAsia="仿宋_GB2312"/>
          <w:sz w:val="32"/>
          <w:szCs w:val="32"/>
        </w:rPr>
        <w:t>批准同意</w:t>
      </w:r>
      <w:r>
        <w:rPr>
          <w:rFonts w:ascii="仿宋_GB2312" w:hAnsi="仿宋" w:eastAsia="仿宋_GB2312"/>
          <w:sz w:val="32"/>
          <w:szCs w:val="32"/>
        </w:rPr>
        <w:t>。</w:t>
      </w:r>
    </w:p>
    <w:p w14:paraId="7FEF4DED">
      <w:pPr>
        <w:adjustRightInd w:val="0"/>
        <w:snapToGrid w:val="0"/>
        <w:spacing w:line="560" w:lineRule="exact"/>
        <w:ind w:firstLine="624" w:firstLineChars="200"/>
        <w:rPr>
          <w:rFonts w:hint="eastAsia" w:ascii="仿宋_GB2312" w:hAnsi="仿宋" w:eastAsia="仿宋_GB2312"/>
          <w:sz w:val="32"/>
          <w:szCs w:val="32"/>
        </w:rPr>
      </w:pPr>
      <w:r>
        <w:rPr>
          <w:rFonts w:hint="eastAsia" w:ascii="仿宋_GB2312" w:hAnsi="仿宋" w:eastAsia="仿宋_GB2312"/>
          <w:sz w:val="32"/>
          <w:szCs w:val="32"/>
        </w:rPr>
        <w:t>（</w:t>
      </w:r>
      <w:r>
        <w:rPr>
          <w:rFonts w:ascii="仿宋_GB2312" w:hAnsi="仿宋" w:eastAsia="仿宋_GB2312"/>
          <w:sz w:val="32"/>
          <w:szCs w:val="32"/>
        </w:rPr>
        <w:t>四</w:t>
      </w:r>
      <w:r>
        <w:rPr>
          <w:rFonts w:hint="eastAsia" w:ascii="仿宋_GB2312" w:hAnsi="仿宋" w:eastAsia="仿宋_GB2312"/>
          <w:sz w:val="32"/>
          <w:szCs w:val="32"/>
        </w:rPr>
        <w:t>）</w:t>
      </w:r>
      <w:r>
        <w:rPr>
          <w:rFonts w:ascii="仿宋_GB2312" w:hAnsi="仿宋" w:eastAsia="仿宋_GB2312"/>
          <w:sz w:val="32"/>
          <w:szCs w:val="32"/>
        </w:rPr>
        <w:t>园区内基础设施建设、维护、保洁、绿化管护等内业工作由高新区管委会负责。</w:t>
      </w:r>
    </w:p>
    <w:p w14:paraId="475415FF">
      <w:pPr>
        <w:spacing w:line="560" w:lineRule="exact"/>
        <w:ind w:firstLine="624" w:firstLineChars="200"/>
        <w:jc w:val="center"/>
        <w:outlineLvl w:val="0"/>
        <w:rPr>
          <w:rFonts w:hint="eastAsia" w:ascii="黑体" w:hAnsi="黑体" w:eastAsia="黑体" w:cs="黑体"/>
          <w:bCs/>
          <w:sz w:val="32"/>
          <w:szCs w:val="32"/>
        </w:rPr>
      </w:pPr>
      <w:bookmarkStart w:id="33" w:name="_Toc26901"/>
    </w:p>
    <w:p w14:paraId="3EE904E8">
      <w:pPr>
        <w:spacing w:line="560" w:lineRule="exact"/>
        <w:jc w:val="center"/>
        <w:outlineLvl w:val="0"/>
        <w:rPr>
          <w:rFonts w:hint="eastAsia" w:ascii="黑体" w:hAnsi="黑体" w:eastAsia="黑体" w:cs="黑体"/>
          <w:bCs/>
          <w:sz w:val="32"/>
          <w:szCs w:val="32"/>
        </w:rPr>
      </w:pPr>
      <w:r>
        <w:rPr>
          <w:rFonts w:hint="eastAsia" w:ascii="黑体" w:hAnsi="黑体" w:eastAsia="黑体" w:cs="黑体"/>
          <w:bCs/>
          <w:sz w:val="32"/>
          <w:szCs w:val="32"/>
        </w:rPr>
        <w:t>第四章</w:t>
      </w:r>
      <w:bookmarkStart w:id="34" w:name="_Hlk166835746"/>
      <w:r>
        <w:rPr>
          <w:rFonts w:hint="eastAsia" w:ascii="黑体" w:hAnsi="黑体" w:eastAsia="黑体" w:cs="黑体"/>
          <w:bCs/>
          <w:sz w:val="32"/>
          <w:szCs w:val="32"/>
        </w:rPr>
        <w:t xml:space="preserve"> 退出</w:t>
      </w:r>
      <w:bookmarkEnd w:id="33"/>
      <w:bookmarkEnd w:id="34"/>
      <w:r>
        <w:rPr>
          <w:rFonts w:hint="eastAsia" w:ascii="黑体" w:hAnsi="黑体" w:eastAsia="黑体" w:cs="黑体"/>
          <w:bCs/>
          <w:sz w:val="32"/>
          <w:szCs w:val="32"/>
        </w:rPr>
        <w:t>机制</w:t>
      </w:r>
    </w:p>
    <w:p w14:paraId="0E8B505C">
      <w:pPr>
        <w:adjustRightInd w:val="0"/>
        <w:snapToGrid w:val="0"/>
        <w:spacing w:line="560" w:lineRule="exact"/>
        <w:ind w:firstLine="624" w:firstLineChars="200"/>
        <w:rPr>
          <w:rFonts w:hint="eastAsia" w:ascii="仿宋_GB2312" w:hAnsi="仿宋" w:eastAsia="仿宋_GB2312"/>
          <w:b/>
          <w:bCs/>
          <w:sz w:val="32"/>
          <w:szCs w:val="32"/>
        </w:rPr>
      </w:pPr>
    </w:p>
    <w:p w14:paraId="14A74A2F">
      <w:pPr>
        <w:adjustRightInd w:val="0"/>
        <w:snapToGrid w:val="0"/>
        <w:spacing w:line="560" w:lineRule="exact"/>
        <w:ind w:firstLine="624" w:firstLineChars="200"/>
        <w:rPr>
          <w:rFonts w:hint="eastAsia" w:ascii="仿宋" w:hAnsi="仿宋" w:eastAsia="仿宋_GB2312"/>
          <w:sz w:val="32"/>
          <w:szCs w:val="32"/>
        </w:rPr>
      </w:pPr>
      <w:r>
        <w:rPr>
          <w:rFonts w:hint="eastAsia" w:ascii="楷体_GB2312" w:hAnsi="楷体_GB2312" w:eastAsia="楷体_GB2312" w:cs="楷体_GB2312"/>
          <w:sz w:val="32"/>
          <w:szCs w:val="32"/>
        </w:rPr>
        <w:t>第十九条</w:t>
      </w:r>
      <w:r>
        <w:rPr>
          <w:rFonts w:ascii="仿宋" w:hAnsi="仿宋" w:eastAsia="仿宋"/>
          <w:sz w:val="32"/>
          <w:szCs w:val="32"/>
        </w:rPr>
        <w:t xml:space="preserve"> </w:t>
      </w:r>
      <w:r>
        <w:rPr>
          <w:rFonts w:hint="eastAsia" w:ascii="仿宋" w:hAnsi="仿宋" w:eastAsia="仿宋"/>
          <w:sz w:val="32"/>
          <w:szCs w:val="32"/>
        </w:rPr>
        <w:t xml:space="preserve"> </w:t>
      </w:r>
      <w:r>
        <w:rPr>
          <w:rFonts w:hint="eastAsia" w:ascii="仿宋_GB2312" w:hAnsi="仿宋" w:eastAsia="仿宋_GB2312"/>
          <w:sz w:val="32"/>
          <w:szCs w:val="32"/>
        </w:rPr>
        <w:t>退出条件。</w:t>
      </w:r>
    </w:p>
    <w:p w14:paraId="05902971">
      <w:pPr>
        <w:adjustRightInd w:val="0"/>
        <w:snapToGrid w:val="0"/>
        <w:spacing w:line="560" w:lineRule="exact"/>
        <w:ind w:firstLine="624" w:firstLineChars="200"/>
        <w:rPr>
          <w:rFonts w:hint="eastAsia" w:ascii="仿宋_GB2312" w:hAnsi="仿宋" w:eastAsia="仿宋_GB2312"/>
          <w:sz w:val="32"/>
          <w:szCs w:val="32"/>
        </w:rPr>
      </w:pPr>
      <w:r>
        <w:rPr>
          <w:rFonts w:hint="eastAsia" w:ascii="仿宋_GB2312" w:hAnsi="仿宋" w:eastAsia="仿宋_GB2312"/>
          <w:sz w:val="32"/>
          <w:szCs w:val="32"/>
        </w:rPr>
        <w:t>企业（建设项目）有下列情形之一的，按程序履行退出机制：</w:t>
      </w:r>
    </w:p>
    <w:p w14:paraId="71D8DAE7">
      <w:pPr>
        <w:adjustRightInd w:val="0"/>
        <w:snapToGrid w:val="0"/>
        <w:spacing w:line="560" w:lineRule="exact"/>
        <w:ind w:firstLine="624" w:firstLineChars="200"/>
        <w:rPr>
          <w:rFonts w:hint="eastAsia" w:ascii="仿宋_GB2312" w:hAnsi="黑体" w:eastAsia="仿宋_GB2312" w:cs="黑体"/>
          <w:sz w:val="32"/>
          <w:szCs w:val="32"/>
        </w:rPr>
      </w:pPr>
      <w:r>
        <w:rPr>
          <w:rFonts w:hint="eastAsia" w:ascii="仿宋_GB2312" w:hAnsi="仿宋" w:eastAsia="仿宋_GB2312"/>
          <w:sz w:val="32"/>
          <w:szCs w:val="32"/>
        </w:rPr>
        <w:t>（一）企业（建设项目）在项目申报审批程序中提供虚假信息骗取项目资格，经查证属实的。</w:t>
      </w:r>
    </w:p>
    <w:p w14:paraId="1CEBEDFD">
      <w:pPr>
        <w:spacing w:line="560" w:lineRule="exact"/>
        <w:ind w:firstLine="624" w:firstLineChars="200"/>
        <w:rPr>
          <w:rFonts w:hint="eastAsia" w:ascii="仿宋_GB2312" w:hAnsi="仿宋" w:eastAsia="仿宋_GB2312"/>
          <w:sz w:val="32"/>
          <w:szCs w:val="32"/>
        </w:rPr>
      </w:pPr>
      <w:r>
        <w:rPr>
          <w:rFonts w:hint="eastAsia" w:ascii="仿宋_GB2312" w:hAnsi="仿宋" w:eastAsia="仿宋_GB2312"/>
          <w:sz w:val="32"/>
          <w:szCs w:val="32"/>
        </w:rPr>
        <w:t>（二）项目自备案2年内未开工建设的，项目未取得土地的情况下，项目立项手续作废；项目已取得土地的情况下，项目立项手续作废的同时按照相关法律法规启动土地回收程序。</w:t>
      </w:r>
    </w:p>
    <w:p w14:paraId="7DD2C071">
      <w:pPr>
        <w:adjustRightInd w:val="0"/>
        <w:snapToGrid w:val="0"/>
        <w:spacing w:line="560" w:lineRule="exact"/>
        <w:ind w:firstLine="624" w:firstLineChars="200"/>
        <w:rPr>
          <w:rFonts w:hint="eastAsia" w:ascii="仿宋_GB2312" w:hAnsi="仿宋" w:eastAsia="仿宋_GB2312"/>
          <w:sz w:val="32"/>
          <w:szCs w:val="32"/>
        </w:rPr>
      </w:pPr>
      <w:r>
        <w:rPr>
          <w:rFonts w:hint="eastAsia" w:ascii="仿宋_GB2312" w:hAnsi="仿宋" w:eastAsia="仿宋_GB2312"/>
          <w:sz w:val="32"/>
          <w:szCs w:val="32"/>
        </w:rPr>
        <w:t>（三）未按照土地用途和开发条件建设。企业工业用地依法出让后，应按土地出让审批和土地出让合同等文件规定限期建设。对入园企业擅自改变土地用途及变更或转让、租赁的，属地自然资源局依法有权收回其土地使用权。</w:t>
      </w:r>
    </w:p>
    <w:p w14:paraId="74B91500">
      <w:pPr>
        <w:spacing w:line="560" w:lineRule="exact"/>
        <w:ind w:firstLine="624" w:firstLineChars="200"/>
        <w:rPr>
          <w:rFonts w:hint="eastAsia" w:ascii="仿宋_GB2312" w:hAnsi="仿宋" w:eastAsia="仿宋_GB2312" w:cs="仿宋"/>
          <w:kern w:val="0"/>
          <w:sz w:val="32"/>
          <w:szCs w:val="32"/>
          <w:lang w:bidi="ar"/>
        </w:rPr>
      </w:pPr>
      <w:r>
        <w:rPr>
          <w:rFonts w:hint="eastAsia" w:ascii="仿宋_GB2312" w:hAnsi="仿宋" w:eastAsia="仿宋_GB2312"/>
          <w:sz w:val="32"/>
          <w:szCs w:val="32"/>
        </w:rPr>
        <w:t>（四）符合</w:t>
      </w:r>
      <w:bookmarkStart w:id="35" w:name="OLE_LINK131"/>
      <w:r>
        <w:rPr>
          <w:rFonts w:hint="eastAsia" w:ascii="仿宋_GB2312" w:hAnsi="仿宋" w:eastAsia="仿宋_GB2312"/>
          <w:sz w:val="32"/>
          <w:szCs w:val="32"/>
        </w:rPr>
        <w:t>《闲置土地处置办法》</w:t>
      </w:r>
      <w:bookmarkEnd w:id="35"/>
      <w:r>
        <w:rPr>
          <w:rFonts w:hint="eastAsia" w:ascii="仿宋_GB2312" w:hAnsi="仿宋" w:eastAsia="仿宋_GB2312"/>
          <w:sz w:val="32"/>
          <w:szCs w:val="32"/>
        </w:rPr>
        <w:t>规定的因项目自身原因未动工开发满两年的</w:t>
      </w:r>
      <w:bookmarkStart w:id="36" w:name="OLE_LINK133"/>
      <w:r>
        <w:rPr>
          <w:rFonts w:hint="eastAsia" w:ascii="仿宋_GB2312" w:hAnsi="仿宋" w:eastAsia="仿宋_GB2312"/>
          <w:sz w:val="32"/>
          <w:szCs w:val="32"/>
        </w:rPr>
        <w:t>闲置土地</w:t>
      </w:r>
      <w:bookmarkEnd w:id="36"/>
      <w:r>
        <w:rPr>
          <w:rFonts w:hint="eastAsia" w:ascii="仿宋_GB2312" w:hAnsi="仿宋" w:eastAsia="仿宋_GB2312"/>
          <w:sz w:val="32"/>
          <w:szCs w:val="32"/>
        </w:rPr>
        <w:t>，</w:t>
      </w:r>
      <w:bookmarkStart w:id="37" w:name="OLE_LINK135"/>
      <w:r>
        <w:rPr>
          <w:rFonts w:hint="eastAsia" w:ascii="仿宋_GB2312" w:hAnsi="仿宋" w:eastAsia="仿宋_GB2312"/>
          <w:sz w:val="32"/>
          <w:szCs w:val="32"/>
        </w:rPr>
        <w:t>由属地自然资源部门依据相关法律法规无偿收回国有建设用地使用权。</w:t>
      </w:r>
      <w:bookmarkEnd w:id="37"/>
      <w:r>
        <w:rPr>
          <w:rFonts w:hint="eastAsia" w:ascii="仿宋_GB2312" w:hAnsi="仿宋" w:eastAsia="仿宋_GB2312" w:cs="仿宋"/>
          <w:kern w:val="0"/>
          <w:sz w:val="32"/>
          <w:szCs w:val="32"/>
          <w:lang w:bidi="ar"/>
        </w:rPr>
        <w:t xml:space="preserve"> </w:t>
      </w:r>
    </w:p>
    <w:p w14:paraId="320440AE">
      <w:pPr>
        <w:spacing w:line="560" w:lineRule="exact"/>
        <w:ind w:firstLine="624" w:firstLineChars="200"/>
        <w:rPr>
          <w:rFonts w:hint="eastAsia" w:ascii="仿宋_GB2312" w:hAnsi="仿宋" w:eastAsia="仿宋_GB2312" w:cs="仿宋"/>
          <w:kern w:val="0"/>
          <w:sz w:val="32"/>
          <w:szCs w:val="32"/>
          <w:lang w:bidi="ar"/>
        </w:rPr>
      </w:pPr>
      <w:r>
        <w:rPr>
          <w:rFonts w:hint="eastAsia" w:ascii="仿宋_GB2312" w:hAnsi="仿宋" w:eastAsia="仿宋_GB2312" w:cs="仿宋"/>
          <w:kern w:val="0"/>
          <w:sz w:val="32"/>
          <w:szCs w:val="32"/>
          <w:lang w:bidi="ar"/>
        </w:rPr>
        <w:t>（五）未按照要求在约定时限内完成相关手续办理的。</w:t>
      </w:r>
    </w:p>
    <w:p w14:paraId="3CCF1A9C">
      <w:pPr>
        <w:spacing w:line="560" w:lineRule="exact"/>
        <w:ind w:firstLine="624" w:firstLineChars="200"/>
        <w:rPr>
          <w:rFonts w:hint="eastAsia" w:ascii="仿宋_GB2312" w:hAnsi="仿宋" w:eastAsia="仿宋_GB2312" w:cs="仿宋"/>
          <w:kern w:val="0"/>
          <w:sz w:val="32"/>
          <w:szCs w:val="32"/>
          <w:lang w:bidi="ar"/>
        </w:rPr>
      </w:pPr>
      <w:r>
        <w:rPr>
          <w:rFonts w:hint="eastAsia" w:ascii="仿宋_GB2312" w:hAnsi="仿宋" w:eastAsia="仿宋_GB2312" w:cs="仿宋"/>
          <w:kern w:val="0"/>
          <w:sz w:val="32"/>
          <w:szCs w:val="32"/>
          <w:lang w:bidi="ar"/>
        </w:rPr>
        <w:t>（六）擅自改变规划设计和备案施工图，且未在规定的整改期限内达到整改目标要求的。</w:t>
      </w:r>
    </w:p>
    <w:p w14:paraId="02DAB7AF">
      <w:pPr>
        <w:spacing w:line="560" w:lineRule="exact"/>
        <w:ind w:firstLine="624" w:firstLineChars="200"/>
        <w:rPr>
          <w:rFonts w:hint="eastAsia" w:ascii="仿宋_GB2312" w:hAnsi="仿宋" w:eastAsia="仿宋_GB2312" w:cs="仿宋"/>
          <w:kern w:val="0"/>
          <w:sz w:val="32"/>
          <w:szCs w:val="32"/>
        </w:rPr>
      </w:pPr>
      <w:r>
        <w:rPr>
          <w:rFonts w:hint="eastAsia" w:ascii="仿宋_GB2312" w:hAnsi="仿宋" w:eastAsia="仿宋_GB2312" w:cs="仿宋"/>
          <w:kern w:val="0"/>
          <w:sz w:val="32"/>
          <w:szCs w:val="32"/>
          <w:lang w:bidi="ar"/>
        </w:rPr>
        <w:t>（七）因企业自身原因连续停工（停产）6个月以上的。</w:t>
      </w:r>
    </w:p>
    <w:p w14:paraId="4A2DE6DC">
      <w:pPr>
        <w:spacing w:line="560" w:lineRule="exact"/>
        <w:ind w:firstLine="624" w:firstLineChars="200"/>
        <w:rPr>
          <w:rFonts w:hint="eastAsia" w:ascii="仿宋_GB2312" w:hAnsi="仿宋" w:eastAsia="仿宋_GB2312"/>
          <w:sz w:val="32"/>
          <w:szCs w:val="32"/>
        </w:rPr>
      </w:pPr>
      <w:r>
        <w:rPr>
          <w:rFonts w:hint="eastAsia" w:ascii="仿宋_GB2312" w:hAnsi="仿宋" w:eastAsia="仿宋_GB2312"/>
          <w:sz w:val="32"/>
          <w:szCs w:val="32"/>
        </w:rPr>
        <w:t>（八）厂房及附属设施通过验收后，两年内未安装生产设施且未完成设备购置的。</w:t>
      </w:r>
    </w:p>
    <w:p w14:paraId="61B6B9DF">
      <w:pPr>
        <w:spacing w:line="560" w:lineRule="exact"/>
        <w:ind w:firstLine="624" w:firstLineChars="200"/>
        <w:rPr>
          <w:rFonts w:hint="eastAsia" w:ascii="仿宋_GB2312" w:hAnsi="仿宋" w:eastAsia="仿宋_GB2312"/>
          <w:sz w:val="32"/>
          <w:szCs w:val="32"/>
        </w:rPr>
      </w:pPr>
      <w:r>
        <w:rPr>
          <w:rFonts w:hint="eastAsia" w:ascii="仿宋_GB2312" w:hAnsi="仿宋" w:eastAsia="仿宋_GB2312"/>
          <w:sz w:val="32"/>
          <w:szCs w:val="32"/>
        </w:rPr>
        <w:t>（九）入驻标准化厂房的项目，厂房交付后超过约定投产时间6个月的；厂房闲置或停产超过6个月的；拖欠租金和其他费用超过3个月的；未经批准擅自改变标准厂房用途、结构或将厂房转租、分租、转借、抵押、处分、与他人调剂使用的。</w:t>
      </w:r>
    </w:p>
    <w:p w14:paraId="1D21C87A">
      <w:pPr>
        <w:adjustRightInd w:val="0"/>
        <w:snapToGrid w:val="0"/>
        <w:spacing w:line="560" w:lineRule="exact"/>
        <w:ind w:firstLine="624" w:firstLineChars="200"/>
        <w:rPr>
          <w:rFonts w:hint="eastAsia" w:ascii="仿宋_GB2312" w:hAnsi="仿宋" w:eastAsia="仿宋_GB2312"/>
          <w:sz w:val="32"/>
          <w:szCs w:val="32"/>
        </w:rPr>
      </w:pPr>
      <w:r>
        <w:rPr>
          <w:rFonts w:hint="eastAsia" w:ascii="仿宋_GB2312" w:hAnsi="仿宋" w:eastAsia="仿宋_GB2312"/>
          <w:sz w:val="32"/>
          <w:szCs w:val="32"/>
        </w:rPr>
        <w:t>（十）投资项目建成投产后，因未按设计标准建设，造成生产工艺或产品不符合国家产业政策且拒不调整产业和改进工艺的。</w:t>
      </w:r>
    </w:p>
    <w:p w14:paraId="0BDDA693">
      <w:pPr>
        <w:adjustRightInd w:val="0"/>
        <w:snapToGrid w:val="0"/>
        <w:spacing w:line="560" w:lineRule="exact"/>
        <w:ind w:firstLine="624" w:firstLineChars="200"/>
        <w:rPr>
          <w:rFonts w:hint="eastAsia" w:ascii="仿宋_GB2312" w:hAnsi="仿宋" w:eastAsia="仿宋_GB2312" w:cs="仿宋"/>
          <w:kern w:val="0"/>
          <w:sz w:val="32"/>
          <w:szCs w:val="32"/>
          <w:lang w:bidi="ar"/>
        </w:rPr>
      </w:pPr>
      <w:r>
        <w:rPr>
          <w:rFonts w:hint="eastAsia" w:ascii="仿宋_GB2312" w:hAnsi="仿宋" w:eastAsia="仿宋_GB2312"/>
          <w:sz w:val="32"/>
          <w:szCs w:val="32"/>
        </w:rPr>
        <w:t>（十一）前期合法入园，非企业（建设项目）业主主观原因，后受外界不可抗拒因素影响，如因国家政策调整需淘汰的项目，在退出管理时本着实事求是原则，按一事一议的方式认定。</w:t>
      </w:r>
    </w:p>
    <w:p w14:paraId="25B81943">
      <w:pPr>
        <w:spacing w:line="560" w:lineRule="exact"/>
        <w:ind w:firstLine="624" w:firstLineChars="200"/>
        <w:rPr>
          <w:rFonts w:hint="eastAsia" w:ascii="仿宋_GB2312" w:hAnsi="仿宋" w:eastAsia="仿宋_GB2312"/>
          <w:sz w:val="32"/>
          <w:szCs w:val="32"/>
        </w:rPr>
      </w:pPr>
      <w:r>
        <w:rPr>
          <w:rFonts w:hint="eastAsia" w:ascii="仿宋_GB2312" w:hAnsi="仿宋" w:eastAsia="仿宋_GB2312"/>
          <w:sz w:val="32"/>
          <w:szCs w:val="32"/>
        </w:rPr>
        <w:t>（十一）已入园但因存在重大生产安全隐患、重大环境污染风险，进而严重影响周边环境的企业（建设项目），业主拒绝整改或整改后仍无法达到标准、故意、过失导致发生环境污染、安全生产事故或从事违法经营活动被查处，造成重大社会不良影响的。</w:t>
      </w:r>
    </w:p>
    <w:p w14:paraId="558597D0">
      <w:pPr>
        <w:spacing w:line="560" w:lineRule="exact"/>
        <w:ind w:firstLine="624" w:firstLineChars="200"/>
        <w:rPr>
          <w:rFonts w:hint="eastAsia" w:ascii="仿宋_GB2312" w:hAnsi="仿宋" w:eastAsia="仿宋_GB2312"/>
          <w:sz w:val="32"/>
          <w:szCs w:val="32"/>
        </w:rPr>
      </w:pPr>
      <w:r>
        <w:rPr>
          <w:rFonts w:hint="eastAsia" w:ascii="仿宋_GB2312" w:hAnsi="仿宋" w:eastAsia="仿宋_GB2312"/>
          <w:sz w:val="32"/>
          <w:szCs w:val="32"/>
        </w:rPr>
        <w:t>（十二）未按要求落实安全和环境投入，经督办仍不整改的。</w:t>
      </w:r>
    </w:p>
    <w:p w14:paraId="42540962">
      <w:pPr>
        <w:spacing w:line="560" w:lineRule="exact"/>
        <w:ind w:firstLine="624" w:firstLineChars="200"/>
        <w:rPr>
          <w:rFonts w:hint="eastAsia" w:ascii="仿宋_GB2312" w:hAnsi="仿宋" w:eastAsia="仿宋_GB2312"/>
          <w:sz w:val="32"/>
          <w:szCs w:val="32"/>
        </w:rPr>
      </w:pPr>
      <w:r>
        <w:rPr>
          <w:rFonts w:hint="eastAsia" w:ascii="仿宋_GB2312" w:hAnsi="仿宋" w:eastAsia="仿宋_GB2312"/>
          <w:sz w:val="32"/>
          <w:szCs w:val="32"/>
        </w:rPr>
        <w:t>（十三）存在重大事故隐患、生产工艺落后、不具备安全生产条件的企业，责令停产整顿，拒不整改或整改无望的，责令退出。</w:t>
      </w:r>
    </w:p>
    <w:p w14:paraId="1A33B436">
      <w:pPr>
        <w:spacing w:line="560" w:lineRule="exact"/>
        <w:ind w:firstLine="624" w:firstLineChars="200"/>
        <w:rPr>
          <w:rFonts w:hint="eastAsia" w:ascii="仿宋_GB2312" w:hAnsi="仿宋" w:eastAsia="仿宋_GB2312"/>
          <w:sz w:val="32"/>
          <w:szCs w:val="32"/>
        </w:rPr>
      </w:pPr>
      <w:r>
        <w:rPr>
          <w:rFonts w:hint="eastAsia" w:ascii="仿宋_GB2312" w:hAnsi="仿宋" w:eastAsia="仿宋_GB2312"/>
          <w:sz w:val="32"/>
          <w:szCs w:val="32"/>
        </w:rPr>
        <w:t>（十四）入园企业（建设项目）未按照协议约定建设规模及内容建设的，分期建成部分停滞不继续实施建设的，投资强度、亩均产值、亩均工业增加值、亩均税收等经济指标未达到要求的，依据协议强制退出。</w:t>
      </w:r>
    </w:p>
    <w:p w14:paraId="4798FA40">
      <w:pPr>
        <w:spacing w:line="560" w:lineRule="exact"/>
        <w:ind w:firstLine="624" w:firstLineChars="200"/>
        <w:rPr>
          <w:rFonts w:hint="eastAsia" w:ascii="仿宋_GB2312" w:hAnsi="仿宋" w:eastAsia="仿宋_GB2312"/>
          <w:sz w:val="32"/>
          <w:szCs w:val="32"/>
        </w:rPr>
      </w:pPr>
      <w:r>
        <w:rPr>
          <w:rFonts w:hint="eastAsia" w:ascii="仿宋_GB2312" w:hAnsi="仿宋" w:eastAsia="仿宋_GB2312"/>
          <w:sz w:val="32"/>
          <w:szCs w:val="32"/>
        </w:rPr>
        <w:t>（十五）违法经营被有关行业执法部门关闭的。</w:t>
      </w:r>
    </w:p>
    <w:p w14:paraId="4FA34C0E">
      <w:pPr>
        <w:spacing w:line="560" w:lineRule="exact"/>
        <w:ind w:firstLine="624" w:firstLineChars="200"/>
        <w:rPr>
          <w:rFonts w:hint="eastAsia" w:ascii="仿宋_GB2312" w:hAnsi="仿宋" w:eastAsia="仿宋_GB2312"/>
          <w:sz w:val="32"/>
          <w:szCs w:val="32"/>
        </w:rPr>
      </w:pPr>
      <w:r>
        <w:rPr>
          <w:rFonts w:hint="eastAsia" w:ascii="仿宋_GB2312" w:hAnsi="仿宋" w:eastAsia="仿宋_GB2312"/>
          <w:sz w:val="32"/>
          <w:szCs w:val="32"/>
        </w:rPr>
        <w:t>（十六）企业因缺乏运营资金申请退出园区的。</w:t>
      </w:r>
    </w:p>
    <w:p w14:paraId="6F87F90C">
      <w:pPr>
        <w:spacing w:line="560" w:lineRule="exact"/>
        <w:ind w:firstLine="624" w:firstLineChars="200"/>
        <w:rPr>
          <w:rFonts w:hint="eastAsia" w:ascii="仿宋_GB2312" w:hAnsi="仿宋" w:eastAsia="仿宋_GB2312"/>
          <w:sz w:val="32"/>
          <w:szCs w:val="32"/>
        </w:rPr>
      </w:pPr>
      <w:bookmarkStart w:id="38" w:name="_Toc3694"/>
      <w:r>
        <w:rPr>
          <w:rFonts w:hint="eastAsia" w:ascii="仿宋_GB2312" w:hAnsi="仿宋" w:eastAsia="仿宋_GB2312"/>
          <w:sz w:val="32"/>
          <w:szCs w:val="32"/>
        </w:rPr>
        <w:t>（十七）高新区管委会认为存在其他</w:t>
      </w:r>
      <w:bookmarkEnd w:id="38"/>
      <w:r>
        <w:rPr>
          <w:rFonts w:hint="eastAsia" w:ascii="仿宋_GB2312" w:hAnsi="仿宋" w:eastAsia="仿宋_GB2312"/>
          <w:sz w:val="32"/>
          <w:szCs w:val="32"/>
        </w:rPr>
        <w:t>退出情形的。</w:t>
      </w:r>
    </w:p>
    <w:p w14:paraId="5E6ABB07">
      <w:pPr>
        <w:spacing w:line="560" w:lineRule="exact"/>
        <w:ind w:firstLine="624" w:firstLineChars="200"/>
        <w:rPr>
          <w:rFonts w:hint="eastAsia" w:ascii="仿宋_GB2312" w:hAnsi="仿宋" w:eastAsia="仿宋_GB2312"/>
          <w:sz w:val="32"/>
          <w:szCs w:val="32"/>
        </w:rPr>
      </w:pPr>
      <w:r>
        <w:rPr>
          <w:rFonts w:hint="eastAsia" w:ascii="楷体_GB2312" w:hAnsi="楷体_GB2312" w:eastAsia="楷体_GB2312" w:cs="楷体_GB2312"/>
          <w:sz w:val="32"/>
          <w:szCs w:val="32"/>
        </w:rPr>
        <w:t>第二十条</w:t>
      </w:r>
      <w:r>
        <w:rPr>
          <w:rFonts w:hint="eastAsia" w:ascii="黑体" w:hAnsi="黑体" w:eastAsia="黑体" w:cs="黑体"/>
          <w:sz w:val="32"/>
          <w:szCs w:val="32"/>
        </w:rPr>
        <w:t xml:space="preserve">  </w:t>
      </w:r>
      <w:r>
        <w:rPr>
          <w:rFonts w:hint="eastAsia" w:ascii="仿宋_GB2312" w:hAnsi="仿宋" w:eastAsia="仿宋_GB2312"/>
          <w:sz w:val="32"/>
          <w:szCs w:val="32"/>
        </w:rPr>
        <w:t>退出方式。</w:t>
      </w:r>
    </w:p>
    <w:p w14:paraId="1E23C490">
      <w:pPr>
        <w:spacing w:line="560" w:lineRule="exact"/>
        <w:ind w:firstLine="624" w:firstLineChars="200"/>
        <w:rPr>
          <w:rFonts w:hint="eastAsia" w:ascii="仿宋_GB2312" w:hAnsi="仿宋" w:eastAsia="仿宋_GB2312"/>
          <w:sz w:val="32"/>
          <w:szCs w:val="32"/>
        </w:rPr>
      </w:pPr>
      <w:r>
        <w:rPr>
          <w:rFonts w:hint="eastAsia" w:ascii="仿宋_GB2312" w:hAnsi="仿宋" w:eastAsia="仿宋_GB2312"/>
          <w:sz w:val="32"/>
          <w:szCs w:val="32"/>
        </w:rPr>
        <w:t>（一）约谈整改：对达到退出条件的企业，高新区管委会约谈相关企业负责人，</w:t>
      </w:r>
      <w:r>
        <w:rPr>
          <w:rFonts w:ascii="仿宋_GB2312" w:hAnsi="仿宋" w:eastAsia="仿宋_GB2312"/>
          <w:sz w:val="32"/>
          <w:szCs w:val="32"/>
        </w:rPr>
        <w:t>由企业负责人对存在的问题提出具体整改方案，</w:t>
      </w:r>
      <w:r>
        <w:rPr>
          <w:rFonts w:hint="eastAsia" w:ascii="仿宋_GB2312" w:hAnsi="仿宋" w:eastAsia="仿宋_GB2312"/>
          <w:sz w:val="32"/>
          <w:szCs w:val="32"/>
        </w:rPr>
        <w:t>方案由高新区管委会</w:t>
      </w:r>
      <w:r>
        <w:rPr>
          <w:rFonts w:ascii="仿宋_GB2312" w:hAnsi="仿宋" w:eastAsia="仿宋_GB2312"/>
          <w:sz w:val="32"/>
          <w:szCs w:val="32"/>
        </w:rPr>
        <w:t>审定后实施。</w:t>
      </w:r>
      <w:r>
        <w:rPr>
          <w:rFonts w:hint="eastAsia" w:ascii="仿宋_GB2312" w:hAnsi="仿宋" w:eastAsia="仿宋_GB2312"/>
          <w:sz w:val="32"/>
          <w:szCs w:val="32"/>
        </w:rPr>
        <w:t>方案审定不通过或拒绝约谈的直接给予清退处理。</w:t>
      </w:r>
      <w:r>
        <w:rPr>
          <w:rFonts w:ascii="仿宋_GB2312" w:hAnsi="仿宋" w:eastAsia="仿宋_GB2312"/>
          <w:sz w:val="32"/>
          <w:szCs w:val="32"/>
        </w:rPr>
        <w:t>根据整改方案，</w:t>
      </w:r>
      <w:r>
        <w:rPr>
          <w:rFonts w:hint="eastAsia" w:ascii="仿宋_GB2312" w:hAnsi="仿宋" w:eastAsia="仿宋_GB2312"/>
          <w:sz w:val="32"/>
          <w:szCs w:val="32"/>
        </w:rPr>
        <w:t>由高新区管委会向企业（建设项目）下达</w:t>
      </w:r>
      <w:r>
        <w:rPr>
          <w:rFonts w:ascii="仿宋_GB2312" w:hAnsi="仿宋" w:eastAsia="仿宋_GB2312"/>
          <w:sz w:val="32"/>
          <w:szCs w:val="32"/>
        </w:rPr>
        <w:t>不超过6个月</w:t>
      </w:r>
      <w:r>
        <w:rPr>
          <w:rFonts w:hint="eastAsia" w:ascii="仿宋_GB2312" w:hAnsi="仿宋" w:eastAsia="仿宋_GB2312"/>
          <w:sz w:val="32"/>
          <w:szCs w:val="32"/>
        </w:rPr>
        <w:t>的限期整改通知书，企业负责人应按整改通知要求的内容、时间进行整改。企业（建设项目）在规定时限内未落实整改或整改不到位的，根据</w:t>
      </w:r>
      <w:r>
        <w:rPr>
          <w:rFonts w:ascii="仿宋_GB2312" w:hAnsi="仿宋" w:eastAsia="仿宋_GB2312"/>
          <w:sz w:val="32"/>
          <w:szCs w:val="32"/>
        </w:rPr>
        <w:t>项目建设进度和企业生产经营状况分类给予清退处理</w:t>
      </w:r>
      <w:r>
        <w:rPr>
          <w:rFonts w:hint="eastAsia" w:ascii="仿宋_GB2312" w:hAnsi="仿宋" w:eastAsia="仿宋_GB2312"/>
          <w:sz w:val="32"/>
          <w:szCs w:val="32"/>
        </w:rPr>
        <w:t>，下达限期退出通知书</w:t>
      </w:r>
      <w:r>
        <w:rPr>
          <w:rFonts w:ascii="仿宋_GB2312" w:hAnsi="仿宋" w:eastAsia="仿宋_GB2312"/>
          <w:sz w:val="32"/>
          <w:szCs w:val="32"/>
        </w:rPr>
        <w:t>。</w:t>
      </w:r>
    </w:p>
    <w:p w14:paraId="0F5C8652">
      <w:pPr>
        <w:spacing w:line="560" w:lineRule="exact"/>
        <w:ind w:firstLine="624" w:firstLineChars="200"/>
        <w:rPr>
          <w:rFonts w:hint="eastAsia" w:ascii="仿宋_GB2312" w:hAnsi="仿宋" w:eastAsia="仿宋_GB2312"/>
          <w:sz w:val="32"/>
          <w:szCs w:val="32"/>
        </w:rPr>
      </w:pPr>
      <w:r>
        <w:rPr>
          <w:rFonts w:hint="eastAsia" w:ascii="仿宋_GB2312" w:hAnsi="仿宋" w:eastAsia="仿宋_GB2312"/>
          <w:sz w:val="32"/>
          <w:szCs w:val="32"/>
        </w:rPr>
        <w:t>（二）清算退出：</w:t>
      </w:r>
      <w:r>
        <w:rPr>
          <w:rFonts w:ascii="仿宋_GB2312" w:hAnsi="仿宋" w:eastAsia="仿宋_GB2312"/>
          <w:sz w:val="32"/>
          <w:szCs w:val="32"/>
        </w:rPr>
        <w:t xml:space="preserve"> </w:t>
      </w:r>
    </w:p>
    <w:p w14:paraId="36BB3BA9">
      <w:pPr>
        <w:spacing w:line="560" w:lineRule="exact"/>
        <w:ind w:firstLine="624" w:firstLineChars="200"/>
        <w:rPr>
          <w:rFonts w:hint="eastAsia" w:ascii="仿宋_GB2312" w:hAnsi="仿宋" w:eastAsia="仿宋_GB2312"/>
          <w:sz w:val="32"/>
          <w:szCs w:val="32"/>
        </w:rPr>
      </w:pPr>
      <w:r>
        <w:rPr>
          <w:rFonts w:hint="eastAsia" w:ascii="仿宋_GB2312" w:hAnsi="仿宋" w:eastAsia="仿宋_GB2312"/>
          <w:sz w:val="32"/>
          <w:szCs w:val="32"/>
        </w:rPr>
        <w:t>1.对符合清退条件的企业，依法终止合作协议（合同），自然资源部门依法收回国有土地使用权；企业已享受的优惠政策根据合作协议的约定以及有关政策依法处理。企业已投入的地面构筑物及附属设施6个月内自行处置完毕，未按时限处置完成的由高新区管委会依法依规予以处置。</w:t>
      </w:r>
    </w:p>
    <w:p w14:paraId="51D45ABC">
      <w:pPr>
        <w:spacing w:line="560" w:lineRule="exact"/>
        <w:ind w:firstLine="624" w:firstLineChars="200"/>
        <w:rPr>
          <w:rFonts w:hint="eastAsia" w:ascii="仿宋_GB2312" w:hAnsi="仿宋" w:eastAsia="仿宋_GB2312"/>
          <w:sz w:val="32"/>
          <w:szCs w:val="32"/>
        </w:rPr>
      </w:pPr>
      <w:r>
        <w:rPr>
          <w:rFonts w:hint="eastAsia" w:ascii="仿宋_GB2312" w:hAnsi="仿宋" w:eastAsia="仿宋_GB2312"/>
          <w:sz w:val="32"/>
          <w:szCs w:val="32"/>
        </w:rPr>
        <w:t>2.拒不退出的，属地政府可以提起土地回收之诉讼，市政府或高新区管委会可以提起合同解除之诉讼，诉后申请法院强制执行或者启动联合执法，协同生态环境、应急管理、自然资源等部门实施联合处置。</w:t>
      </w:r>
    </w:p>
    <w:p w14:paraId="3F0681C1">
      <w:pPr>
        <w:spacing w:line="560" w:lineRule="exact"/>
        <w:ind w:firstLine="624" w:firstLineChars="200"/>
        <w:rPr>
          <w:rFonts w:hint="eastAsia" w:ascii="仿宋_GB2312" w:hAnsi="仿宋" w:eastAsia="仿宋_GB2312"/>
          <w:sz w:val="32"/>
          <w:szCs w:val="32"/>
        </w:rPr>
      </w:pPr>
      <w:r>
        <w:rPr>
          <w:rFonts w:hint="eastAsia" w:ascii="仿宋_GB2312" w:hAnsi="仿宋" w:eastAsia="仿宋_GB2312"/>
          <w:sz w:val="32"/>
          <w:szCs w:val="32"/>
        </w:rPr>
        <w:t>3</w:t>
      </w:r>
      <w:bookmarkStart w:id="39" w:name="OLE_LINK121"/>
      <w:r>
        <w:rPr>
          <w:rFonts w:hint="eastAsia" w:ascii="仿宋_GB2312" w:hAnsi="仿宋" w:eastAsia="仿宋_GB2312"/>
          <w:sz w:val="32"/>
          <w:szCs w:val="32"/>
        </w:rPr>
        <w:t>.</w:t>
      </w:r>
      <w:r>
        <w:rPr>
          <w:rFonts w:ascii="仿宋_GB2312" w:hAnsi="仿宋" w:eastAsia="仿宋_GB2312"/>
          <w:sz w:val="32"/>
          <w:szCs w:val="32"/>
        </w:rPr>
        <w:t>企业</w:t>
      </w:r>
      <w:bookmarkEnd w:id="39"/>
      <w:r>
        <w:rPr>
          <w:rFonts w:hint="eastAsia" w:ascii="仿宋_GB2312" w:hAnsi="仿宋" w:eastAsia="仿宋_GB2312"/>
          <w:sz w:val="32"/>
          <w:szCs w:val="32"/>
        </w:rPr>
        <w:t>出现管理经营问题无法继续运行的</w:t>
      </w:r>
      <w:r>
        <w:rPr>
          <w:rFonts w:ascii="仿宋_GB2312" w:hAnsi="仿宋" w:eastAsia="仿宋_GB2312"/>
          <w:sz w:val="32"/>
          <w:szCs w:val="32"/>
        </w:rPr>
        <w:t>，导致其资产、项目用地使用权或厂房等权益被依法处置或转让，</w:t>
      </w:r>
      <w:r>
        <w:rPr>
          <w:rFonts w:hint="eastAsia" w:ascii="仿宋_GB2312" w:hAnsi="仿宋" w:eastAsia="仿宋_GB2312"/>
          <w:sz w:val="32"/>
          <w:szCs w:val="32"/>
        </w:rPr>
        <w:t>原企业做好处置工作后退出。</w:t>
      </w:r>
      <w:r>
        <w:rPr>
          <w:rFonts w:ascii="仿宋_GB2312" w:hAnsi="仿宋" w:eastAsia="仿宋_GB2312"/>
          <w:sz w:val="32"/>
          <w:szCs w:val="32"/>
        </w:rPr>
        <w:t>新的受让主体或重整后的承继主体在园区内承接</w:t>
      </w:r>
      <w:bookmarkStart w:id="40" w:name="OLE_LINK122"/>
      <w:r>
        <w:rPr>
          <w:rFonts w:ascii="仿宋_GB2312" w:hAnsi="仿宋" w:eastAsia="仿宋_GB2312"/>
          <w:sz w:val="32"/>
          <w:szCs w:val="32"/>
        </w:rPr>
        <w:t>原企业</w:t>
      </w:r>
      <w:bookmarkEnd w:id="40"/>
      <w:r>
        <w:rPr>
          <w:rFonts w:ascii="仿宋_GB2312" w:hAnsi="仿宋" w:eastAsia="仿宋_GB2312"/>
          <w:sz w:val="32"/>
          <w:szCs w:val="32"/>
        </w:rPr>
        <w:t>资产或继续经营原项目，应</w:t>
      </w:r>
      <w:r>
        <w:rPr>
          <w:rFonts w:hint="eastAsia" w:ascii="仿宋_GB2312" w:hAnsi="仿宋" w:eastAsia="仿宋_GB2312"/>
          <w:sz w:val="32"/>
          <w:szCs w:val="32"/>
        </w:rPr>
        <w:t>重新与高新区管委会签订投资协议，</w:t>
      </w:r>
      <w:r>
        <w:rPr>
          <w:rFonts w:ascii="仿宋_GB2312" w:hAnsi="仿宋" w:eastAsia="仿宋_GB2312"/>
          <w:sz w:val="32"/>
          <w:szCs w:val="32"/>
        </w:rPr>
        <w:t>并严格遵守本办法的各项规定。</w:t>
      </w:r>
    </w:p>
    <w:p w14:paraId="6631CB6D">
      <w:pPr>
        <w:spacing w:line="560" w:lineRule="exact"/>
        <w:jc w:val="center"/>
        <w:outlineLvl w:val="0"/>
        <w:rPr>
          <w:rFonts w:hint="eastAsia" w:ascii="仿宋_GB2312" w:hAnsi="仿宋" w:eastAsia="仿宋_GB2312"/>
          <w:sz w:val="32"/>
          <w:szCs w:val="32"/>
        </w:rPr>
      </w:pPr>
      <w:bookmarkStart w:id="41" w:name="_Hlk166835776"/>
      <w:bookmarkStart w:id="42" w:name="_Toc1950"/>
    </w:p>
    <w:p w14:paraId="1DE49D7B">
      <w:pPr>
        <w:spacing w:line="560" w:lineRule="exact"/>
        <w:jc w:val="center"/>
        <w:outlineLvl w:val="0"/>
        <w:rPr>
          <w:rFonts w:hint="eastAsia" w:ascii="黑体" w:hAnsi="黑体" w:eastAsia="黑体" w:cs="黑体"/>
          <w:bCs/>
          <w:sz w:val="32"/>
          <w:szCs w:val="32"/>
        </w:rPr>
      </w:pPr>
      <w:bookmarkStart w:id="43" w:name="OLE_LINK70"/>
      <w:r>
        <w:rPr>
          <w:rFonts w:hint="eastAsia" w:ascii="黑体" w:hAnsi="黑体" w:eastAsia="黑体" w:cs="黑体"/>
          <w:bCs/>
          <w:sz w:val="32"/>
          <w:szCs w:val="32"/>
        </w:rPr>
        <w:t xml:space="preserve">第五章 </w:t>
      </w:r>
      <w:bookmarkEnd w:id="41"/>
      <w:bookmarkEnd w:id="42"/>
      <w:r>
        <w:rPr>
          <w:rFonts w:hint="eastAsia" w:ascii="黑体" w:hAnsi="黑体" w:eastAsia="黑体" w:cs="黑体"/>
          <w:bCs/>
          <w:sz w:val="32"/>
          <w:szCs w:val="32"/>
        </w:rPr>
        <w:t>保障机制</w:t>
      </w:r>
    </w:p>
    <w:bookmarkEnd w:id="43"/>
    <w:p w14:paraId="6BC3E243">
      <w:pPr>
        <w:spacing w:line="560" w:lineRule="exact"/>
        <w:rPr>
          <w:rFonts w:hint="eastAsia" w:ascii="仿宋_GB2312" w:hAnsi="仿宋" w:eastAsia="仿宋_GB2312"/>
          <w:sz w:val="32"/>
          <w:szCs w:val="32"/>
        </w:rPr>
      </w:pPr>
      <w:bookmarkStart w:id="44" w:name="_Toc7914"/>
    </w:p>
    <w:p w14:paraId="61F6F423">
      <w:pPr>
        <w:spacing w:line="560" w:lineRule="exact"/>
        <w:ind w:firstLine="624" w:firstLineChars="200"/>
        <w:rPr>
          <w:rFonts w:hint="eastAsia" w:ascii="仿宋_GB2312" w:hAnsi="仿宋" w:eastAsia="仿宋_GB2312"/>
          <w:sz w:val="32"/>
          <w:szCs w:val="32"/>
        </w:rPr>
      </w:pPr>
      <w:r>
        <w:rPr>
          <w:rFonts w:hint="eastAsia" w:ascii="楷体_GB2312" w:hAnsi="楷体_GB2312" w:eastAsia="楷体_GB2312" w:cs="楷体_GB2312"/>
          <w:sz w:val="32"/>
          <w:szCs w:val="32"/>
        </w:rPr>
        <w:t xml:space="preserve">第二十一条 </w:t>
      </w:r>
      <w:r>
        <w:rPr>
          <w:rFonts w:hint="eastAsia" w:ascii="黑体" w:hAnsi="黑体" w:eastAsia="黑体" w:cs="黑体"/>
          <w:sz w:val="32"/>
          <w:szCs w:val="32"/>
        </w:rPr>
        <w:t xml:space="preserve"> </w:t>
      </w:r>
      <w:r>
        <w:rPr>
          <w:rFonts w:hint="eastAsia" w:ascii="仿宋_GB2312" w:hAnsi="仿宋" w:eastAsia="仿宋_GB2312"/>
          <w:sz w:val="32"/>
          <w:szCs w:val="32"/>
        </w:rPr>
        <w:t>坚持铸牢中华民族共同体意识工作主线。</w:t>
      </w:r>
    </w:p>
    <w:p w14:paraId="06FBA3A3">
      <w:pPr>
        <w:spacing w:line="560" w:lineRule="exact"/>
        <w:ind w:firstLine="624" w:firstLineChars="200"/>
        <w:rPr>
          <w:rFonts w:hint="eastAsia" w:ascii="仿宋_GB2312" w:hAnsi="仿宋" w:eastAsia="仿宋_GB2312"/>
          <w:sz w:val="32"/>
          <w:szCs w:val="32"/>
        </w:rPr>
      </w:pPr>
      <w:r>
        <w:rPr>
          <w:rFonts w:hint="eastAsia" w:ascii="仿宋_GB2312" w:hAnsi="仿宋" w:eastAsia="仿宋_GB2312"/>
          <w:sz w:val="32"/>
          <w:szCs w:val="32"/>
        </w:rPr>
        <w:t>把铸牢中华民族共同体意识工作主线贯穿于企业党的建设、群团工作和企业文化建设之中，推动各项工作落实落细，围绕高质量发展做好新时代党的民族工作。</w:t>
      </w:r>
    </w:p>
    <w:p w14:paraId="16165687">
      <w:pPr>
        <w:spacing w:line="560" w:lineRule="exact"/>
        <w:ind w:firstLine="624" w:firstLineChars="200"/>
        <w:rPr>
          <w:rFonts w:hint="eastAsia" w:ascii="仿宋_GB2312" w:hAnsi="仿宋" w:eastAsia="仿宋_GB2312"/>
          <w:sz w:val="32"/>
          <w:szCs w:val="32"/>
        </w:rPr>
      </w:pPr>
      <w:r>
        <w:rPr>
          <w:rFonts w:hint="eastAsia" w:ascii="楷体_GB2312" w:hAnsi="楷体_GB2312" w:eastAsia="楷体_GB2312" w:cs="楷体_GB2312"/>
          <w:sz w:val="32"/>
          <w:szCs w:val="32"/>
        </w:rPr>
        <w:t xml:space="preserve">第二十二条  </w:t>
      </w:r>
      <w:r>
        <w:rPr>
          <w:rFonts w:hint="eastAsia" w:ascii="仿宋_GB2312" w:hAnsi="仿宋" w:eastAsia="仿宋_GB2312"/>
          <w:sz w:val="32"/>
          <w:szCs w:val="32"/>
        </w:rPr>
        <w:t>开展党建工作。</w:t>
      </w:r>
    </w:p>
    <w:p w14:paraId="61B54FA4">
      <w:pPr>
        <w:spacing w:line="560" w:lineRule="exact"/>
        <w:ind w:firstLine="624" w:firstLineChars="200"/>
        <w:rPr>
          <w:rFonts w:hint="eastAsia" w:ascii="仿宋_GB2312" w:hAnsi="仿宋" w:eastAsia="仿宋_GB2312"/>
          <w:sz w:val="32"/>
          <w:szCs w:val="32"/>
        </w:rPr>
      </w:pPr>
      <w:r>
        <w:rPr>
          <w:rFonts w:hint="eastAsia" w:ascii="仿宋_GB2312" w:hAnsi="仿宋" w:eastAsia="仿宋_GB2312"/>
          <w:sz w:val="32"/>
          <w:szCs w:val="32"/>
        </w:rPr>
        <w:t>各入园企业应积极配合高新区党工委开展工作，在满足相关条件的前提下应积极成立党组织或工会、共青团等群团组织，尽早实现党的组织与党的工作“双覆盖”。</w:t>
      </w:r>
    </w:p>
    <w:p w14:paraId="64CA9B8B">
      <w:pPr>
        <w:spacing w:line="560" w:lineRule="exact"/>
        <w:ind w:firstLine="624" w:firstLineChars="200"/>
        <w:rPr>
          <w:rFonts w:hint="eastAsia" w:ascii="仿宋_GB2312" w:hAnsi="仿宋" w:eastAsia="仿宋_GB2312"/>
          <w:sz w:val="32"/>
          <w:szCs w:val="32"/>
        </w:rPr>
      </w:pPr>
      <w:r>
        <w:rPr>
          <w:rFonts w:hint="eastAsia" w:ascii="楷体_GB2312" w:hAnsi="楷体_GB2312" w:eastAsia="楷体_GB2312" w:cs="楷体_GB2312"/>
          <w:sz w:val="32"/>
          <w:szCs w:val="32"/>
        </w:rPr>
        <w:t>第二十三条</w:t>
      </w:r>
      <w:r>
        <w:rPr>
          <w:rFonts w:hint="eastAsia" w:ascii="黑体" w:hAnsi="黑体" w:eastAsia="黑体" w:cs="黑体"/>
          <w:sz w:val="32"/>
          <w:szCs w:val="32"/>
        </w:rPr>
        <w:t xml:space="preserve">  </w:t>
      </w:r>
      <w:r>
        <w:rPr>
          <w:rFonts w:hint="eastAsia" w:ascii="仿宋_GB2312" w:hAnsi="仿宋" w:eastAsia="仿宋_GB2312"/>
          <w:sz w:val="32"/>
          <w:szCs w:val="32"/>
        </w:rPr>
        <w:t>严格评审准入</w:t>
      </w:r>
      <w:bookmarkEnd w:id="44"/>
      <w:r>
        <w:rPr>
          <w:rFonts w:hint="eastAsia" w:ascii="仿宋_GB2312" w:hAnsi="仿宋" w:eastAsia="仿宋_GB2312"/>
          <w:sz w:val="32"/>
          <w:szCs w:val="32"/>
        </w:rPr>
        <w:t>。</w:t>
      </w:r>
    </w:p>
    <w:p w14:paraId="6BD0224B">
      <w:pPr>
        <w:spacing w:line="560" w:lineRule="exact"/>
        <w:ind w:firstLine="624" w:firstLineChars="200"/>
        <w:rPr>
          <w:rFonts w:hint="eastAsia" w:ascii="仿宋_GB2312" w:hAnsi="仿宋" w:eastAsia="仿宋_GB2312"/>
          <w:sz w:val="32"/>
          <w:szCs w:val="32"/>
        </w:rPr>
      </w:pPr>
      <w:r>
        <w:rPr>
          <w:rFonts w:hint="eastAsia" w:ascii="仿宋_GB2312" w:hAnsi="仿宋" w:eastAsia="仿宋_GB2312"/>
          <w:sz w:val="32"/>
          <w:szCs w:val="32"/>
        </w:rPr>
        <w:t>为提高决策的科学性，企业（建设项目）准入许可过程中，采取联合评审制度，委托专家或三方中介机构介入的方式，进行集体决策。</w:t>
      </w:r>
    </w:p>
    <w:p w14:paraId="289B6944">
      <w:pPr>
        <w:spacing w:line="560" w:lineRule="exact"/>
        <w:ind w:firstLine="624" w:firstLineChars="200"/>
        <w:rPr>
          <w:rFonts w:hint="eastAsia" w:ascii="仿宋_GB2312" w:hAnsi="仿宋" w:eastAsia="仿宋_GB2312"/>
          <w:sz w:val="32"/>
          <w:szCs w:val="32"/>
        </w:rPr>
      </w:pPr>
      <w:bookmarkStart w:id="45" w:name="_Toc23"/>
      <w:r>
        <w:rPr>
          <w:rFonts w:hint="eastAsia" w:ascii="楷体_GB2312" w:hAnsi="楷体_GB2312" w:eastAsia="楷体_GB2312" w:cs="楷体_GB2312"/>
          <w:sz w:val="32"/>
          <w:szCs w:val="32"/>
        </w:rPr>
        <w:t>第二十四条</w:t>
      </w:r>
      <w:r>
        <w:rPr>
          <w:rFonts w:hint="eastAsia" w:ascii="黑体" w:hAnsi="黑体" w:eastAsia="黑体" w:cs="黑体"/>
          <w:sz w:val="32"/>
          <w:szCs w:val="32"/>
        </w:rPr>
        <w:t xml:space="preserve">  </w:t>
      </w:r>
      <w:r>
        <w:rPr>
          <w:rFonts w:hint="eastAsia" w:ascii="仿宋_GB2312" w:hAnsi="仿宋" w:eastAsia="仿宋_GB2312"/>
          <w:sz w:val="32"/>
          <w:szCs w:val="32"/>
        </w:rPr>
        <w:t>强化信息技术建设</w:t>
      </w:r>
      <w:bookmarkEnd w:id="45"/>
      <w:r>
        <w:rPr>
          <w:rFonts w:hint="eastAsia" w:ascii="仿宋_GB2312" w:hAnsi="仿宋" w:eastAsia="仿宋_GB2312"/>
          <w:sz w:val="32"/>
          <w:szCs w:val="32"/>
        </w:rPr>
        <w:t>。</w:t>
      </w:r>
    </w:p>
    <w:p w14:paraId="2DADD4CC">
      <w:pPr>
        <w:spacing w:line="560" w:lineRule="exact"/>
        <w:ind w:firstLine="624" w:firstLineChars="200"/>
        <w:rPr>
          <w:rFonts w:hint="eastAsia" w:ascii="仿宋_GB2312" w:hAnsi="仿宋" w:eastAsia="仿宋_GB2312"/>
          <w:sz w:val="32"/>
          <w:szCs w:val="32"/>
        </w:rPr>
      </w:pPr>
      <w:r>
        <w:rPr>
          <w:rFonts w:hint="eastAsia" w:ascii="仿宋_GB2312" w:hAnsi="仿宋" w:eastAsia="仿宋_GB2312"/>
          <w:sz w:val="32"/>
          <w:szCs w:val="32"/>
        </w:rPr>
        <w:t>东山产业园在准入及退出机制制定及实施中，积极探索信息技术的保障功能，园区信息系统与“信用中国”及自治区、赤峰市等相关信息系统进行共享，为企业（建设项目）准入提供信息方面的支持，进一步提升效率、动态监管作用的实现。</w:t>
      </w:r>
    </w:p>
    <w:p w14:paraId="458007F6">
      <w:pPr>
        <w:spacing w:line="560" w:lineRule="exact"/>
        <w:ind w:firstLine="624" w:firstLineChars="200"/>
        <w:rPr>
          <w:rFonts w:hint="eastAsia" w:ascii="仿宋_GB2312" w:hAnsi="仿宋" w:eastAsia="仿宋_GB2312"/>
          <w:sz w:val="32"/>
          <w:szCs w:val="32"/>
        </w:rPr>
      </w:pPr>
      <w:bookmarkStart w:id="46" w:name="_Toc7783"/>
      <w:r>
        <w:rPr>
          <w:rFonts w:hint="eastAsia" w:ascii="楷体_GB2312" w:hAnsi="楷体_GB2312" w:eastAsia="楷体_GB2312" w:cs="楷体_GB2312"/>
          <w:sz w:val="32"/>
          <w:szCs w:val="32"/>
        </w:rPr>
        <w:t xml:space="preserve">第二十五条 </w:t>
      </w:r>
      <w:r>
        <w:rPr>
          <w:rFonts w:hint="eastAsia" w:ascii="黑体" w:hAnsi="黑体" w:eastAsia="黑体" w:cs="黑体"/>
          <w:sz w:val="32"/>
          <w:szCs w:val="32"/>
        </w:rPr>
        <w:t xml:space="preserve"> </w:t>
      </w:r>
      <w:r>
        <w:rPr>
          <w:rFonts w:hint="eastAsia" w:ascii="仿宋_GB2312" w:hAnsi="仿宋" w:eastAsia="仿宋_GB2312"/>
          <w:sz w:val="32"/>
          <w:szCs w:val="32"/>
        </w:rPr>
        <w:t>优化营商环境</w:t>
      </w:r>
      <w:bookmarkEnd w:id="46"/>
      <w:r>
        <w:rPr>
          <w:rFonts w:hint="eastAsia" w:ascii="仿宋_GB2312" w:hAnsi="仿宋" w:eastAsia="仿宋_GB2312"/>
          <w:sz w:val="32"/>
          <w:szCs w:val="32"/>
        </w:rPr>
        <w:t>。</w:t>
      </w:r>
    </w:p>
    <w:p w14:paraId="0CC6A371">
      <w:pPr>
        <w:spacing w:line="560" w:lineRule="exact"/>
        <w:ind w:firstLine="624" w:firstLineChars="200"/>
        <w:rPr>
          <w:rFonts w:hint="eastAsia" w:ascii="仿宋_GB2312" w:hAnsi="仿宋" w:eastAsia="仿宋_GB2312"/>
          <w:sz w:val="32"/>
          <w:szCs w:val="32"/>
        </w:rPr>
      </w:pPr>
      <w:r>
        <w:rPr>
          <w:rFonts w:hint="eastAsia" w:ascii="仿宋_GB2312" w:hAnsi="仿宋" w:eastAsia="仿宋_GB2312"/>
          <w:sz w:val="32"/>
          <w:szCs w:val="32"/>
        </w:rPr>
        <w:t>赤峰高新技术产业开发区要不断强化政务服务为入驻企业（建设项目）提供一站式办理，通过提前介入、前期指导、合并审批环节等各项措施进一步简化审批手续，切实提升立项、规划、节能、安全、环保、建设等手续审批效率。</w:t>
      </w:r>
    </w:p>
    <w:p w14:paraId="1EBF801E">
      <w:pPr>
        <w:spacing w:line="560" w:lineRule="exact"/>
        <w:ind w:firstLine="624" w:firstLineChars="200"/>
        <w:rPr>
          <w:rFonts w:hint="eastAsia" w:ascii="仿宋_GB2312" w:hAnsi="仿宋" w:eastAsia="仿宋_GB2312"/>
          <w:sz w:val="32"/>
          <w:szCs w:val="32"/>
        </w:rPr>
      </w:pPr>
      <w:bookmarkStart w:id="47" w:name="_Toc3996"/>
      <w:r>
        <w:rPr>
          <w:rFonts w:hint="eastAsia" w:ascii="楷体_GB2312" w:hAnsi="楷体_GB2312" w:eastAsia="楷体_GB2312" w:cs="楷体_GB2312"/>
          <w:sz w:val="32"/>
          <w:szCs w:val="32"/>
        </w:rPr>
        <w:t>第二十六条</w:t>
      </w:r>
      <w:r>
        <w:rPr>
          <w:rFonts w:hint="eastAsia" w:ascii="黑体" w:hAnsi="黑体" w:eastAsia="黑体" w:cs="黑体"/>
          <w:sz w:val="32"/>
          <w:szCs w:val="32"/>
        </w:rPr>
        <w:t xml:space="preserve">  </w:t>
      </w:r>
      <w:r>
        <w:rPr>
          <w:rFonts w:hint="eastAsia" w:ascii="仿宋_GB2312" w:hAnsi="仿宋" w:eastAsia="仿宋_GB2312"/>
          <w:sz w:val="32"/>
          <w:szCs w:val="32"/>
        </w:rPr>
        <w:t>建立定期更新机制</w:t>
      </w:r>
      <w:bookmarkEnd w:id="47"/>
      <w:r>
        <w:rPr>
          <w:rFonts w:hint="eastAsia" w:ascii="仿宋_GB2312" w:hAnsi="仿宋" w:eastAsia="仿宋_GB2312"/>
          <w:sz w:val="32"/>
          <w:szCs w:val="32"/>
        </w:rPr>
        <w:t>。</w:t>
      </w:r>
    </w:p>
    <w:p w14:paraId="58FDEFC4">
      <w:pPr>
        <w:spacing w:line="560" w:lineRule="exact"/>
        <w:ind w:firstLine="624" w:firstLineChars="200"/>
        <w:rPr>
          <w:rFonts w:hint="eastAsia" w:ascii="仿宋_GB2312" w:hAnsi="仿宋" w:eastAsia="仿宋_GB2312"/>
          <w:sz w:val="32"/>
          <w:szCs w:val="32"/>
        </w:rPr>
      </w:pPr>
      <w:r>
        <w:rPr>
          <w:rFonts w:hint="eastAsia" w:ascii="仿宋_GB2312" w:hAnsi="仿宋" w:eastAsia="仿宋_GB2312"/>
          <w:sz w:val="32"/>
          <w:szCs w:val="32"/>
        </w:rPr>
        <w:t>鼓励企业对管理办法提出建议，高新区管委会对建议进行评估论证，根据本办法实际执行情况提请对本办法进行修订完善，实现企业政府共商共建。针对重大事项采取一事一议的方式确定。</w:t>
      </w:r>
    </w:p>
    <w:p w14:paraId="60A9530F">
      <w:pPr>
        <w:spacing w:line="560" w:lineRule="exact"/>
        <w:ind w:firstLine="624" w:firstLineChars="200"/>
        <w:rPr>
          <w:rFonts w:hint="eastAsia" w:ascii="仿宋_GB2312" w:hAnsi="仿宋" w:eastAsia="仿宋_GB2312"/>
          <w:sz w:val="32"/>
          <w:szCs w:val="32"/>
        </w:rPr>
      </w:pPr>
      <w:r>
        <w:rPr>
          <w:rFonts w:hint="eastAsia" w:ascii="楷体_GB2312" w:hAnsi="楷体_GB2312" w:eastAsia="楷体_GB2312" w:cs="楷体_GB2312"/>
          <w:sz w:val="32"/>
          <w:szCs w:val="32"/>
        </w:rPr>
        <w:t>第二十七条</w:t>
      </w:r>
      <w:r>
        <w:rPr>
          <w:rFonts w:hint="eastAsia" w:ascii="黑体" w:hAnsi="黑体" w:eastAsia="黑体" w:cs="黑体"/>
          <w:sz w:val="32"/>
          <w:szCs w:val="32"/>
        </w:rPr>
        <w:t xml:space="preserve">  </w:t>
      </w:r>
      <w:r>
        <w:rPr>
          <w:rFonts w:hint="eastAsia" w:ascii="仿宋_GB2312" w:hAnsi="仿宋" w:eastAsia="仿宋_GB2312"/>
          <w:sz w:val="32"/>
          <w:szCs w:val="32"/>
        </w:rPr>
        <w:t>必要时，赤峰市发展改革委、工业和信息化局、自然资源局、生态环境局、</w:t>
      </w:r>
      <w:r>
        <w:rPr>
          <w:rFonts w:hint="eastAsia" w:ascii="仿宋_GB2312" w:hAnsi="仿宋" w:eastAsia="仿宋_GB2312"/>
          <w:sz w:val="32"/>
          <w:szCs w:val="32"/>
          <w:lang w:eastAsia="zh-CN"/>
        </w:rPr>
        <w:t>住房和城乡建设局</w:t>
      </w:r>
      <w:r>
        <w:rPr>
          <w:rFonts w:hint="eastAsia" w:ascii="仿宋_GB2312" w:hAnsi="仿宋" w:eastAsia="仿宋_GB2312"/>
          <w:sz w:val="32"/>
          <w:szCs w:val="32"/>
        </w:rPr>
        <w:t>、应急管理局、统计局等相关部门需协助</w:t>
      </w:r>
      <w:bookmarkStart w:id="48" w:name="OLE_LINK69"/>
      <w:r>
        <w:rPr>
          <w:rFonts w:hint="eastAsia" w:ascii="仿宋_GB2312" w:hAnsi="仿宋" w:eastAsia="仿宋_GB2312"/>
          <w:sz w:val="32"/>
          <w:szCs w:val="32"/>
        </w:rPr>
        <w:t>高新区管委会</w:t>
      </w:r>
      <w:bookmarkEnd w:id="48"/>
      <w:r>
        <w:rPr>
          <w:rFonts w:hint="eastAsia" w:ascii="仿宋_GB2312" w:hAnsi="仿宋" w:eastAsia="仿宋_GB2312"/>
          <w:sz w:val="32"/>
          <w:szCs w:val="32"/>
        </w:rPr>
        <w:t>进行数据核算（提供）、执法等工作，履行相关职责。</w:t>
      </w:r>
    </w:p>
    <w:p w14:paraId="67740F04">
      <w:pPr>
        <w:spacing w:line="560" w:lineRule="exact"/>
        <w:ind w:firstLine="624" w:firstLineChars="200"/>
        <w:rPr>
          <w:rFonts w:hint="eastAsia" w:ascii="仿宋_GB2312" w:hAnsi="仿宋" w:eastAsia="仿宋_GB2312"/>
          <w:sz w:val="32"/>
          <w:szCs w:val="32"/>
        </w:rPr>
      </w:pPr>
    </w:p>
    <w:p w14:paraId="329214D7">
      <w:pPr>
        <w:spacing w:line="560" w:lineRule="exact"/>
        <w:jc w:val="center"/>
        <w:outlineLvl w:val="0"/>
        <w:rPr>
          <w:rFonts w:hint="eastAsia" w:ascii="黑体" w:hAnsi="黑体" w:eastAsia="黑体" w:cs="黑体"/>
          <w:bCs/>
          <w:sz w:val="32"/>
          <w:szCs w:val="32"/>
        </w:rPr>
      </w:pPr>
      <w:r>
        <w:rPr>
          <w:rFonts w:hint="eastAsia" w:ascii="黑体" w:hAnsi="黑体" w:eastAsia="黑体" w:cs="黑体"/>
          <w:bCs/>
          <w:sz w:val="32"/>
          <w:szCs w:val="32"/>
        </w:rPr>
        <w:t>第六章 附则</w:t>
      </w:r>
    </w:p>
    <w:p w14:paraId="04E7ADA3">
      <w:pPr>
        <w:spacing w:line="560" w:lineRule="exact"/>
        <w:rPr>
          <w:rFonts w:hint="eastAsia" w:ascii="仿宋_GB2312" w:hAnsi="仿宋" w:eastAsia="仿宋_GB2312"/>
          <w:sz w:val="32"/>
          <w:szCs w:val="32"/>
        </w:rPr>
      </w:pPr>
    </w:p>
    <w:p w14:paraId="36DECF55">
      <w:pPr>
        <w:spacing w:line="560" w:lineRule="exact"/>
        <w:ind w:firstLine="624" w:firstLineChars="200"/>
        <w:rPr>
          <w:rFonts w:hint="eastAsia" w:ascii="仿宋_GB2312" w:hAnsi="仿宋" w:eastAsia="仿宋_GB2312"/>
          <w:sz w:val="32"/>
          <w:szCs w:val="32"/>
        </w:rPr>
      </w:pPr>
      <w:r>
        <w:rPr>
          <w:rFonts w:hint="eastAsia" w:ascii="楷体_GB2312" w:hAnsi="楷体_GB2312" w:eastAsia="楷体_GB2312" w:cs="楷体_GB2312"/>
          <w:sz w:val="32"/>
          <w:szCs w:val="32"/>
        </w:rPr>
        <w:t>第二十八条</w:t>
      </w:r>
      <w:r>
        <w:rPr>
          <w:rFonts w:hint="eastAsia" w:ascii="黑体" w:hAnsi="黑体" w:eastAsia="黑体" w:cs="黑体"/>
          <w:sz w:val="32"/>
          <w:szCs w:val="32"/>
        </w:rPr>
        <w:t xml:space="preserve">  </w:t>
      </w:r>
      <w:r>
        <w:rPr>
          <w:rFonts w:hint="eastAsia" w:ascii="仿宋_GB2312" w:hAnsi="仿宋" w:eastAsia="仿宋_GB2312"/>
          <w:sz w:val="32"/>
          <w:szCs w:val="32"/>
        </w:rPr>
        <w:t>本管理办法自发布之日起实施，试行期一年。如因上级政策调整，制度与相关法律法规规定不符的，以相关法律法规规定为准。</w:t>
      </w:r>
    </w:p>
    <w:p w14:paraId="61BF93BB">
      <w:pPr>
        <w:spacing w:line="560" w:lineRule="exact"/>
        <w:ind w:firstLine="624" w:firstLineChars="200"/>
        <w:rPr>
          <w:rFonts w:hint="eastAsia" w:ascii="仿宋" w:hAnsi="仿宋" w:eastAsia="仿宋"/>
          <w:sz w:val="32"/>
          <w:szCs w:val="32"/>
        </w:rPr>
      </w:pPr>
      <w:bookmarkStart w:id="49" w:name="_Toc5521"/>
      <w:r>
        <w:rPr>
          <w:rFonts w:hint="eastAsia" w:ascii="楷体_GB2312" w:hAnsi="楷体_GB2312" w:eastAsia="楷体_GB2312" w:cs="楷体_GB2312"/>
          <w:sz w:val="32"/>
          <w:szCs w:val="32"/>
        </w:rPr>
        <w:t>第二十九条</w:t>
      </w:r>
      <w:r>
        <w:rPr>
          <w:rFonts w:hint="eastAsia" w:ascii="仿宋" w:hAnsi="仿宋" w:eastAsia="仿宋"/>
          <w:sz w:val="32"/>
          <w:szCs w:val="32"/>
        </w:rPr>
        <w:t xml:space="preserve">  </w:t>
      </w:r>
      <w:r>
        <w:rPr>
          <w:rFonts w:hint="eastAsia" w:ascii="仿宋_GB2312" w:hAnsi="仿宋" w:eastAsia="仿宋_GB2312"/>
          <w:sz w:val="32"/>
          <w:szCs w:val="32"/>
        </w:rPr>
        <w:t>本管理办法由高新区管委会负责解释</w:t>
      </w:r>
      <w:bookmarkEnd w:id="49"/>
      <w:r>
        <w:rPr>
          <w:rFonts w:hint="eastAsia" w:ascii="仿宋_GB2312" w:hAnsi="仿宋" w:eastAsia="仿宋_GB2312"/>
          <w:sz w:val="32"/>
          <w:szCs w:val="32"/>
        </w:rPr>
        <w:t>。</w:t>
      </w:r>
    </w:p>
    <w:p w14:paraId="12D50474">
      <w:pPr>
        <w:rPr>
          <w:rFonts w:hint="eastAsia" w:ascii="仿宋_GB2312" w:hAnsi="仿宋_GB2312" w:eastAsia="仿宋_GB2312" w:cs="仿宋_GB2312"/>
          <w:color w:val="000000"/>
          <w:spacing w:val="11"/>
          <w:sz w:val="32"/>
          <w:szCs w:val="32"/>
          <w:shd w:val="clear" w:color="auto" w:fill="FFFFFF"/>
          <w:lang w:val="en-US" w:eastAsia="zh-CN"/>
        </w:rPr>
      </w:pPr>
    </w:p>
    <w:p w14:paraId="6B3A76FE">
      <w:pPr>
        <w:rPr>
          <w:rFonts w:hint="eastAsia" w:ascii="仿宋_GB2312" w:hAnsi="仿宋_GB2312" w:eastAsia="仿宋_GB2312" w:cs="仿宋_GB2312"/>
          <w:color w:val="000000"/>
          <w:spacing w:val="11"/>
          <w:sz w:val="32"/>
          <w:szCs w:val="32"/>
          <w:shd w:val="clear" w:color="auto" w:fill="FFFFFF"/>
          <w:lang w:val="en-US" w:eastAsia="zh-CN"/>
        </w:rPr>
      </w:pPr>
    </w:p>
    <w:p w14:paraId="39C95BD3">
      <w:pPr>
        <w:rPr>
          <w:rFonts w:hint="eastAsia" w:ascii="仿宋_GB2312" w:hAnsi="仿宋_GB2312" w:eastAsia="仿宋_GB2312" w:cs="仿宋_GB2312"/>
          <w:color w:val="000000"/>
          <w:spacing w:val="11"/>
          <w:sz w:val="32"/>
          <w:szCs w:val="32"/>
          <w:shd w:val="clear" w:color="auto" w:fill="FFFFFF"/>
          <w:lang w:val="en-US" w:eastAsia="zh-CN"/>
        </w:rPr>
      </w:pPr>
    </w:p>
    <w:p w14:paraId="784C318F">
      <w:pPr>
        <w:rPr>
          <w:rFonts w:hint="eastAsia" w:ascii="仿宋_GB2312" w:hAnsi="仿宋_GB2312" w:eastAsia="仿宋_GB2312" w:cs="仿宋_GB2312"/>
          <w:color w:val="000000"/>
          <w:spacing w:val="11"/>
          <w:sz w:val="32"/>
          <w:szCs w:val="32"/>
          <w:shd w:val="clear" w:color="auto" w:fill="FFFFFF"/>
          <w:lang w:val="en-US" w:eastAsia="zh-CN"/>
        </w:rPr>
      </w:pPr>
    </w:p>
    <w:p w14:paraId="4F7A65E4"/>
    <w:p w14:paraId="09B87287"/>
    <w:p w14:paraId="72DC5517"/>
    <w:p w14:paraId="5C3AC8B0"/>
    <w:p w14:paraId="36DD6573"/>
    <w:p w14:paraId="615A687A"/>
    <w:p w14:paraId="32D75EEB"/>
    <w:p w14:paraId="473B57B1"/>
    <w:p w14:paraId="0D67DB55"/>
    <w:p w14:paraId="06855B5C"/>
    <w:tbl>
      <w:tblPr>
        <w:tblStyle w:val="6"/>
        <w:tblpPr w:leftFromText="181" w:rightFromText="181" w:tblpXSpec="center" w:tblpYSpec="bottom"/>
        <w:tblOverlap w:val="never"/>
        <w:tblW w:w="8837" w:type="dxa"/>
        <w:jc w:val="center"/>
        <w:tblBorders>
          <w:top w:val="single" w:color="auto" w:sz="2" w:space="0"/>
          <w:left w:val="none" w:color="auto" w:sz="0" w:space="0"/>
          <w:bottom w:val="single" w:color="auto" w:sz="2" w:space="0"/>
          <w:right w:val="none" w:color="auto" w:sz="0" w:space="0"/>
          <w:insideH w:val="single" w:color="auto" w:sz="2" w:space="0"/>
          <w:insideV w:val="none" w:color="auto" w:sz="0" w:space="0"/>
        </w:tblBorders>
        <w:tblLayout w:type="autofit"/>
        <w:tblCellMar>
          <w:top w:w="0" w:type="dxa"/>
          <w:left w:w="108" w:type="dxa"/>
          <w:bottom w:w="0" w:type="dxa"/>
          <w:right w:w="108" w:type="dxa"/>
        </w:tblCellMar>
      </w:tblPr>
      <w:tblGrid>
        <w:gridCol w:w="5327"/>
        <w:gridCol w:w="3510"/>
      </w:tblGrid>
      <w:tr w14:paraId="0C6C1087">
        <w:tblPrEx>
          <w:tblBorders>
            <w:top w:val="single" w:color="auto" w:sz="2" w:space="0"/>
            <w:left w:val="none" w:color="auto" w:sz="0" w:space="0"/>
            <w:bottom w:val="single" w:color="auto" w:sz="2" w:space="0"/>
            <w:right w:val="none" w:color="auto" w:sz="0" w:space="0"/>
            <w:insideH w:val="single" w:color="auto" w:sz="2" w:space="0"/>
            <w:insideV w:val="none" w:color="auto" w:sz="0" w:space="0"/>
          </w:tblBorders>
          <w:tblCellMar>
            <w:top w:w="0" w:type="dxa"/>
            <w:left w:w="108" w:type="dxa"/>
            <w:bottom w:w="0" w:type="dxa"/>
            <w:right w:w="108" w:type="dxa"/>
          </w:tblCellMar>
        </w:tblPrEx>
        <w:trPr>
          <w:trHeight w:val="561" w:hRule="atLeast"/>
          <w:jc w:val="center"/>
        </w:trPr>
        <w:tc>
          <w:tcPr>
            <w:tcW w:w="5327" w:type="dxa"/>
            <w:tcBorders>
              <w:tl2br w:val="nil"/>
              <w:tr2bl w:val="nil"/>
            </w:tcBorders>
            <w:noWrap w:val="0"/>
            <w:tcMar>
              <w:left w:w="0" w:type="dxa"/>
              <w:right w:w="0" w:type="dxa"/>
            </w:tcMar>
            <w:vAlign w:val="center"/>
          </w:tcPr>
          <w:p w14:paraId="6D9EB767">
            <w:pPr>
              <w:keepNext w:val="0"/>
              <w:keepLines w:val="0"/>
              <w:pageBreakBefore w:val="0"/>
              <w:widowControl w:val="0"/>
              <w:kinsoku/>
              <w:wordWrap/>
              <w:overflowPunct/>
              <w:topLinePunct w:val="0"/>
              <w:autoSpaceDE/>
              <w:autoSpaceDN/>
              <w:bidi w:val="0"/>
              <w:adjustRightInd w:val="0"/>
              <w:snapToGrid w:val="0"/>
              <w:spacing w:line="580" w:lineRule="exact"/>
              <w:ind w:left="202" w:leftChars="100"/>
              <w:jc w:val="both"/>
              <w:textAlignment w:val="auto"/>
              <w:rPr>
                <w:rFonts w:hint="eastAsia" w:ascii="仿宋_GB2312" w:hAnsi="仿宋" w:eastAsia="仿宋_GB2312"/>
                <w:sz w:val="28"/>
                <w:szCs w:val="28"/>
              </w:rPr>
            </w:pPr>
            <w:r>
              <w:rPr>
                <w:rFonts w:hint="eastAsia" w:ascii="仿宋_GB2312" w:hAnsi="宋体" w:eastAsia="仿宋_GB2312" w:cs="Arial"/>
                <w:kern w:val="0"/>
                <w:sz w:val="28"/>
                <w:szCs w:val="28"/>
              </w:rPr>
              <w:t>赤峰市人民政府办公室秘书二科</w:t>
            </w:r>
          </w:p>
        </w:tc>
        <w:tc>
          <w:tcPr>
            <w:tcW w:w="3510" w:type="dxa"/>
            <w:tcBorders>
              <w:tl2br w:val="nil"/>
              <w:tr2bl w:val="nil"/>
            </w:tcBorders>
            <w:noWrap w:val="0"/>
            <w:tcMar>
              <w:left w:w="0" w:type="dxa"/>
              <w:right w:w="0" w:type="dxa"/>
            </w:tcMar>
            <w:vAlign w:val="center"/>
          </w:tcPr>
          <w:p w14:paraId="23BA7CFE">
            <w:pPr>
              <w:keepNext w:val="0"/>
              <w:keepLines w:val="0"/>
              <w:pageBreakBefore w:val="0"/>
              <w:widowControl w:val="0"/>
              <w:kinsoku/>
              <w:wordWrap/>
              <w:overflowPunct/>
              <w:topLinePunct w:val="0"/>
              <w:autoSpaceDE/>
              <w:autoSpaceDN/>
              <w:bidi w:val="0"/>
              <w:adjustRightInd w:val="0"/>
              <w:snapToGrid w:val="0"/>
              <w:spacing w:line="560" w:lineRule="exact"/>
              <w:ind w:right="202" w:rightChars="100"/>
              <w:jc w:val="right"/>
              <w:textAlignment w:val="auto"/>
              <w:rPr>
                <w:rFonts w:hint="eastAsia" w:ascii="仿宋_GB2312" w:hAnsi="仿宋" w:eastAsia="仿宋_GB2312"/>
                <w:sz w:val="28"/>
                <w:szCs w:val="28"/>
              </w:rPr>
            </w:pPr>
            <w:r>
              <w:rPr>
                <w:rFonts w:hint="eastAsia" w:ascii="仿宋_GB2312" w:hAnsi="仿宋_GB2312" w:eastAsia="仿宋_GB2312" w:cs="仿宋_GB2312"/>
                <w:b w:val="0"/>
                <w:bCs w:val="0"/>
                <w:color w:val="000000"/>
                <w:sz w:val="28"/>
                <w:szCs w:val="28"/>
                <w:shd w:val="clear" w:color="auto" w:fill="FFFFFF"/>
                <w:lang w:eastAsia="zh-CN"/>
              </w:rPr>
              <w:t>2025年8月2</w:t>
            </w:r>
            <w:r>
              <w:rPr>
                <w:rFonts w:hint="eastAsia" w:ascii="仿宋_GB2312" w:hAnsi="仿宋_GB2312" w:eastAsia="仿宋_GB2312" w:cs="仿宋_GB2312"/>
                <w:b w:val="0"/>
                <w:bCs w:val="0"/>
                <w:color w:val="000000"/>
                <w:sz w:val="28"/>
                <w:szCs w:val="28"/>
                <w:shd w:val="clear" w:color="auto" w:fill="FFFFFF"/>
                <w:lang w:val="en-US" w:eastAsia="zh-CN"/>
              </w:rPr>
              <w:t>5</w:t>
            </w:r>
            <w:r>
              <w:rPr>
                <w:rFonts w:hint="eastAsia" w:ascii="仿宋_GB2312" w:hAnsi="仿宋_GB2312" w:eastAsia="仿宋_GB2312" w:cs="仿宋_GB2312"/>
                <w:b w:val="0"/>
                <w:bCs w:val="0"/>
                <w:color w:val="000000"/>
                <w:sz w:val="28"/>
                <w:szCs w:val="28"/>
                <w:shd w:val="clear" w:color="auto" w:fill="FFFFFF"/>
                <w:lang w:eastAsia="zh-CN"/>
              </w:rPr>
              <w:t>日</w:t>
            </w:r>
            <w:r>
              <w:rPr>
                <w:rFonts w:hint="eastAsia" w:ascii="仿宋_GB2312" w:hAnsi="仿宋" w:eastAsia="仿宋_GB2312"/>
                <w:sz w:val="28"/>
                <w:szCs w:val="28"/>
              </w:rPr>
              <w:t>印发</w:t>
            </w:r>
          </w:p>
        </w:tc>
      </w:tr>
    </w:tbl>
    <w:p w14:paraId="19143E6D"/>
    <w:sectPr>
      <w:footerReference r:id="rId3" w:type="default"/>
      <w:footerReference r:id="rId4" w:type="even"/>
      <w:pgSz w:w="11906" w:h="16838"/>
      <w:pgMar w:top="2098" w:right="1474" w:bottom="1984" w:left="1587" w:header="851" w:footer="992" w:gutter="0"/>
      <w:pgBorders>
        <w:top w:val="none" w:sz="0" w:space="0"/>
        <w:left w:val="none" w:sz="0" w:space="0"/>
        <w:bottom w:val="none" w:sz="0" w:space="0"/>
        <w:right w:val="none" w:sz="0" w:space="0"/>
      </w:pgBorders>
      <w:pgNumType w:fmt="numberInDash" w:start="1"/>
      <w:cols w:space="0" w:num="1"/>
      <w:rtlGutter w:val="0"/>
      <w:docGrid w:type="linesAndChars" w:linePitch="579" w:charSpace="-183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embedRegular r:id="rId1" w:fontKey="{2D8F8777-56DC-45E4-89F1-67867DD4970D}"/>
  </w:font>
  <w:font w:name="黑体">
    <w:panose1 w:val="02010609060101010101"/>
    <w:charset w:val="86"/>
    <w:family w:val="auto"/>
    <w:pitch w:val="default"/>
    <w:sig w:usb0="800002BF" w:usb1="38CF7CFA" w:usb2="00000016" w:usb3="00000000" w:csb0="00040001" w:csb1="00000000"/>
    <w:embedRegular r:id="rId2" w:fontKey="{BF023137-6E0C-430C-B5D9-A3E1FCB9BF5A}"/>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embedRegular r:id="rId3" w:fontKey="{9D64C5AA-BE4B-4BB1-85B2-EDA78ADB6A5E}"/>
  </w:font>
  <w:font w:name="仿宋_GB2312">
    <w:panose1 w:val="02010609030101010101"/>
    <w:charset w:val="86"/>
    <w:family w:val="auto"/>
    <w:pitch w:val="default"/>
    <w:sig w:usb0="00000001" w:usb1="080E0000" w:usb2="00000000" w:usb3="00000000" w:csb0="00040000" w:csb1="00000000"/>
    <w:embedRegular r:id="rId4" w:fontKey="{0526D33A-BA00-4458-B201-C42E5ED003BB}"/>
  </w:font>
  <w:font w:name="仿宋">
    <w:panose1 w:val="02010609060101010101"/>
    <w:charset w:val="86"/>
    <w:family w:val="modern"/>
    <w:pitch w:val="default"/>
    <w:sig w:usb0="800002BF" w:usb1="38CF7CFA" w:usb2="00000016" w:usb3="00000000" w:csb0="00040001" w:csb1="00000000"/>
    <w:embedRegular r:id="rId5" w:fontKey="{D6C7E555-4DEF-4395-8AB2-C728E37C9498}"/>
  </w:font>
  <w:font w:name="方正小标宋简体">
    <w:panose1 w:val="02010601030101010101"/>
    <w:charset w:val="86"/>
    <w:family w:val="auto"/>
    <w:pitch w:val="default"/>
    <w:sig w:usb0="00000001" w:usb1="080E0000" w:usb2="00000000" w:usb3="00000000" w:csb0="00040000" w:csb1="00000000"/>
  </w:font>
  <w:font w:name="等线">
    <w:altName w:val="微软雅黑"/>
    <w:panose1 w:val="02010600030101010101"/>
    <w:charset w:val="86"/>
    <w:family w:val="auto"/>
    <w:pitch w:val="default"/>
    <w:sig w:usb0="00000000" w:usb1="00000000" w:usb2="00000016" w:usb3="00000000" w:csb0="0004000F" w:csb1="00000000"/>
    <w:embedRegular r:id="rId6" w:fontKey="{3E9285A9-3C13-493E-90B6-2B65BF7D8C8D}"/>
  </w:font>
  <w:font w:name="楷体_GB2312">
    <w:altName w:val="楷体"/>
    <w:panose1 w:val="02010609030101010101"/>
    <w:charset w:val="86"/>
    <w:family w:val="modern"/>
    <w:pitch w:val="default"/>
    <w:sig w:usb0="00000000" w:usb1="00000000" w:usb2="00000000" w:usb3="00000000" w:csb0="00040000" w:csb1="00000000"/>
    <w:embedRegular r:id="rId7" w:fontKey="{A7E9F40F-8643-4EF3-BE4A-F72A3FFDC153}"/>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E3E909">
    <w:pPr>
      <w:pStyle w:val="4"/>
    </w:pPr>
    <w:r>
      <w:rPr>
        <w:sz w:val="2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3"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14440FB">
                          <w:pPr>
                            <w:pStyle w:val="4"/>
                            <w:keepNext w:val="0"/>
                            <w:keepLines w:val="0"/>
                            <w:pageBreakBefore w:val="0"/>
                            <w:widowControl w:val="0"/>
                            <w:kinsoku/>
                            <w:wordWrap/>
                            <w:overflowPunct/>
                            <w:topLinePunct w:val="0"/>
                            <w:autoSpaceDE/>
                            <w:autoSpaceDN/>
                            <w:bidi w:val="0"/>
                            <w:adjustRightInd/>
                            <w:snapToGrid w:val="0"/>
                            <w:ind w:right="420" w:rightChars="200"/>
                            <w:textAlignment w:val="auto"/>
                          </w:pPr>
                          <w:r>
                            <w:rPr>
                              <w:rFonts w:hint="eastAsia" w:ascii="宋体" w:hAnsi="宋体" w:eastAsia="宋体" w:cs="宋体"/>
                            </w:rPr>
                            <w:fldChar w:fldCharType="begin"/>
                          </w:r>
                          <w:r>
                            <w:rPr>
                              <w:rFonts w:hint="eastAsia" w:ascii="宋体" w:hAnsi="宋体" w:eastAsia="宋体" w:cs="宋体"/>
                            </w:rPr>
                            <w:instrText xml:space="preserve"> PAGE  \* MERGEFORMAT </w:instrText>
                          </w:r>
                          <w:r>
                            <w:rPr>
                              <w:rFonts w:hint="eastAsia" w:ascii="宋体" w:hAnsi="宋体" w:eastAsia="宋体" w:cs="宋体"/>
                            </w:rPr>
                            <w:fldChar w:fldCharType="separate"/>
                          </w:r>
                          <w:r>
                            <w:rPr>
                              <w:rFonts w:hint="eastAsia" w:ascii="宋体" w:hAnsi="宋体" w:eastAsia="宋体" w:cs="宋体"/>
                            </w:rPr>
                            <w:t>1</w:t>
                          </w:r>
                          <w:r>
                            <w:rPr>
                              <w:rFonts w:hint="eastAsia" w:ascii="宋体" w:hAnsi="宋体" w:eastAsia="宋体" w:cs="宋体"/>
                            </w:rPr>
                            <w:fldChar w:fldCharType="end"/>
                          </w:r>
                        </w:p>
                      </w:txbxContent>
                    </wps:txbx>
                    <wps:bodyPr vert="horz" wrap="none" lIns="0" tIns="0" rIns="0" bIns="0" anchor="t" anchorCtr="0" upright="0">
                      <a:spAutoFit/>
                    </wps:bodyPr>
                  </wps:wsp>
                </a:graphicData>
              </a:graphic>
            </wp:anchor>
          </w:drawing>
        </mc:Choice>
        <mc:Fallback>
          <w:pict>
            <v:shape id="文本框 7"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">
              <v:fill on="f" focussize="0,0"/>
              <v:stroke on="f"/>
              <v:imagedata o:title=""/>
              <o:lock v:ext="edit" aspectratio="f"/>
              <v:textbox inset="0mm,0mm,0mm,0mm" style="mso-fit-shape-to-text:t;">
                <w:txbxContent>
                  <w:p w14:paraId="014440FB">
                    <w:pPr>
                      <w:pStyle w:val="4"/>
                      <w:keepNext w:val="0"/>
                      <w:keepLines w:val="0"/>
                      <w:pageBreakBefore w:val="0"/>
                      <w:widowControl w:val="0"/>
                      <w:kinsoku/>
                      <w:wordWrap/>
                      <w:overflowPunct/>
                      <w:topLinePunct w:val="0"/>
                      <w:autoSpaceDE/>
                      <w:autoSpaceDN/>
                      <w:bidi w:val="0"/>
                      <w:adjustRightInd/>
                      <w:snapToGrid w:val="0"/>
                      <w:ind w:right="420" w:rightChars="200"/>
                      <w:textAlignment w:val="auto"/>
                    </w:pPr>
                    <w:r>
                      <w:rPr>
                        <w:rFonts w:hint="eastAsia" w:ascii="宋体" w:hAnsi="宋体" w:eastAsia="宋体" w:cs="宋体"/>
                      </w:rPr>
                      <w:fldChar w:fldCharType="begin"/>
                    </w:r>
                    <w:r>
                      <w:rPr>
                        <w:rFonts w:hint="eastAsia" w:ascii="宋体" w:hAnsi="宋体" w:eastAsia="宋体" w:cs="宋体"/>
                      </w:rPr>
                      <w:instrText xml:space="preserve"> PAGE  \* MERGEFORMAT </w:instrText>
                    </w:r>
                    <w:r>
                      <w:rPr>
                        <w:rFonts w:hint="eastAsia" w:ascii="宋体" w:hAnsi="宋体" w:eastAsia="宋体" w:cs="宋体"/>
                      </w:rPr>
                      <w:fldChar w:fldCharType="separate"/>
                    </w:r>
                    <w:r>
                      <w:rPr>
                        <w:rFonts w:hint="eastAsia" w:ascii="宋体" w:hAnsi="宋体" w:eastAsia="宋体" w:cs="宋体"/>
                      </w:rPr>
                      <w:t>1</w:t>
                    </w:r>
                    <w:r>
                      <w:rPr>
                        <w:rFonts w:hint="eastAsia" w:ascii="宋体" w:hAnsi="宋体" w:eastAsia="宋体" w:cs="宋体"/>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F6FBB5">
    <w:pPr>
      <w:pStyle w:val="4"/>
    </w:pPr>
    <w:r>
      <w:rPr>
        <w:sz w:val="2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4"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778DE47">
                          <w:pPr>
                            <w:pStyle w:val="4"/>
                            <w:keepNext w:val="0"/>
                            <w:keepLines w:val="0"/>
                            <w:pageBreakBefore w:val="0"/>
                            <w:widowControl w:val="0"/>
                            <w:kinsoku/>
                            <w:wordWrap/>
                            <w:overflowPunct/>
                            <w:topLinePunct w:val="0"/>
                            <w:autoSpaceDE/>
                            <w:autoSpaceDN/>
                            <w:bidi w:val="0"/>
                            <w:adjustRightInd/>
                            <w:snapToGrid w:val="0"/>
                            <w:ind w:left="420" w:leftChars="200"/>
                            <w:textAlignment w:val="auto"/>
                          </w:pPr>
                          <w:r>
                            <w:rPr>
                              <w:rFonts w:hint="eastAsia" w:ascii="宋体" w:hAnsi="宋体" w:eastAsia="宋体" w:cs="宋体"/>
                            </w:rPr>
                            <w:fldChar w:fldCharType="begin"/>
                          </w:r>
                          <w:r>
                            <w:rPr>
                              <w:rFonts w:hint="eastAsia" w:ascii="宋体" w:hAnsi="宋体" w:eastAsia="宋体" w:cs="宋体"/>
                            </w:rPr>
                            <w:instrText xml:space="preserve"> PAGE  \* MERGEFORMAT </w:instrText>
                          </w:r>
                          <w:r>
                            <w:rPr>
                              <w:rFonts w:hint="eastAsia" w:ascii="宋体" w:hAnsi="宋体" w:eastAsia="宋体" w:cs="宋体"/>
                            </w:rPr>
                            <w:fldChar w:fldCharType="separate"/>
                          </w:r>
                          <w:r>
                            <w:rPr>
                              <w:rFonts w:hint="eastAsia" w:ascii="宋体" w:hAnsi="宋体" w:eastAsia="宋体" w:cs="宋体"/>
                            </w:rPr>
                            <w:t>- 2 -</w:t>
                          </w:r>
                          <w:r>
                            <w:rPr>
                              <w:rFonts w:hint="eastAsia" w:ascii="宋体" w:hAnsi="宋体" w:eastAsia="宋体" w:cs="宋体"/>
                            </w:rPr>
                            <w:fldChar w:fldCharType="end"/>
                          </w:r>
                        </w:p>
                      </w:txbxContent>
                    </wps:txbx>
                    <wps:bodyPr vert="horz" wrap="none" lIns="0" tIns="0" rIns="0" bIns="0" anchor="t" anchorCtr="0" upright="0">
                      <a:spAutoFit/>
                    </wps:bodyPr>
                  </wps:wsp>
                </a:graphicData>
              </a:graphic>
            </wp:anchor>
          </w:drawing>
        </mc:Choice>
        <mc:Fallback>
          <w:pict>
            <v:shape id="文本框 8"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">
              <v:fill on="f" focussize="0,0"/>
              <v:stroke on="f"/>
              <v:imagedata o:title=""/>
              <o:lock v:ext="edit" aspectratio="f"/>
              <v:textbox inset="0mm,0mm,0mm,0mm" style="mso-fit-shape-to-text:t;">
                <w:txbxContent>
                  <w:p w14:paraId="5778DE47">
                    <w:pPr>
                      <w:pStyle w:val="4"/>
                      <w:keepNext w:val="0"/>
                      <w:keepLines w:val="0"/>
                      <w:pageBreakBefore w:val="0"/>
                      <w:widowControl w:val="0"/>
                      <w:kinsoku/>
                      <w:wordWrap/>
                      <w:overflowPunct/>
                      <w:topLinePunct w:val="0"/>
                      <w:autoSpaceDE/>
                      <w:autoSpaceDN/>
                      <w:bidi w:val="0"/>
                      <w:adjustRightInd/>
                      <w:snapToGrid w:val="0"/>
                      <w:ind w:left="420" w:leftChars="200"/>
                      <w:textAlignment w:val="auto"/>
                    </w:pPr>
                    <w:r>
                      <w:rPr>
                        <w:rFonts w:hint="eastAsia" w:ascii="宋体" w:hAnsi="宋体" w:eastAsia="宋体" w:cs="宋体"/>
                      </w:rPr>
                      <w:fldChar w:fldCharType="begin"/>
                    </w:r>
                    <w:r>
                      <w:rPr>
                        <w:rFonts w:hint="eastAsia" w:ascii="宋体" w:hAnsi="宋体" w:eastAsia="宋体" w:cs="宋体"/>
                      </w:rPr>
                      <w:instrText xml:space="preserve"> PAGE  \* MERGEFORMAT </w:instrText>
                    </w:r>
                    <w:r>
                      <w:rPr>
                        <w:rFonts w:hint="eastAsia" w:ascii="宋体" w:hAnsi="宋体" w:eastAsia="宋体" w:cs="宋体"/>
                      </w:rPr>
                      <w:fldChar w:fldCharType="separate"/>
                    </w:r>
                    <w:r>
                      <w:rPr>
                        <w:rFonts w:hint="eastAsia" w:ascii="宋体" w:hAnsi="宋体" w:eastAsia="宋体" w:cs="宋体"/>
                      </w:rPr>
                      <w:t>- 2 -</w:t>
                    </w:r>
                    <w:r>
                      <w:rPr>
                        <w:rFonts w:hint="eastAsia" w:ascii="宋体" w:hAnsi="宋体" w:eastAsia="宋体" w:cs="宋体"/>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TrueTypeFonts/>
  <w:saveSubsetFonts/>
  <w:bordersDoNotSurroundHeader w:val="1"/>
  <w:bordersDoNotSurroundFooter w:val="1"/>
  <w:documentProtection w:formatting="1" w:enforcement="0"/>
  <w:defaultTabStop w:val="419"/>
  <w:hyphenationZone w:val="360"/>
  <w:evenAndOddHeaders w:val="1"/>
  <w:drawingGridHorizontalSpacing w:val="101"/>
  <w:drawingGridVerticalSpacing w:val="290"/>
  <w:displayHorizontalDrawingGridEvery w:val="2"/>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GQ2NmJiY2ZjNDQ3YWY5ZGVjMzYxMmY2MWJhNmE3MGIifQ=="/>
    <w:docVar w:name="KSO_WPS_MARK_KEY" w:val="192c9a9d-5b7a-4b75-aa69-3479dff94aa9"/>
  </w:docVars>
  <w:rsids>
    <w:rsidRoot w:val="00000000"/>
    <w:rsid w:val="010073E9"/>
    <w:rsid w:val="03F070F9"/>
    <w:rsid w:val="14F01574"/>
    <w:rsid w:val="1668710C"/>
    <w:rsid w:val="17DA7A45"/>
    <w:rsid w:val="1AAF069A"/>
    <w:rsid w:val="1E7F74DE"/>
    <w:rsid w:val="1F516B5B"/>
    <w:rsid w:val="200941DE"/>
    <w:rsid w:val="20DF5D75"/>
    <w:rsid w:val="211E76E3"/>
    <w:rsid w:val="21303A2F"/>
    <w:rsid w:val="22843ED3"/>
    <w:rsid w:val="248B798D"/>
    <w:rsid w:val="25CC020C"/>
    <w:rsid w:val="27AA20E3"/>
    <w:rsid w:val="2D780D39"/>
    <w:rsid w:val="2F91428E"/>
    <w:rsid w:val="31DC69F2"/>
    <w:rsid w:val="359C1E05"/>
    <w:rsid w:val="359E2391"/>
    <w:rsid w:val="3929223E"/>
    <w:rsid w:val="3B8E4805"/>
    <w:rsid w:val="3BB73BBF"/>
    <w:rsid w:val="3BBE0E4D"/>
    <w:rsid w:val="3E7F20A0"/>
    <w:rsid w:val="3F421C51"/>
    <w:rsid w:val="3FCE0B50"/>
    <w:rsid w:val="41356125"/>
    <w:rsid w:val="42A16911"/>
    <w:rsid w:val="43AC0516"/>
    <w:rsid w:val="44204A82"/>
    <w:rsid w:val="4506027C"/>
    <w:rsid w:val="474550AE"/>
    <w:rsid w:val="47A71181"/>
    <w:rsid w:val="4B3115EC"/>
    <w:rsid w:val="4C1573E2"/>
    <w:rsid w:val="518B2041"/>
    <w:rsid w:val="52541584"/>
    <w:rsid w:val="53C26D4F"/>
    <w:rsid w:val="54351912"/>
    <w:rsid w:val="56EF622F"/>
    <w:rsid w:val="58B647E8"/>
    <w:rsid w:val="5C6313A8"/>
    <w:rsid w:val="5E4B7276"/>
    <w:rsid w:val="5FBD3DDE"/>
    <w:rsid w:val="69F95CD5"/>
    <w:rsid w:val="6A3B4FCC"/>
    <w:rsid w:val="6B5F2761"/>
    <w:rsid w:val="6B6B0BB8"/>
    <w:rsid w:val="6BAB0BF7"/>
    <w:rsid w:val="6FBF2BD2"/>
    <w:rsid w:val="6FDC1639"/>
    <w:rsid w:val="75AB0D04"/>
    <w:rsid w:val="766111DA"/>
    <w:rsid w:val="79AC0429"/>
    <w:rsid w:val="7BC150E2"/>
    <w:rsid w:val="7BCEC09C"/>
    <w:rsid w:val="7C5D2896"/>
    <w:rsid w:val="7CEE5FD5"/>
    <w:rsid w:val="7FE7118F"/>
    <w:rsid w:val="BBFB279A"/>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qFormat/>
    <w:uiPriority w:val="0"/>
    <w:pPr>
      <w:adjustRightInd w:val="0"/>
      <w:snapToGrid w:val="0"/>
      <w:spacing w:line="360" w:lineRule="auto"/>
      <w:ind w:left="0" w:right="0" w:firstLine="0"/>
      <w:outlineLvl w:val="0"/>
    </w:pPr>
    <w:rPr>
      <w:rFonts w:ascii="宋体" w:hAnsi="宋体" w:eastAsia="黑体" w:cs="宋体"/>
      <w:b/>
      <w:bCs/>
      <w:sz w:val="30"/>
      <w:szCs w:val="66"/>
      <w:lang w:eastAsia="en-US"/>
    </w:rPr>
  </w:style>
  <w:style w:type="paragraph" w:styleId="3">
    <w:name w:val="heading 2"/>
    <w:basedOn w:val="1"/>
    <w:next w:val="1"/>
    <w:link w:val="9"/>
    <w:semiHidden/>
    <w:unhideWhenUsed/>
    <w:qFormat/>
    <w:uiPriority w:val="0"/>
    <w:pPr>
      <w:adjustRightInd w:val="0"/>
      <w:snapToGrid w:val="0"/>
      <w:spacing w:line="360" w:lineRule="auto"/>
      <w:ind w:left="0" w:firstLine="0"/>
      <w:outlineLvl w:val="1"/>
    </w:pPr>
    <w:rPr>
      <w:rFonts w:ascii="宋体" w:hAnsi="宋体" w:eastAsia="黑体" w:cs="宋体"/>
      <w:b/>
      <w:bCs/>
      <w:sz w:val="28"/>
      <w:szCs w:val="45"/>
      <w:lang w:eastAsia="en-US"/>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4">
    <w:name w:val="footer"/>
    <w:basedOn w:val="1"/>
    <w:link w:val="11"/>
    <w:qFormat/>
    <w:uiPriority w:val="99"/>
    <w:pPr>
      <w:tabs>
        <w:tab w:val="center" w:pos="4153"/>
        <w:tab w:val="right" w:pos="8306"/>
      </w:tabs>
      <w:snapToGrid w:val="0"/>
      <w:jc w:val="left"/>
    </w:pPr>
    <w:rPr>
      <w:sz w:val="28"/>
    </w:rPr>
  </w:style>
  <w:style w:type="paragraph" w:styleId="5">
    <w:name w:val="header"/>
    <w:basedOn w:val="1"/>
    <w:link w:val="10"/>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9">
    <w:name w:val="标题 2 Char"/>
    <w:link w:val="3"/>
    <w:qFormat/>
    <w:uiPriority w:val="1"/>
    <w:rPr>
      <w:rFonts w:ascii="宋体" w:hAnsi="宋体" w:eastAsia="黑体" w:cs="宋体"/>
      <w:b/>
      <w:bCs/>
      <w:sz w:val="28"/>
      <w:szCs w:val="45"/>
      <w:lang w:eastAsia="en-US"/>
    </w:rPr>
  </w:style>
  <w:style w:type="character" w:customStyle="1" w:styleId="10">
    <w:name w:val="页眉 字符"/>
    <w:basedOn w:val="8"/>
    <w:link w:val="5"/>
    <w:qFormat/>
    <w:uiPriority w:val="99"/>
    <w:rPr>
      <w:rFonts w:ascii="Times New Roman" w:hAnsi="Times New Roman" w:eastAsia="宋体" w:cs="Times New Roman"/>
      <w:sz w:val="18"/>
    </w:rPr>
  </w:style>
  <w:style w:type="character" w:customStyle="1" w:styleId="11">
    <w:name w:val="页脚 字符"/>
    <w:basedOn w:val="8"/>
    <w:link w:val="4"/>
    <w:qFormat/>
    <w:uiPriority w:val="99"/>
    <w:rPr>
      <w:rFonts w:ascii="Times New Roman" w:hAnsi="Times New Roman" w:eastAsia="宋体" w:cs="Times New Roman"/>
      <w:sz w:val="28"/>
    </w:rPr>
  </w:style>
  <w:style w:type="paragraph" w:styleId="12">
    <w:name w:val="List Paragraph"/>
    <w:basedOn w:val="1"/>
    <w:unhideWhenUsed/>
    <w:qFormat/>
    <w:uiPriority w:val="99"/>
    <w:pPr>
      <w:ind w:firstLine="420" w:firstLineChars="200"/>
    </w:pPr>
    <w:rPr>
      <w:rFonts w:asciiTheme="minorHAnsi" w:hAnsiTheme="minorHAnsi" w:eastAsiaTheme="minorEastAsia" w:cstheme="minorBidi"/>
    </w:rPr>
  </w:style>
  <w:style w:type="paragraph" w:customStyle="1" w:styleId="13">
    <w:name w:val="修订1"/>
    <w:hidden/>
    <w:unhideWhenUsed/>
    <w:qFormat/>
    <w:uiPriority w:val="99"/>
    <w:rPr>
      <w:rFonts w:asciiTheme="minorHAnsi" w:hAnsiTheme="minorHAnsi" w:eastAsiaTheme="minorEastAsia" w:cstheme="minorBidi"/>
      <w:kern w:val="2"/>
      <w:sz w:val="21"/>
      <w:szCs w:val="24"/>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20</Pages>
  <Words>8139</Words>
  <Characters>8196</Characters>
  <Lines>1</Lines>
  <Paragraphs>1</Paragraphs>
  <TotalTime>0</TotalTime>
  <ScaleCrop>false</ScaleCrop>
  <LinksUpToDate>false</LinksUpToDate>
  <CharactersWithSpaces>8316</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2025-07-06T23:25:00Z</dcterms:created>
  <dc:creator>NTKO</dc:creator>
  <cp:lastModifiedBy>对味</cp:lastModifiedBy>
  <cp:lastPrinted>2025-08-16T18:53:00Z</cp:lastPrinted>
  <dcterms:modified xsi:type="dcterms:W3CDTF">2025-12-23T08:45:34Z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7C3AC92504CEE8DAF7FC44697C04EA2B</vt:lpwstr>
  </property>
  <property fmtid="{D5CDD505-2E9C-101B-9397-08002B2CF9AE}" pid="4" name="KSOTemplateDocerSaveRecord">
    <vt:lpwstr>eyJoZGlkIjoiNzZmYTQxYWY4Njk4YWQxZTg1MDBkYzBiYzdlZTg3NWEiLCJ1c2VySWQiOiI2OTM1NjkyMzIifQ==</vt:lpwstr>
  </property>
</Properties>
</file>